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10D5E">
      <w:pPr>
        <w:pStyle w:val="6"/>
        <w:jc w:val="center"/>
        <w:rPr>
          <w:b/>
          <w:color w:val="auto"/>
          <w:sz w:val="36"/>
          <w:szCs w:val="36"/>
          <w:highlight w:val="none"/>
        </w:rPr>
      </w:pPr>
    </w:p>
    <w:p w14:paraId="174DFDAF">
      <w:pPr>
        <w:pStyle w:val="6"/>
        <w:jc w:val="center"/>
        <w:rPr>
          <w:b/>
          <w:color w:val="auto"/>
          <w:sz w:val="36"/>
          <w:szCs w:val="36"/>
          <w:highlight w:val="none"/>
          <w:lang w:val="en-US"/>
        </w:rPr>
      </w:pPr>
      <w:r>
        <w:rPr>
          <w:rFonts w:hint="eastAsia"/>
          <w:b/>
          <w:color w:val="auto"/>
          <w:sz w:val="44"/>
          <w:szCs w:val="44"/>
          <w:highlight w:val="none"/>
        </w:rPr>
        <w:t>郑州师范学院西校区监控系统升级改造项目</w:t>
      </w:r>
    </w:p>
    <w:p w14:paraId="5AB78FAB">
      <w:pPr>
        <w:pStyle w:val="6"/>
        <w:rPr>
          <w:b/>
          <w:color w:val="auto"/>
          <w:sz w:val="44"/>
          <w:highlight w:val="none"/>
        </w:rPr>
      </w:pPr>
    </w:p>
    <w:p w14:paraId="511E7659">
      <w:pPr>
        <w:pStyle w:val="6"/>
        <w:spacing w:before="12"/>
        <w:rPr>
          <w:b/>
          <w:color w:val="auto"/>
          <w:sz w:val="34"/>
          <w:highlight w:val="none"/>
        </w:rPr>
      </w:pPr>
    </w:p>
    <w:p w14:paraId="7EE98D2C">
      <w:pPr>
        <w:ind w:left="140"/>
        <w:jc w:val="center"/>
        <w:rPr>
          <w:b/>
          <w:color w:val="auto"/>
          <w:sz w:val="96"/>
          <w:highlight w:val="none"/>
        </w:rPr>
      </w:pPr>
      <w:r>
        <w:rPr>
          <w:rFonts w:hint="eastAsia"/>
          <w:b/>
          <w:color w:val="auto"/>
          <w:sz w:val="96"/>
          <w:highlight w:val="none"/>
        </w:rPr>
        <w:t>招 标 文 件</w:t>
      </w:r>
    </w:p>
    <w:p w14:paraId="63E1FC47">
      <w:pPr>
        <w:spacing w:before="116"/>
        <w:ind w:left="3" w:hanging="3"/>
        <w:jc w:val="center"/>
        <w:rPr>
          <w:b/>
          <w:color w:val="auto"/>
          <w:sz w:val="32"/>
          <w:szCs w:val="32"/>
          <w:highlight w:val="none"/>
        </w:rPr>
      </w:pPr>
      <w:r>
        <w:rPr>
          <w:rFonts w:hint="eastAsia"/>
          <w:b/>
          <w:color w:val="auto"/>
          <w:sz w:val="32"/>
          <w:szCs w:val="32"/>
          <w:highlight w:val="none"/>
        </w:rPr>
        <w:t>采购编号：郑财招标采购-2024-252</w:t>
      </w:r>
    </w:p>
    <w:p w14:paraId="2E412135">
      <w:pPr>
        <w:pStyle w:val="6"/>
        <w:rPr>
          <w:b/>
          <w:color w:val="auto"/>
          <w:sz w:val="20"/>
          <w:highlight w:val="none"/>
        </w:rPr>
      </w:pPr>
    </w:p>
    <w:p w14:paraId="1A152EB5">
      <w:pPr>
        <w:pStyle w:val="6"/>
        <w:rPr>
          <w:b/>
          <w:color w:val="auto"/>
          <w:sz w:val="20"/>
          <w:highlight w:val="none"/>
        </w:rPr>
      </w:pPr>
    </w:p>
    <w:p w14:paraId="5F43EAE3">
      <w:pPr>
        <w:pStyle w:val="6"/>
        <w:rPr>
          <w:b/>
          <w:color w:val="auto"/>
          <w:sz w:val="20"/>
          <w:highlight w:val="none"/>
        </w:rPr>
      </w:pPr>
    </w:p>
    <w:p w14:paraId="101B7E92">
      <w:pPr>
        <w:pStyle w:val="6"/>
        <w:rPr>
          <w:b/>
          <w:color w:val="auto"/>
          <w:sz w:val="20"/>
          <w:highlight w:val="none"/>
        </w:rPr>
      </w:pPr>
    </w:p>
    <w:p w14:paraId="7AB0F396">
      <w:pPr>
        <w:pStyle w:val="6"/>
        <w:rPr>
          <w:b/>
          <w:color w:val="auto"/>
          <w:sz w:val="20"/>
          <w:highlight w:val="none"/>
        </w:rPr>
      </w:pPr>
    </w:p>
    <w:p w14:paraId="579177E4">
      <w:pPr>
        <w:pStyle w:val="6"/>
        <w:spacing w:before="3"/>
        <w:rPr>
          <w:b/>
          <w:color w:val="auto"/>
          <w:sz w:val="19"/>
          <w:highlight w:val="none"/>
        </w:rPr>
      </w:pPr>
      <w:r>
        <w:rPr>
          <w:rFonts w:hint="eastAsia"/>
          <w:b/>
          <w:color w:val="auto"/>
          <w:highlight w:val="none"/>
          <w:lang w:val="en-US" w:bidi="ar-SA"/>
        </w:rPr>
        <w:drawing>
          <wp:anchor distT="0" distB="0" distL="114300" distR="114300" simplePos="0" relativeHeight="251660288" behindDoc="0" locked="0" layoutInCell="1" allowOverlap="1">
            <wp:simplePos x="0" y="0"/>
            <wp:positionH relativeFrom="column">
              <wp:posOffset>1571625</wp:posOffset>
            </wp:positionH>
            <wp:positionV relativeFrom="paragraph">
              <wp:posOffset>59055</wp:posOffset>
            </wp:positionV>
            <wp:extent cx="3074670" cy="2228850"/>
            <wp:effectExtent l="0" t="0" r="11430" b="0"/>
            <wp:wrapSquare wrapText="bothSides"/>
            <wp:docPr id="2" name="图片 1" descr="%ERPA~DCBEVVY5R09FB~P{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RPA~DCBEVVY5R09FB~P{7"/>
                    <pic:cNvPicPr>
                      <a:picLocks noChangeAspect="1"/>
                    </pic:cNvPicPr>
                  </pic:nvPicPr>
                  <pic:blipFill>
                    <a:blip r:embed="rId16" cstate="print"/>
                    <a:stretch>
                      <a:fillRect/>
                    </a:stretch>
                  </pic:blipFill>
                  <pic:spPr>
                    <a:xfrm>
                      <a:off x="0" y="0"/>
                      <a:ext cx="3074670" cy="2228850"/>
                    </a:xfrm>
                    <a:prstGeom prst="rect">
                      <a:avLst/>
                    </a:prstGeom>
                    <a:noFill/>
                    <a:ln>
                      <a:noFill/>
                    </a:ln>
                  </pic:spPr>
                </pic:pic>
              </a:graphicData>
            </a:graphic>
          </wp:anchor>
        </w:drawing>
      </w:r>
    </w:p>
    <w:p w14:paraId="00FDCD3F">
      <w:pPr>
        <w:pStyle w:val="6"/>
        <w:rPr>
          <w:b/>
          <w:color w:val="auto"/>
          <w:sz w:val="20"/>
          <w:highlight w:val="none"/>
        </w:rPr>
      </w:pPr>
    </w:p>
    <w:p w14:paraId="712DF296">
      <w:pPr>
        <w:pStyle w:val="6"/>
        <w:rPr>
          <w:b/>
          <w:color w:val="auto"/>
          <w:sz w:val="20"/>
          <w:highlight w:val="none"/>
        </w:rPr>
      </w:pPr>
    </w:p>
    <w:p w14:paraId="110B322D">
      <w:pPr>
        <w:pStyle w:val="6"/>
        <w:rPr>
          <w:b/>
          <w:color w:val="auto"/>
          <w:sz w:val="20"/>
          <w:highlight w:val="none"/>
        </w:rPr>
      </w:pPr>
    </w:p>
    <w:p w14:paraId="294B7C66">
      <w:pPr>
        <w:pStyle w:val="6"/>
        <w:rPr>
          <w:b/>
          <w:color w:val="auto"/>
          <w:sz w:val="20"/>
          <w:highlight w:val="none"/>
        </w:rPr>
      </w:pPr>
    </w:p>
    <w:p w14:paraId="4DF27451">
      <w:pPr>
        <w:pStyle w:val="6"/>
        <w:rPr>
          <w:b/>
          <w:color w:val="auto"/>
          <w:sz w:val="20"/>
          <w:highlight w:val="none"/>
        </w:rPr>
      </w:pPr>
    </w:p>
    <w:p w14:paraId="0AFD09F9">
      <w:pPr>
        <w:pStyle w:val="6"/>
        <w:rPr>
          <w:b/>
          <w:color w:val="auto"/>
          <w:sz w:val="20"/>
          <w:highlight w:val="none"/>
        </w:rPr>
      </w:pPr>
    </w:p>
    <w:p w14:paraId="2F91B76E">
      <w:pPr>
        <w:pStyle w:val="6"/>
        <w:rPr>
          <w:b/>
          <w:color w:val="auto"/>
          <w:sz w:val="20"/>
          <w:highlight w:val="none"/>
        </w:rPr>
      </w:pPr>
    </w:p>
    <w:p w14:paraId="1D6C3095">
      <w:pPr>
        <w:pStyle w:val="6"/>
        <w:rPr>
          <w:b/>
          <w:color w:val="auto"/>
          <w:sz w:val="20"/>
          <w:highlight w:val="none"/>
        </w:rPr>
      </w:pPr>
    </w:p>
    <w:p w14:paraId="4D52C0E4">
      <w:pPr>
        <w:pStyle w:val="6"/>
        <w:rPr>
          <w:b/>
          <w:color w:val="auto"/>
          <w:sz w:val="20"/>
          <w:highlight w:val="none"/>
        </w:rPr>
      </w:pPr>
    </w:p>
    <w:p w14:paraId="279A6117">
      <w:pPr>
        <w:pStyle w:val="6"/>
        <w:rPr>
          <w:b/>
          <w:color w:val="auto"/>
          <w:sz w:val="27"/>
          <w:highlight w:val="none"/>
        </w:rPr>
      </w:pPr>
    </w:p>
    <w:p w14:paraId="0718B349">
      <w:pPr>
        <w:tabs>
          <w:tab w:val="left" w:pos="2556"/>
          <w:tab w:val="left" w:pos="3317"/>
        </w:tabs>
        <w:spacing w:before="50"/>
        <w:ind w:left="1796"/>
        <w:rPr>
          <w:b/>
          <w:color w:val="auto"/>
          <w:sz w:val="36"/>
          <w:highlight w:val="none"/>
        </w:rPr>
      </w:pPr>
    </w:p>
    <w:p w14:paraId="1A35030E">
      <w:pPr>
        <w:tabs>
          <w:tab w:val="left" w:pos="2556"/>
          <w:tab w:val="left" w:pos="3317"/>
        </w:tabs>
        <w:spacing w:before="50"/>
        <w:ind w:left="1796"/>
        <w:rPr>
          <w:b/>
          <w:color w:val="auto"/>
          <w:sz w:val="36"/>
          <w:highlight w:val="none"/>
        </w:rPr>
      </w:pPr>
    </w:p>
    <w:p w14:paraId="6F76F219">
      <w:pPr>
        <w:tabs>
          <w:tab w:val="left" w:pos="2556"/>
          <w:tab w:val="left" w:pos="3317"/>
        </w:tabs>
        <w:spacing w:before="50"/>
        <w:ind w:left="1796"/>
        <w:rPr>
          <w:b/>
          <w:color w:val="auto"/>
          <w:sz w:val="36"/>
          <w:highlight w:val="none"/>
        </w:rPr>
      </w:pPr>
    </w:p>
    <w:p w14:paraId="57701A46">
      <w:pPr>
        <w:tabs>
          <w:tab w:val="left" w:pos="2556"/>
          <w:tab w:val="left" w:pos="3317"/>
        </w:tabs>
        <w:spacing w:before="50"/>
        <w:ind w:left="1796"/>
        <w:rPr>
          <w:b/>
          <w:color w:val="auto"/>
          <w:sz w:val="36"/>
          <w:highlight w:val="none"/>
        </w:rPr>
      </w:pPr>
    </w:p>
    <w:p w14:paraId="2181C0E3">
      <w:pPr>
        <w:tabs>
          <w:tab w:val="left" w:pos="2556"/>
          <w:tab w:val="left" w:pos="3317"/>
        </w:tabs>
        <w:spacing w:before="50"/>
        <w:rPr>
          <w:b/>
          <w:color w:val="auto"/>
          <w:sz w:val="36"/>
          <w:highlight w:val="none"/>
        </w:rPr>
      </w:pPr>
    </w:p>
    <w:p w14:paraId="1547593E">
      <w:pPr>
        <w:tabs>
          <w:tab w:val="left" w:pos="2556"/>
          <w:tab w:val="left" w:pos="3317"/>
        </w:tabs>
        <w:spacing w:line="360" w:lineRule="auto"/>
        <w:ind w:firstLine="2869" w:firstLineChars="893"/>
        <w:rPr>
          <w:b/>
          <w:color w:val="auto"/>
          <w:sz w:val="32"/>
          <w:szCs w:val="32"/>
          <w:highlight w:val="none"/>
        </w:rPr>
      </w:pPr>
    </w:p>
    <w:p w14:paraId="7E5C4D5B">
      <w:pPr>
        <w:tabs>
          <w:tab w:val="left" w:pos="2556"/>
          <w:tab w:val="left" w:pos="3317"/>
        </w:tabs>
        <w:spacing w:line="360" w:lineRule="auto"/>
        <w:ind w:firstLine="1928" w:firstLineChars="600"/>
        <w:rPr>
          <w:b/>
          <w:color w:val="auto"/>
          <w:sz w:val="32"/>
          <w:szCs w:val="32"/>
          <w:highlight w:val="none"/>
        </w:rPr>
      </w:pPr>
      <w:r>
        <w:rPr>
          <w:rFonts w:hint="eastAsia"/>
          <w:b/>
          <w:color w:val="auto"/>
          <w:sz w:val="32"/>
          <w:szCs w:val="32"/>
          <w:highlight w:val="none"/>
        </w:rPr>
        <w:t>采购人：郑州师范学院</w:t>
      </w:r>
    </w:p>
    <w:p w14:paraId="2501723E">
      <w:pPr>
        <w:spacing w:line="360" w:lineRule="auto"/>
        <w:ind w:firstLine="1928" w:firstLineChars="600"/>
        <w:rPr>
          <w:b/>
          <w:color w:val="auto"/>
          <w:sz w:val="32"/>
          <w:szCs w:val="32"/>
          <w:highlight w:val="none"/>
          <w:lang w:val="en-US"/>
        </w:rPr>
      </w:pPr>
      <w:r>
        <w:rPr>
          <w:rFonts w:hint="eastAsia"/>
          <w:b/>
          <w:color w:val="auto"/>
          <w:sz w:val="32"/>
          <w:szCs w:val="32"/>
          <w:highlight w:val="none"/>
        </w:rPr>
        <w:t>采购代理：河南以牧全过程工程咨询有限公司</w:t>
      </w:r>
    </w:p>
    <w:p w14:paraId="14429F67">
      <w:pPr>
        <w:spacing w:line="360" w:lineRule="auto"/>
        <w:ind w:firstLine="1928" w:firstLineChars="600"/>
        <w:rPr>
          <w:b/>
          <w:color w:val="auto"/>
          <w:sz w:val="32"/>
          <w:szCs w:val="32"/>
          <w:highlight w:val="none"/>
        </w:rPr>
      </w:pPr>
      <w:r>
        <w:rPr>
          <w:rFonts w:hint="eastAsia"/>
          <w:b/>
          <w:color w:val="auto"/>
          <w:sz w:val="32"/>
          <w:szCs w:val="32"/>
          <w:highlight w:val="none"/>
        </w:rPr>
        <w:t>日期：二○二四年十一月</w:t>
      </w:r>
    </w:p>
    <w:p w14:paraId="3F7FC504">
      <w:pPr>
        <w:pStyle w:val="6"/>
        <w:rPr>
          <w:b/>
          <w:color w:val="auto"/>
          <w:sz w:val="12"/>
          <w:highlight w:val="none"/>
        </w:rPr>
        <w:sectPr>
          <w:headerReference r:id="rId5" w:type="first"/>
          <w:footerReference r:id="rId8" w:type="first"/>
          <w:headerReference r:id="rId3" w:type="default"/>
          <w:footerReference r:id="rId6" w:type="default"/>
          <w:headerReference r:id="rId4" w:type="even"/>
          <w:footerReference r:id="rId7" w:type="even"/>
          <w:type w:val="continuous"/>
          <w:pgSz w:w="11911" w:h="16838"/>
          <w:pgMar w:top="1230" w:right="1134" w:bottom="1638" w:left="1134" w:header="850" w:footer="1247" w:gutter="0"/>
          <w:cols w:space="0" w:num="1"/>
          <w:titlePg/>
        </w:sectPr>
      </w:pPr>
    </w:p>
    <w:p w14:paraId="26DBD1E5">
      <w:pPr>
        <w:rPr>
          <w:color w:val="auto"/>
          <w:highlight w:val="none"/>
        </w:rPr>
      </w:pPr>
    </w:p>
    <w:p w14:paraId="25514691">
      <w:pPr>
        <w:tabs>
          <w:tab w:val="left" w:pos="778"/>
        </w:tabs>
        <w:spacing w:before="55"/>
        <w:ind w:left="137"/>
        <w:jc w:val="center"/>
        <w:rPr>
          <w:b/>
          <w:color w:val="auto"/>
          <w:sz w:val="36"/>
          <w:szCs w:val="24"/>
          <w:highlight w:val="none"/>
        </w:rPr>
      </w:pPr>
      <w:r>
        <w:rPr>
          <w:rFonts w:hint="eastAsia"/>
          <w:b/>
          <w:color w:val="auto"/>
          <w:sz w:val="36"/>
          <w:szCs w:val="24"/>
          <w:highlight w:val="none"/>
        </w:rPr>
        <w:t>目</w:t>
      </w:r>
      <w:r>
        <w:rPr>
          <w:rFonts w:hint="eastAsia"/>
          <w:b/>
          <w:color w:val="auto"/>
          <w:sz w:val="36"/>
          <w:szCs w:val="24"/>
          <w:highlight w:val="none"/>
        </w:rPr>
        <w:tab/>
      </w:r>
      <w:r>
        <w:rPr>
          <w:rFonts w:hint="eastAsia"/>
          <w:b/>
          <w:color w:val="auto"/>
          <w:sz w:val="36"/>
          <w:szCs w:val="24"/>
          <w:highlight w:val="none"/>
        </w:rPr>
        <w:t>录</w:t>
      </w:r>
    </w:p>
    <w:p w14:paraId="50789C2A">
      <w:pPr>
        <w:pStyle w:val="12"/>
        <w:tabs>
          <w:tab w:val="right" w:leader="dot" w:pos="8844"/>
        </w:tabs>
        <w:spacing w:before="0" w:line="360" w:lineRule="auto"/>
        <w:ind w:right="0" w:firstLine="0"/>
        <w:rPr>
          <w:color w:val="auto"/>
          <w:highlight w:val="none"/>
        </w:rPr>
      </w:pPr>
      <w:bookmarkStart w:id="0" w:name="项目概况"/>
      <w:bookmarkEnd w:id="0"/>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"_Toc9712" </w:instrText>
      </w:r>
      <w:r>
        <w:rPr>
          <w:color w:val="auto"/>
          <w:highlight w:val="none"/>
        </w:rPr>
        <w:fldChar w:fldCharType="separate"/>
      </w:r>
      <w:r>
        <w:rPr>
          <w:rFonts w:hint="eastAsia"/>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_Toc9712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1AA08C76">
      <w:pPr>
        <w:pStyle w:val="12"/>
        <w:tabs>
          <w:tab w:val="right" w:leader="dot" w:pos="8844"/>
        </w:tabs>
        <w:spacing w:line="360" w:lineRule="auto"/>
        <w:ind w:right="0" w:firstLine="0"/>
        <w:rPr>
          <w:color w:val="auto"/>
          <w:highlight w:val="none"/>
        </w:rPr>
      </w:pPr>
      <w:r>
        <w:rPr>
          <w:color w:val="auto"/>
          <w:highlight w:val="none"/>
        </w:rPr>
        <w:fldChar w:fldCharType="begin"/>
      </w:r>
      <w:r>
        <w:rPr>
          <w:color w:val="auto"/>
          <w:highlight w:val="none"/>
        </w:rPr>
        <w:instrText xml:space="preserve"> HYPERLINK \l "_Toc21671" </w:instrText>
      </w:r>
      <w:r>
        <w:rPr>
          <w:color w:val="auto"/>
          <w:highlight w:val="none"/>
        </w:rPr>
        <w:fldChar w:fldCharType="separate"/>
      </w:r>
      <w:r>
        <w:rPr>
          <w:rFonts w:hint="eastAsia"/>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_Toc21671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172E802D">
      <w:pPr>
        <w:pStyle w:val="12"/>
        <w:tabs>
          <w:tab w:val="right" w:leader="dot" w:pos="8844"/>
        </w:tabs>
        <w:spacing w:line="360" w:lineRule="auto"/>
        <w:ind w:right="0" w:firstLine="0"/>
        <w:rPr>
          <w:color w:val="auto"/>
          <w:highlight w:val="none"/>
        </w:rPr>
      </w:pPr>
      <w:r>
        <w:rPr>
          <w:color w:val="auto"/>
          <w:highlight w:val="none"/>
        </w:rPr>
        <w:fldChar w:fldCharType="begin"/>
      </w:r>
      <w:r>
        <w:rPr>
          <w:color w:val="auto"/>
          <w:highlight w:val="none"/>
        </w:rPr>
        <w:instrText xml:space="preserve"> HYPERLINK \l "_Toc14937" </w:instrText>
      </w:r>
      <w:r>
        <w:rPr>
          <w:color w:val="auto"/>
          <w:highlight w:val="none"/>
        </w:rPr>
        <w:fldChar w:fldCharType="separate"/>
      </w:r>
      <w:r>
        <w:rPr>
          <w:rFonts w:hint="eastAsia"/>
          <w:color w:val="auto"/>
          <w:highlight w:val="none"/>
        </w:rPr>
        <w:t>第三章 合同条款及格式</w:t>
      </w:r>
      <w:r>
        <w:rPr>
          <w:color w:val="auto"/>
          <w:highlight w:val="none"/>
        </w:rPr>
        <w:tab/>
      </w:r>
      <w:r>
        <w:rPr>
          <w:color w:val="auto"/>
          <w:highlight w:val="none"/>
        </w:rPr>
        <w:fldChar w:fldCharType="begin"/>
      </w:r>
      <w:r>
        <w:rPr>
          <w:color w:val="auto"/>
          <w:highlight w:val="none"/>
        </w:rPr>
        <w:instrText xml:space="preserve"> PAGEREF _Toc14937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1B33B905">
      <w:pPr>
        <w:pStyle w:val="12"/>
        <w:tabs>
          <w:tab w:val="right" w:leader="dot" w:pos="8844"/>
        </w:tabs>
        <w:spacing w:line="360" w:lineRule="auto"/>
        <w:ind w:right="0" w:firstLine="0"/>
        <w:rPr>
          <w:color w:val="auto"/>
          <w:highlight w:val="none"/>
        </w:rPr>
      </w:pPr>
      <w:r>
        <w:rPr>
          <w:color w:val="auto"/>
          <w:highlight w:val="none"/>
        </w:rPr>
        <w:fldChar w:fldCharType="begin"/>
      </w:r>
      <w:r>
        <w:rPr>
          <w:color w:val="auto"/>
          <w:highlight w:val="none"/>
        </w:rPr>
        <w:instrText xml:space="preserve"> HYPERLINK \l "_Toc11053" </w:instrText>
      </w:r>
      <w:r>
        <w:rPr>
          <w:color w:val="auto"/>
          <w:highlight w:val="none"/>
        </w:rPr>
        <w:fldChar w:fldCharType="separate"/>
      </w:r>
      <w:r>
        <w:rPr>
          <w:rFonts w:hint="eastAsia"/>
          <w:color w:val="auto"/>
          <w:highlight w:val="none"/>
        </w:rPr>
        <w:t>第四章 投标文件格式</w:t>
      </w:r>
      <w:r>
        <w:rPr>
          <w:color w:val="auto"/>
          <w:highlight w:val="none"/>
        </w:rPr>
        <w:tab/>
      </w:r>
      <w:r>
        <w:rPr>
          <w:color w:val="auto"/>
          <w:highlight w:val="none"/>
        </w:rPr>
        <w:fldChar w:fldCharType="begin"/>
      </w:r>
      <w:r>
        <w:rPr>
          <w:color w:val="auto"/>
          <w:highlight w:val="none"/>
        </w:rPr>
        <w:instrText xml:space="preserve"> PAGEREF _Toc11053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58ACDB7A">
      <w:pPr>
        <w:pStyle w:val="13"/>
        <w:tabs>
          <w:tab w:val="right" w:leader="dot" w:pos="8844"/>
        </w:tabs>
        <w:spacing w:line="360" w:lineRule="auto"/>
        <w:ind w:leftChars="0"/>
        <w:rPr>
          <w:color w:val="auto"/>
          <w:sz w:val="24"/>
          <w:szCs w:val="24"/>
          <w:highlight w:val="none"/>
        </w:rPr>
      </w:pPr>
      <w:r>
        <w:rPr>
          <w:color w:val="auto"/>
          <w:highlight w:val="none"/>
        </w:rPr>
        <w:fldChar w:fldCharType="begin"/>
      </w:r>
      <w:r>
        <w:rPr>
          <w:color w:val="auto"/>
          <w:highlight w:val="none"/>
        </w:rPr>
        <w:instrText xml:space="preserve"> HYPERLINK \l "_Toc19618" </w:instrText>
      </w:r>
      <w:r>
        <w:rPr>
          <w:color w:val="auto"/>
          <w:highlight w:val="none"/>
        </w:rPr>
        <w:fldChar w:fldCharType="separate"/>
      </w:r>
      <w:r>
        <w:rPr>
          <w:rFonts w:hint="eastAsia"/>
          <w:color w:val="auto"/>
          <w:sz w:val="24"/>
          <w:szCs w:val="24"/>
          <w:highlight w:val="none"/>
          <w:lang w:val="en-US"/>
        </w:rPr>
        <w:t>1.</w:t>
      </w:r>
      <w:r>
        <w:rPr>
          <w:rFonts w:hint="eastAsia"/>
          <w:color w:val="auto"/>
          <w:sz w:val="24"/>
          <w:szCs w:val="24"/>
          <w:highlight w:val="none"/>
        </w:rPr>
        <w:t>资格审查资料（按各部分要求附相应的证明资料）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_Toc19618 \h </w:instrText>
      </w:r>
      <w:r>
        <w:rPr>
          <w:color w:val="auto"/>
          <w:sz w:val="24"/>
          <w:szCs w:val="24"/>
          <w:highlight w:val="none"/>
        </w:rPr>
        <w:fldChar w:fldCharType="separate"/>
      </w:r>
      <w:r>
        <w:rPr>
          <w:color w:val="auto"/>
          <w:sz w:val="24"/>
          <w:szCs w:val="24"/>
          <w:highlight w:val="none"/>
        </w:rPr>
        <w:t>37</w:t>
      </w:r>
      <w:r>
        <w:rPr>
          <w:color w:val="auto"/>
          <w:sz w:val="24"/>
          <w:szCs w:val="24"/>
          <w:highlight w:val="none"/>
        </w:rPr>
        <w:fldChar w:fldCharType="end"/>
      </w:r>
      <w:r>
        <w:rPr>
          <w:color w:val="auto"/>
          <w:sz w:val="24"/>
          <w:szCs w:val="24"/>
          <w:highlight w:val="none"/>
        </w:rPr>
        <w:fldChar w:fldCharType="end"/>
      </w:r>
    </w:p>
    <w:p w14:paraId="64F8A17A">
      <w:pPr>
        <w:pStyle w:val="13"/>
        <w:tabs>
          <w:tab w:val="right" w:leader="dot" w:pos="8844"/>
        </w:tabs>
        <w:spacing w:line="360" w:lineRule="auto"/>
        <w:ind w:leftChars="0"/>
        <w:rPr>
          <w:color w:val="auto"/>
          <w:sz w:val="24"/>
          <w:szCs w:val="24"/>
          <w:highlight w:val="none"/>
        </w:rPr>
      </w:pPr>
      <w:r>
        <w:rPr>
          <w:color w:val="auto"/>
          <w:highlight w:val="none"/>
        </w:rPr>
        <w:fldChar w:fldCharType="begin"/>
      </w:r>
      <w:r>
        <w:rPr>
          <w:color w:val="auto"/>
          <w:highlight w:val="none"/>
        </w:rPr>
        <w:instrText xml:space="preserve"> HYPERLINK \l "_Toc16229" </w:instrText>
      </w:r>
      <w:r>
        <w:rPr>
          <w:color w:val="auto"/>
          <w:highlight w:val="none"/>
        </w:rPr>
        <w:fldChar w:fldCharType="separate"/>
      </w:r>
      <w:r>
        <w:rPr>
          <w:rFonts w:hint="eastAsia"/>
          <w:color w:val="auto"/>
          <w:sz w:val="24"/>
          <w:szCs w:val="24"/>
          <w:highlight w:val="none"/>
          <w:lang w:val="en-US"/>
        </w:rPr>
        <w:t>2.</w:t>
      </w:r>
      <w:r>
        <w:rPr>
          <w:rFonts w:hint="eastAsia"/>
          <w:color w:val="auto"/>
          <w:sz w:val="24"/>
          <w:szCs w:val="24"/>
          <w:highlight w:val="none"/>
        </w:rPr>
        <w:t>投标函及报价表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_Toc16229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color w:val="auto"/>
          <w:sz w:val="24"/>
          <w:szCs w:val="24"/>
          <w:highlight w:val="none"/>
        </w:rPr>
        <w:fldChar w:fldCharType="end"/>
      </w:r>
    </w:p>
    <w:p w14:paraId="657193B1">
      <w:pPr>
        <w:pStyle w:val="13"/>
        <w:tabs>
          <w:tab w:val="right" w:leader="dot" w:pos="8844"/>
        </w:tabs>
        <w:spacing w:line="360" w:lineRule="auto"/>
        <w:ind w:leftChars="0"/>
        <w:rPr>
          <w:color w:val="auto"/>
          <w:sz w:val="24"/>
          <w:szCs w:val="24"/>
          <w:highlight w:val="none"/>
        </w:rPr>
      </w:pPr>
      <w:r>
        <w:rPr>
          <w:color w:val="auto"/>
          <w:highlight w:val="none"/>
        </w:rPr>
        <w:fldChar w:fldCharType="begin"/>
      </w:r>
      <w:r>
        <w:rPr>
          <w:color w:val="auto"/>
          <w:highlight w:val="none"/>
        </w:rPr>
        <w:instrText xml:space="preserve"> HYPERLINK \l "_Toc2283" </w:instrText>
      </w:r>
      <w:r>
        <w:rPr>
          <w:color w:val="auto"/>
          <w:highlight w:val="none"/>
        </w:rPr>
        <w:fldChar w:fldCharType="separate"/>
      </w:r>
      <w:r>
        <w:rPr>
          <w:rFonts w:hint="eastAsia"/>
          <w:color w:val="auto"/>
          <w:sz w:val="24"/>
          <w:szCs w:val="24"/>
          <w:highlight w:val="none"/>
          <w:lang w:val="en-US"/>
        </w:rPr>
        <w:t>3.</w:t>
      </w:r>
      <w:r>
        <w:rPr>
          <w:rFonts w:hint="eastAsia"/>
          <w:color w:val="auto"/>
          <w:sz w:val="24"/>
          <w:szCs w:val="24"/>
          <w:highlight w:val="none"/>
        </w:rPr>
        <w:t>承诺函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_Toc2283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color w:val="auto"/>
          <w:sz w:val="24"/>
          <w:szCs w:val="24"/>
          <w:highlight w:val="none"/>
        </w:rPr>
        <w:fldChar w:fldCharType="end"/>
      </w:r>
    </w:p>
    <w:p w14:paraId="6065F1D3">
      <w:pPr>
        <w:pStyle w:val="13"/>
        <w:tabs>
          <w:tab w:val="right" w:leader="dot" w:pos="8844"/>
        </w:tabs>
        <w:spacing w:line="360" w:lineRule="auto"/>
        <w:ind w:leftChars="0"/>
        <w:rPr>
          <w:color w:val="auto"/>
          <w:sz w:val="24"/>
          <w:szCs w:val="24"/>
          <w:highlight w:val="none"/>
        </w:rPr>
      </w:pPr>
      <w:r>
        <w:rPr>
          <w:color w:val="auto"/>
          <w:highlight w:val="none"/>
        </w:rPr>
        <w:fldChar w:fldCharType="begin"/>
      </w:r>
      <w:r>
        <w:rPr>
          <w:color w:val="auto"/>
          <w:highlight w:val="none"/>
        </w:rPr>
        <w:instrText xml:space="preserve"> HYPERLINK \l "_Toc4440" </w:instrText>
      </w:r>
      <w:r>
        <w:rPr>
          <w:color w:val="auto"/>
          <w:highlight w:val="none"/>
        </w:rPr>
        <w:fldChar w:fldCharType="separate"/>
      </w:r>
      <w:r>
        <w:rPr>
          <w:rFonts w:hint="eastAsia"/>
          <w:color w:val="auto"/>
          <w:sz w:val="24"/>
          <w:szCs w:val="24"/>
          <w:highlight w:val="none"/>
          <w:lang w:val="en-US"/>
        </w:rPr>
        <w:t>4.</w:t>
      </w:r>
      <w:r>
        <w:rPr>
          <w:rFonts w:hint="eastAsia"/>
          <w:color w:val="auto"/>
          <w:sz w:val="24"/>
          <w:szCs w:val="24"/>
          <w:highlight w:val="none"/>
        </w:rPr>
        <w:t>法定代表人身份证明及法定代表人授权书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_Toc4440 \h </w:instrText>
      </w:r>
      <w:r>
        <w:rPr>
          <w:color w:val="auto"/>
          <w:sz w:val="24"/>
          <w:szCs w:val="24"/>
          <w:highlight w:val="none"/>
        </w:rPr>
        <w:fldChar w:fldCharType="separate"/>
      </w:r>
      <w:r>
        <w:rPr>
          <w:color w:val="auto"/>
          <w:sz w:val="24"/>
          <w:szCs w:val="24"/>
          <w:highlight w:val="none"/>
        </w:rPr>
        <w:t>51</w:t>
      </w:r>
      <w:r>
        <w:rPr>
          <w:color w:val="auto"/>
          <w:sz w:val="24"/>
          <w:szCs w:val="24"/>
          <w:highlight w:val="none"/>
        </w:rPr>
        <w:fldChar w:fldCharType="end"/>
      </w:r>
      <w:r>
        <w:rPr>
          <w:color w:val="auto"/>
          <w:sz w:val="24"/>
          <w:szCs w:val="24"/>
          <w:highlight w:val="none"/>
        </w:rPr>
        <w:fldChar w:fldCharType="end"/>
      </w:r>
    </w:p>
    <w:p w14:paraId="0DBD013F">
      <w:pPr>
        <w:pStyle w:val="13"/>
        <w:tabs>
          <w:tab w:val="right" w:leader="dot" w:pos="8844"/>
        </w:tabs>
        <w:spacing w:line="360" w:lineRule="auto"/>
        <w:ind w:leftChars="0"/>
        <w:rPr>
          <w:color w:val="auto"/>
          <w:sz w:val="24"/>
          <w:szCs w:val="24"/>
          <w:highlight w:val="none"/>
        </w:rPr>
      </w:pPr>
      <w:r>
        <w:rPr>
          <w:color w:val="auto"/>
          <w:highlight w:val="none"/>
        </w:rPr>
        <w:fldChar w:fldCharType="begin"/>
      </w:r>
      <w:r>
        <w:rPr>
          <w:color w:val="auto"/>
          <w:highlight w:val="none"/>
        </w:rPr>
        <w:instrText xml:space="preserve"> HYPERLINK \l "_Toc10689" </w:instrText>
      </w:r>
      <w:r>
        <w:rPr>
          <w:color w:val="auto"/>
          <w:highlight w:val="none"/>
        </w:rPr>
        <w:fldChar w:fldCharType="separate"/>
      </w:r>
      <w:r>
        <w:rPr>
          <w:rFonts w:hint="eastAsia"/>
          <w:color w:val="auto"/>
          <w:sz w:val="24"/>
          <w:szCs w:val="24"/>
          <w:highlight w:val="none"/>
          <w:lang w:val="en-US"/>
        </w:rPr>
        <w:t>5.</w:t>
      </w:r>
      <w:r>
        <w:rPr>
          <w:rFonts w:hint="eastAsia"/>
          <w:color w:val="auto"/>
          <w:sz w:val="24"/>
          <w:szCs w:val="24"/>
          <w:highlight w:val="none"/>
        </w:rPr>
        <w:t>商务条款/技术规格偏差一览表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_Toc10689 \h </w:instrText>
      </w:r>
      <w:r>
        <w:rPr>
          <w:color w:val="auto"/>
          <w:sz w:val="24"/>
          <w:szCs w:val="24"/>
          <w:highlight w:val="none"/>
        </w:rPr>
        <w:fldChar w:fldCharType="separate"/>
      </w:r>
      <w:r>
        <w:rPr>
          <w:color w:val="auto"/>
          <w:sz w:val="24"/>
          <w:szCs w:val="24"/>
          <w:highlight w:val="none"/>
        </w:rPr>
        <w:t>53</w:t>
      </w:r>
      <w:r>
        <w:rPr>
          <w:color w:val="auto"/>
          <w:sz w:val="24"/>
          <w:szCs w:val="24"/>
          <w:highlight w:val="none"/>
        </w:rPr>
        <w:fldChar w:fldCharType="end"/>
      </w:r>
      <w:r>
        <w:rPr>
          <w:color w:val="auto"/>
          <w:sz w:val="24"/>
          <w:szCs w:val="24"/>
          <w:highlight w:val="none"/>
        </w:rPr>
        <w:fldChar w:fldCharType="end"/>
      </w:r>
    </w:p>
    <w:p w14:paraId="7413A41B">
      <w:pPr>
        <w:pStyle w:val="13"/>
        <w:tabs>
          <w:tab w:val="right" w:leader="dot" w:pos="8844"/>
        </w:tabs>
        <w:spacing w:line="360" w:lineRule="auto"/>
        <w:ind w:leftChars="0"/>
        <w:rPr>
          <w:color w:val="auto"/>
          <w:sz w:val="24"/>
          <w:szCs w:val="24"/>
          <w:highlight w:val="none"/>
        </w:rPr>
      </w:pPr>
      <w:r>
        <w:rPr>
          <w:color w:val="auto"/>
          <w:highlight w:val="none"/>
        </w:rPr>
        <w:fldChar w:fldCharType="begin"/>
      </w:r>
      <w:r>
        <w:rPr>
          <w:color w:val="auto"/>
          <w:highlight w:val="none"/>
        </w:rPr>
        <w:instrText xml:space="preserve"> HYPERLINK \l "_Toc26987" </w:instrText>
      </w:r>
      <w:r>
        <w:rPr>
          <w:color w:val="auto"/>
          <w:highlight w:val="none"/>
        </w:rPr>
        <w:fldChar w:fldCharType="separate"/>
      </w:r>
      <w:r>
        <w:rPr>
          <w:rFonts w:hint="eastAsia"/>
          <w:color w:val="auto"/>
          <w:sz w:val="24"/>
          <w:szCs w:val="24"/>
          <w:highlight w:val="none"/>
          <w:lang w:val="en-US"/>
        </w:rPr>
        <w:t>6.商务技术及服务响应</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_Toc26987 \h </w:instrText>
      </w:r>
      <w:r>
        <w:rPr>
          <w:color w:val="auto"/>
          <w:sz w:val="24"/>
          <w:szCs w:val="24"/>
          <w:highlight w:val="none"/>
        </w:rPr>
        <w:fldChar w:fldCharType="separate"/>
      </w:r>
      <w:r>
        <w:rPr>
          <w:color w:val="auto"/>
          <w:sz w:val="24"/>
          <w:szCs w:val="24"/>
          <w:highlight w:val="none"/>
        </w:rPr>
        <w:t>55</w:t>
      </w:r>
      <w:r>
        <w:rPr>
          <w:color w:val="auto"/>
          <w:sz w:val="24"/>
          <w:szCs w:val="24"/>
          <w:highlight w:val="none"/>
        </w:rPr>
        <w:fldChar w:fldCharType="end"/>
      </w:r>
      <w:r>
        <w:rPr>
          <w:color w:val="auto"/>
          <w:sz w:val="24"/>
          <w:szCs w:val="24"/>
          <w:highlight w:val="none"/>
        </w:rPr>
        <w:fldChar w:fldCharType="end"/>
      </w:r>
    </w:p>
    <w:p w14:paraId="49211C97">
      <w:pPr>
        <w:pStyle w:val="13"/>
        <w:tabs>
          <w:tab w:val="right" w:leader="dot" w:pos="8844"/>
        </w:tabs>
        <w:spacing w:line="360" w:lineRule="auto"/>
        <w:ind w:leftChars="0"/>
        <w:rPr>
          <w:color w:val="auto"/>
          <w:sz w:val="24"/>
          <w:szCs w:val="24"/>
          <w:highlight w:val="none"/>
        </w:rPr>
      </w:pPr>
      <w:r>
        <w:rPr>
          <w:color w:val="auto"/>
          <w:highlight w:val="none"/>
        </w:rPr>
        <w:fldChar w:fldCharType="begin"/>
      </w:r>
      <w:r>
        <w:rPr>
          <w:color w:val="auto"/>
          <w:highlight w:val="none"/>
        </w:rPr>
        <w:instrText xml:space="preserve"> HYPERLINK \l "_Toc30192" </w:instrText>
      </w:r>
      <w:r>
        <w:rPr>
          <w:color w:val="auto"/>
          <w:highlight w:val="none"/>
        </w:rPr>
        <w:fldChar w:fldCharType="separate"/>
      </w:r>
      <w:r>
        <w:rPr>
          <w:rFonts w:hint="eastAsia"/>
          <w:color w:val="auto"/>
          <w:sz w:val="24"/>
          <w:szCs w:val="24"/>
          <w:highlight w:val="none"/>
          <w:lang w:val="en-US"/>
        </w:rPr>
        <w:t>7.</w:t>
      </w:r>
      <w:r>
        <w:rPr>
          <w:rFonts w:hint="eastAsia"/>
          <w:color w:val="auto"/>
          <w:sz w:val="24"/>
          <w:szCs w:val="24"/>
          <w:highlight w:val="none"/>
        </w:rPr>
        <w:t>项目团队</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_Toc30192 \h </w:instrText>
      </w:r>
      <w:r>
        <w:rPr>
          <w:color w:val="auto"/>
          <w:sz w:val="24"/>
          <w:szCs w:val="24"/>
          <w:highlight w:val="none"/>
        </w:rPr>
        <w:fldChar w:fldCharType="separate"/>
      </w:r>
      <w:r>
        <w:rPr>
          <w:color w:val="auto"/>
          <w:sz w:val="24"/>
          <w:szCs w:val="24"/>
          <w:highlight w:val="none"/>
        </w:rPr>
        <w:t>56</w:t>
      </w:r>
      <w:r>
        <w:rPr>
          <w:color w:val="auto"/>
          <w:sz w:val="24"/>
          <w:szCs w:val="24"/>
          <w:highlight w:val="none"/>
        </w:rPr>
        <w:fldChar w:fldCharType="end"/>
      </w:r>
      <w:r>
        <w:rPr>
          <w:color w:val="auto"/>
          <w:sz w:val="24"/>
          <w:szCs w:val="24"/>
          <w:highlight w:val="none"/>
        </w:rPr>
        <w:fldChar w:fldCharType="end"/>
      </w:r>
    </w:p>
    <w:p w14:paraId="08C097B1">
      <w:pPr>
        <w:pStyle w:val="13"/>
        <w:tabs>
          <w:tab w:val="right" w:leader="dot" w:pos="8844"/>
        </w:tabs>
        <w:spacing w:line="360" w:lineRule="auto"/>
        <w:ind w:leftChars="0"/>
        <w:rPr>
          <w:color w:val="auto"/>
          <w:sz w:val="24"/>
          <w:szCs w:val="24"/>
          <w:highlight w:val="none"/>
        </w:rPr>
      </w:pPr>
      <w:r>
        <w:rPr>
          <w:color w:val="auto"/>
          <w:highlight w:val="none"/>
        </w:rPr>
        <w:fldChar w:fldCharType="begin"/>
      </w:r>
      <w:r>
        <w:rPr>
          <w:color w:val="auto"/>
          <w:highlight w:val="none"/>
        </w:rPr>
        <w:instrText xml:space="preserve"> HYPERLINK \l "_Toc31555" </w:instrText>
      </w:r>
      <w:r>
        <w:rPr>
          <w:color w:val="auto"/>
          <w:highlight w:val="none"/>
        </w:rPr>
        <w:fldChar w:fldCharType="separate"/>
      </w:r>
      <w:r>
        <w:rPr>
          <w:rFonts w:hint="eastAsia"/>
          <w:color w:val="auto"/>
          <w:sz w:val="24"/>
          <w:szCs w:val="24"/>
          <w:highlight w:val="none"/>
          <w:lang w:val="en-US"/>
        </w:rPr>
        <w:t>8.声明函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_Toc31555 \h </w:instrText>
      </w:r>
      <w:r>
        <w:rPr>
          <w:color w:val="auto"/>
          <w:sz w:val="24"/>
          <w:szCs w:val="24"/>
          <w:highlight w:val="none"/>
        </w:rPr>
        <w:fldChar w:fldCharType="separate"/>
      </w:r>
      <w:r>
        <w:rPr>
          <w:color w:val="auto"/>
          <w:sz w:val="24"/>
          <w:szCs w:val="24"/>
          <w:highlight w:val="none"/>
        </w:rPr>
        <w:t>57</w:t>
      </w:r>
      <w:r>
        <w:rPr>
          <w:color w:val="auto"/>
          <w:sz w:val="24"/>
          <w:szCs w:val="24"/>
          <w:highlight w:val="none"/>
        </w:rPr>
        <w:fldChar w:fldCharType="end"/>
      </w:r>
      <w:r>
        <w:rPr>
          <w:color w:val="auto"/>
          <w:sz w:val="24"/>
          <w:szCs w:val="24"/>
          <w:highlight w:val="none"/>
        </w:rPr>
        <w:fldChar w:fldCharType="end"/>
      </w:r>
    </w:p>
    <w:p w14:paraId="507132AD">
      <w:pPr>
        <w:pStyle w:val="13"/>
        <w:tabs>
          <w:tab w:val="right" w:leader="dot" w:pos="8844"/>
        </w:tabs>
        <w:spacing w:line="360" w:lineRule="auto"/>
        <w:ind w:leftChars="0"/>
        <w:rPr>
          <w:color w:val="auto"/>
          <w:sz w:val="24"/>
          <w:szCs w:val="24"/>
          <w:highlight w:val="none"/>
        </w:rPr>
      </w:pPr>
      <w:r>
        <w:rPr>
          <w:color w:val="auto"/>
          <w:highlight w:val="none"/>
        </w:rPr>
        <w:fldChar w:fldCharType="begin"/>
      </w:r>
      <w:r>
        <w:rPr>
          <w:color w:val="auto"/>
          <w:highlight w:val="none"/>
        </w:rPr>
        <w:instrText xml:space="preserve"> HYPERLINK \l "_Toc596" </w:instrText>
      </w:r>
      <w:r>
        <w:rPr>
          <w:color w:val="auto"/>
          <w:highlight w:val="none"/>
        </w:rPr>
        <w:fldChar w:fldCharType="separate"/>
      </w:r>
      <w:r>
        <w:rPr>
          <w:rFonts w:hint="eastAsia"/>
          <w:color w:val="auto"/>
          <w:sz w:val="24"/>
          <w:szCs w:val="24"/>
          <w:highlight w:val="none"/>
          <w:lang w:val="en-US"/>
        </w:rPr>
        <w:t>8.1</w:t>
      </w:r>
      <w:r>
        <w:rPr>
          <w:rFonts w:hint="eastAsia"/>
          <w:color w:val="auto"/>
          <w:sz w:val="24"/>
          <w:szCs w:val="24"/>
          <w:highlight w:val="none"/>
        </w:rPr>
        <w:t>中小微企业声明函（货物）</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_Toc596 \h </w:instrText>
      </w:r>
      <w:r>
        <w:rPr>
          <w:color w:val="auto"/>
          <w:sz w:val="24"/>
          <w:szCs w:val="24"/>
          <w:highlight w:val="none"/>
        </w:rPr>
        <w:fldChar w:fldCharType="separate"/>
      </w:r>
      <w:r>
        <w:rPr>
          <w:color w:val="auto"/>
          <w:sz w:val="24"/>
          <w:szCs w:val="24"/>
          <w:highlight w:val="none"/>
        </w:rPr>
        <w:t>57</w:t>
      </w:r>
      <w:r>
        <w:rPr>
          <w:color w:val="auto"/>
          <w:sz w:val="24"/>
          <w:szCs w:val="24"/>
          <w:highlight w:val="none"/>
        </w:rPr>
        <w:fldChar w:fldCharType="end"/>
      </w:r>
      <w:r>
        <w:rPr>
          <w:color w:val="auto"/>
          <w:sz w:val="24"/>
          <w:szCs w:val="24"/>
          <w:highlight w:val="none"/>
        </w:rPr>
        <w:fldChar w:fldCharType="end"/>
      </w:r>
    </w:p>
    <w:p w14:paraId="271411E3">
      <w:pPr>
        <w:pStyle w:val="13"/>
        <w:tabs>
          <w:tab w:val="right" w:leader="dot" w:pos="8844"/>
        </w:tabs>
        <w:spacing w:line="360" w:lineRule="auto"/>
        <w:ind w:leftChars="0"/>
        <w:rPr>
          <w:color w:val="auto"/>
          <w:sz w:val="24"/>
          <w:szCs w:val="24"/>
          <w:highlight w:val="none"/>
        </w:rPr>
      </w:pPr>
      <w:r>
        <w:rPr>
          <w:color w:val="auto"/>
          <w:highlight w:val="none"/>
        </w:rPr>
        <w:fldChar w:fldCharType="begin"/>
      </w:r>
      <w:r>
        <w:rPr>
          <w:color w:val="auto"/>
          <w:highlight w:val="none"/>
        </w:rPr>
        <w:instrText xml:space="preserve"> HYPERLINK \l "_Toc8437" </w:instrText>
      </w:r>
      <w:r>
        <w:rPr>
          <w:color w:val="auto"/>
          <w:highlight w:val="none"/>
        </w:rPr>
        <w:fldChar w:fldCharType="separate"/>
      </w:r>
      <w:r>
        <w:rPr>
          <w:rFonts w:hint="eastAsia"/>
          <w:color w:val="auto"/>
          <w:sz w:val="24"/>
          <w:szCs w:val="24"/>
          <w:highlight w:val="none"/>
          <w:lang w:val="en-US"/>
        </w:rPr>
        <w:t>8.2</w:t>
      </w:r>
      <w:r>
        <w:rPr>
          <w:rFonts w:hint="eastAsia"/>
          <w:color w:val="auto"/>
          <w:sz w:val="24"/>
          <w:szCs w:val="24"/>
          <w:highlight w:val="none"/>
        </w:rPr>
        <w:t>残疾人福利性单位声明函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_Toc8437 \h </w:instrText>
      </w:r>
      <w:r>
        <w:rPr>
          <w:color w:val="auto"/>
          <w:sz w:val="24"/>
          <w:szCs w:val="24"/>
          <w:highlight w:val="none"/>
        </w:rPr>
        <w:fldChar w:fldCharType="separate"/>
      </w:r>
      <w:r>
        <w:rPr>
          <w:color w:val="auto"/>
          <w:sz w:val="24"/>
          <w:szCs w:val="24"/>
          <w:highlight w:val="none"/>
        </w:rPr>
        <w:t>58</w:t>
      </w:r>
      <w:r>
        <w:rPr>
          <w:color w:val="auto"/>
          <w:sz w:val="24"/>
          <w:szCs w:val="24"/>
          <w:highlight w:val="none"/>
        </w:rPr>
        <w:fldChar w:fldCharType="end"/>
      </w:r>
      <w:r>
        <w:rPr>
          <w:color w:val="auto"/>
          <w:sz w:val="24"/>
          <w:szCs w:val="24"/>
          <w:highlight w:val="none"/>
        </w:rPr>
        <w:fldChar w:fldCharType="end"/>
      </w:r>
    </w:p>
    <w:p w14:paraId="22FFBC13">
      <w:pPr>
        <w:pStyle w:val="13"/>
        <w:tabs>
          <w:tab w:val="right" w:leader="dot" w:pos="8844"/>
        </w:tabs>
        <w:spacing w:line="360" w:lineRule="auto"/>
        <w:ind w:leftChars="0"/>
        <w:rPr>
          <w:color w:val="auto"/>
          <w:sz w:val="24"/>
          <w:szCs w:val="24"/>
          <w:highlight w:val="none"/>
        </w:rPr>
      </w:pPr>
      <w:r>
        <w:rPr>
          <w:color w:val="auto"/>
          <w:highlight w:val="none"/>
        </w:rPr>
        <w:fldChar w:fldCharType="begin"/>
      </w:r>
      <w:r>
        <w:rPr>
          <w:color w:val="auto"/>
          <w:highlight w:val="none"/>
        </w:rPr>
        <w:instrText xml:space="preserve"> HYPERLINK \l "_Toc32456" </w:instrText>
      </w:r>
      <w:r>
        <w:rPr>
          <w:color w:val="auto"/>
          <w:highlight w:val="none"/>
        </w:rPr>
        <w:fldChar w:fldCharType="separate"/>
      </w:r>
      <w:r>
        <w:rPr>
          <w:rFonts w:hint="eastAsia"/>
          <w:color w:val="auto"/>
          <w:sz w:val="24"/>
          <w:szCs w:val="24"/>
          <w:highlight w:val="none"/>
          <w:lang w:val="en-US"/>
        </w:rPr>
        <w:t>9.</w:t>
      </w:r>
      <w:r>
        <w:rPr>
          <w:rFonts w:hint="eastAsia"/>
          <w:color w:val="auto"/>
          <w:sz w:val="24"/>
          <w:szCs w:val="24"/>
          <w:highlight w:val="none"/>
        </w:rPr>
        <w:t>其他资料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_Toc32456 \h </w:instrText>
      </w:r>
      <w:r>
        <w:rPr>
          <w:color w:val="auto"/>
          <w:sz w:val="24"/>
          <w:szCs w:val="24"/>
          <w:highlight w:val="none"/>
        </w:rPr>
        <w:fldChar w:fldCharType="separate"/>
      </w:r>
      <w:r>
        <w:rPr>
          <w:color w:val="auto"/>
          <w:sz w:val="24"/>
          <w:szCs w:val="24"/>
          <w:highlight w:val="none"/>
        </w:rPr>
        <w:t>59</w:t>
      </w:r>
      <w:r>
        <w:rPr>
          <w:color w:val="auto"/>
          <w:sz w:val="24"/>
          <w:szCs w:val="24"/>
          <w:highlight w:val="none"/>
        </w:rPr>
        <w:fldChar w:fldCharType="end"/>
      </w:r>
      <w:r>
        <w:rPr>
          <w:color w:val="auto"/>
          <w:sz w:val="24"/>
          <w:szCs w:val="24"/>
          <w:highlight w:val="none"/>
        </w:rPr>
        <w:fldChar w:fldCharType="end"/>
      </w:r>
    </w:p>
    <w:p w14:paraId="0A194EF2">
      <w:pPr>
        <w:pStyle w:val="12"/>
        <w:tabs>
          <w:tab w:val="right" w:leader="dot" w:pos="8844"/>
        </w:tabs>
        <w:spacing w:line="360" w:lineRule="auto"/>
        <w:ind w:right="0" w:firstLine="0"/>
        <w:rPr>
          <w:color w:val="auto"/>
          <w:highlight w:val="none"/>
        </w:rPr>
      </w:pPr>
      <w:r>
        <w:rPr>
          <w:color w:val="auto"/>
          <w:highlight w:val="none"/>
        </w:rPr>
        <w:fldChar w:fldCharType="begin"/>
      </w:r>
      <w:r>
        <w:rPr>
          <w:color w:val="auto"/>
          <w:highlight w:val="none"/>
        </w:rPr>
        <w:instrText xml:space="preserve"> HYPERLINK \l "_Toc30879" </w:instrText>
      </w:r>
      <w:r>
        <w:rPr>
          <w:color w:val="auto"/>
          <w:highlight w:val="none"/>
        </w:rPr>
        <w:fldChar w:fldCharType="separate"/>
      </w:r>
      <w:r>
        <w:rPr>
          <w:rFonts w:hint="eastAsia"/>
          <w:color w:val="auto"/>
          <w:highlight w:val="none"/>
        </w:rPr>
        <w:t>第五章 采购需求及技术规格要求</w:t>
      </w:r>
      <w:r>
        <w:rPr>
          <w:color w:val="auto"/>
          <w:highlight w:val="none"/>
        </w:rPr>
        <w:tab/>
      </w:r>
      <w:r>
        <w:rPr>
          <w:color w:val="auto"/>
          <w:highlight w:val="none"/>
        </w:rPr>
        <w:fldChar w:fldCharType="begin"/>
      </w:r>
      <w:r>
        <w:rPr>
          <w:color w:val="auto"/>
          <w:highlight w:val="none"/>
        </w:rPr>
        <w:instrText xml:space="preserve"> PAGEREF _Toc30879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6976E3BE">
      <w:pPr>
        <w:pStyle w:val="12"/>
        <w:tabs>
          <w:tab w:val="right" w:leader="dot" w:pos="8844"/>
        </w:tabs>
        <w:spacing w:line="360" w:lineRule="auto"/>
        <w:ind w:right="0" w:firstLine="0"/>
        <w:rPr>
          <w:color w:val="auto"/>
          <w:highlight w:val="none"/>
        </w:rPr>
      </w:pPr>
      <w:r>
        <w:rPr>
          <w:color w:val="auto"/>
          <w:highlight w:val="none"/>
        </w:rPr>
        <w:fldChar w:fldCharType="begin"/>
      </w:r>
      <w:r>
        <w:rPr>
          <w:color w:val="auto"/>
          <w:highlight w:val="none"/>
        </w:rPr>
        <w:instrText xml:space="preserve"> HYPERLINK \l "_Toc20441" </w:instrText>
      </w:r>
      <w:r>
        <w:rPr>
          <w:color w:val="auto"/>
          <w:highlight w:val="none"/>
        </w:rPr>
        <w:fldChar w:fldCharType="separate"/>
      </w:r>
      <w:r>
        <w:rPr>
          <w:rFonts w:hint="eastAsia"/>
          <w:color w:val="auto"/>
          <w:highlight w:val="none"/>
        </w:rPr>
        <w:t>第六章 评标方法和评标标准</w:t>
      </w:r>
      <w:r>
        <w:rPr>
          <w:color w:val="auto"/>
          <w:highlight w:val="none"/>
        </w:rPr>
        <w:tab/>
      </w:r>
      <w:r>
        <w:rPr>
          <w:color w:val="auto"/>
          <w:highlight w:val="none"/>
        </w:rPr>
        <w:fldChar w:fldCharType="begin"/>
      </w:r>
      <w:r>
        <w:rPr>
          <w:color w:val="auto"/>
          <w:highlight w:val="none"/>
        </w:rPr>
        <w:instrText xml:space="preserve"> PAGEREF _Toc20441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14:paraId="7F442D5F">
      <w:pPr>
        <w:pStyle w:val="2"/>
        <w:spacing w:before="0" w:line="360" w:lineRule="auto"/>
        <w:ind w:left="0"/>
        <w:jc w:val="both"/>
        <w:rPr>
          <w:color w:val="auto"/>
          <w:highlight w:val="none"/>
        </w:rPr>
      </w:pPr>
      <w:r>
        <w:rPr>
          <w:color w:val="auto"/>
          <w:highlight w:val="none"/>
        </w:rPr>
        <w:fldChar w:fldCharType="end"/>
      </w:r>
    </w:p>
    <w:p w14:paraId="31ED6E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auto"/>
          <w:spacing w:val="0"/>
          <w:sz w:val="40"/>
          <w:szCs w:val="40"/>
          <w:highlight w:val="none"/>
          <w:shd w:val="clear" w:fill="FFFFFF"/>
        </w:rPr>
      </w:pPr>
      <w:r>
        <w:rPr>
          <w:color w:val="auto"/>
          <w:highlight w:val="none"/>
        </w:rPr>
        <w:br w:type="page"/>
      </w:r>
      <w:r>
        <w:rPr>
          <w:rFonts w:hint="eastAsia" w:ascii="宋体" w:hAnsi="宋体" w:eastAsia="宋体" w:cs="宋体"/>
          <w:b/>
          <w:bCs/>
          <w:i w:val="0"/>
          <w:iCs w:val="0"/>
          <w:caps w:val="0"/>
          <w:color w:val="auto"/>
          <w:spacing w:val="0"/>
          <w:sz w:val="40"/>
          <w:szCs w:val="40"/>
          <w:highlight w:val="none"/>
          <w:shd w:val="clear" w:fill="FFFFFF"/>
        </w:rPr>
        <w:t>郑州师范学院西校区监控系统升级改造项目</w:t>
      </w:r>
    </w:p>
    <w:p w14:paraId="451C075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auto"/>
          <w:spacing w:val="0"/>
          <w:sz w:val="40"/>
          <w:szCs w:val="40"/>
          <w:highlight w:val="none"/>
          <w:shd w:val="clear" w:fill="FFFFFF"/>
        </w:rPr>
      </w:pPr>
      <w:r>
        <w:rPr>
          <w:rFonts w:hint="eastAsia" w:ascii="宋体" w:hAnsi="宋体" w:eastAsia="宋体" w:cs="宋体"/>
          <w:b/>
          <w:bCs/>
          <w:i w:val="0"/>
          <w:iCs w:val="0"/>
          <w:caps w:val="0"/>
          <w:color w:val="auto"/>
          <w:spacing w:val="0"/>
          <w:sz w:val="40"/>
          <w:szCs w:val="40"/>
          <w:highlight w:val="none"/>
          <w:shd w:val="clear" w:fill="FFFFFF"/>
        </w:rPr>
        <w:t>更正公告</w:t>
      </w:r>
    </w:p>
    <w:p w14:paraId="0676B68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一、项目基本情况</w:t>
      </w:r>
    </w:p>
    <w:p w14:paraId="6A819D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1、原公告的采购项目编号：郑财招标采购-2024-252</w:t>
      </w:r>
    </w:p>
    <w:p w14:paraId="06EFBC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2、原公告的采购项目名称：郑州师范学院西校区监控系统升级改造项目</w:t>
      </w:r>
    </w:p>
    <w:p w14:paraId="441F74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3、首次公告日期及发布媒介：2024年11月14日、《河南省政府采购网》《郑州市政府采购网》《郑州市公共资源交易中心》</w:t>
      </w:r>
    </w:p>
    <w:p w14:paraId="289F4C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4、原投标截止时间(投标文件递交截止时间)：2024年12月06日10时00分（北京时间）</w:t>
      </w:r>
    </w:p>
    <w:p w14:paraId="5D13181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二、更正信息</w:t>
      </w:r>
    </w:p>
    <w:p w14:paraId="46BBD7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1、更正事项： 采购公告 采购文件</w:t>
      </w:r>
      <w:bookmarkStart w:id="240" w:name="_GoBack"/>
      <w:bookmarkEnd w:id="240"/>
    </w:p>
    <w:p w14:paraId="61E2D7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2、原文件获取时间：2024年11月15日-2024年11月21日（北京时间）</w:t>
      </w:r>
    </w:p>
    <w:p w14:paraId="05922D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文件获取截至时间变更为：2024年11月21日23时59分（北京时间）</w:t>
      </w:r>
    </w:p>
    <w:p w14:paraId="58BE19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3、原开标时间：2024年12月06日10时00分（北京时间）</w:t>
      </w:r>
    </w:p>
    <w:p w14:paraId="7D77CD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开标时间变更为：2024年12月24日10时00分（北京时间）</w:t>
      </w:r>
    </w:p>
    <w:p w14:paraId="5F4B6B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4、原采购信息内容</w:t>
      </w:r>
    </w:p>
    <w:p w14:paraId="5B9A78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招标文件“第五章采购需求及技术规格要求”中清单的具体参数内容。</w:t>
      </w:r>
    </w:p>
    <w:p w14:paraId="047E1A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原投标截止时间：2024年12月06日10时00分（北京时间）。</w:t>
      </w:r>
    </w:p>
    <w:p w14:paraId="29547F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变更为</w:t>
      </w:r>
    </w:p>
    <w:p w14:paraId="0830AB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招标文件“第五章采购需求及技术规格要求”中清单的具体参数内容，以郑州市公共资源交易中心最新上传的答疑澄清文件为准。</w:t>
      </w:r>
    </w:p>
    <w:p w14:paraId="61BC9C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投标截止时间：2024年12月24日10时00分（北京时间）。</w:t>
      </w:r>
    </w:p>
    <w:p w14:paraId="051BF5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5、更正日期：2024年12月05日11时54分</w:t>
      </w:r>
    </w:p>
    <w:p w14:paraId="73DC2E0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三、其他补充事宜</w:t>
      </w:r>
    </w:p>
    <w:p w14:paraId="3C6B83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各潜在供应商均需重新下载修改后的招标文件，未下载修改后的招标文件导致无法上传投标文件的，风险由各潜在供应商自行承担。</w:t>
      </w:r>
    </w:p>
    <w:p w14:paraId="08CB775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四、凡对本次公告内容提出询问，请按以下方式联系</w:t>
      </w:r>
    </w:p>
    <w:p w14:paraId="3285B7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1.采购人信息</w:t>
      </w:r>
    </w:p>
    <w:p w14:paraId="16239C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名称：郑州师范学院</w:t>
      </w:r>
    </w:p>
    <w:p w14:paraId="67D494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地址：郑州市惠济区英才街6号</w:t>
      </w:r>
    </w:p>
    <w:p w14:paraId="2A8FD8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联系人：李世超</w:t>
      </w:r>
    </w:p>
    <w:p w14:paraId="5B87F3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联系方式：0371-65501286</w:t>
      </w:r>
    </w:p>
    <w:p w14:paraId="2D33FA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2.采购代理机构信息（如有）</w:t>
      </w:r>
    </w:p>
    <w:p w14:paraId="583676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名称：河南以牧全过程工程咨询有限公司</w:t>
      </w:r>
    </w:p>
    <w:p w14:paraId="7ECAAF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地址：郑州市林科路与中州大道交叉口橄榄花园小区办公楼16层</w:t>
      </w:r>
    </w:p>
    <w:p w14:paraId="29A127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联系人：王建涛</w:t>
      </w:r>
    </w:p>
    <w:p w14:paraId="2C097C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联系方式：0371-55676685</w:t>
      </w:r>
    </w:p>
    <w:p w14:paraId="04B5A2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3.项目联系方式</w:t>
      </w:r>
    </w:p>
    <w:p w14:paraId="2E4D03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项目联系人：王建涛</w:t>
      </w:r>
    </w:p>
    <w:p w14:paraId="4FED2BA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联系方式：0371-55676685</w:t>
      </w:r>
    </w:p>
    <w:p w14:paraId="15E012C6">
      <w:pPr>
        <w:rPr>
          <w:color w:val="auto"/>
          <w:highlight w:val="none"/>
        </w:rPr>
      </w:pPr>
      <w:r>
        <w:rPr>
          <w:color w:val="auto"/>
          <w:highlight w:val="none"/>
        </w:rPr>
        <w:br w:type="page"/>
      </w:r>
    </w:p>
    <w:p w14:paraId="4F7446F8">
      <w:pPr>
        <w:rPr>
          <w:color w:val="auto"/>
          <w:highlight w:val="none"/>
        </w:rPr>
      </w:pPr>
    </w:p>
    <w:p w14:paraId="34DA1DE3">
      <w:pPr>
        <w:pStyle w:val="2"/>
        <w:spacing w:before="264"/>
        <w:ind w:left="12" w:hanging="12"/>
        <w:rPr>
          <w:color w:val="auto"/>
          <w:highlight w:val="none"/>
        </w:rPr>
      </w:pPr>
      <w:bookmarkStart w:id="1" w:name="_Toc28514"/>
      <w:bookmarkStart w:id="2" w:name="_Toc9712"/>
      <w:bookmarkStart w:id="3" w:name="_Toc31063"/>
      <w:bookmarkStart w:id="4" w:name="_Toc27973"/>
      <w:bookmarkStart w:id="5" w:name="_Toc26377"/>
      <w:bookmarkStart w:id="6" w:name="_Toc7924"/>
      <w:bookmarkStart w:id="7" w:name="_Toc4634"/>
      <w:r>
        <w:rPr>
          <w:rFonts w:hint="eastAsia"/>
          <w:color w:val="auto"/>
          <w:highlight w:val="none"/>
        </w:rPr>
        <w:t>第一章 招标公告</w:t>
      </w:r>
      <w:bookmarkEnd w:id="1"/>
      <w:bookmarkEnd w:id="2"/>
      <w:bookmarkEnd w:id="3"/>
      <w:bookmarkEnd w:id="4"/>
      <w:bookmarkEnd w:id="5"/>
      <w:bookmarkEnd w:id="6"/>
      <w:bookmarkEnd w:id="7"/>
    </w:p>
    <w:p w14:paraId="1F51A299">
      <w:pPr>
        <w:spacing w:line="360" w:lineRule="auto"/>
        <w:ind w:firstLine="442" w:firstLineChars="200"/>
        <w:rPr>
          <w:b/>
          <w:color w:val="auto"/>
          <w:highlight w:val="none"/>
        </w:rPr>
      </w:pPr>
      <w:r>
        <w:rPr>
          <w:rFonts w:hint="eastAsia"/>
          <w:b/>
          <w:bCs/>
          <w:color w:val="auto"/>
          <w:highlight w:val="none"/>
        </w:rPr>
        <w:t>项目概况</w:t>
      </w:r>
    </w:p>
    <w:p w14:paraId="4007C57D">
      <w:pPr>
        <w:spacing w:line="360" w:lineRule="auto"/>
        <w:ind w:firstLine="440" w:firstLineChars="200"/>
        <w:rPr>
          <w:color w:val="auto"/>
          <w:highlight w:val="none"/>
        </w:rPr>
      </w:pPr>
      <w:r>
        <w:rPr>
          <w:rFonts w:hint="eastAsia"/>
          <w:color w:val="auto"/>
          <w:highlight w:val="none"/>
          <w:lang w:val="en-US"/>
        </w:rPr>
        <w:t>郑州师范学院西校区监控系统升级改造项目的潜在投标人应在郑州市公共资源交易中心网（http://zzggzy.zhengzhou.gov.cn/）,凭企业CA锁下载获取招标文件，并于2024年</w:t>
      </w:r>
      <w:r>
        <w:rPr>
          <w:rFonts w:hint="eastAsia"/>
          <w:color w:val="auto"/>
          <w:highlight w:val="none"/>
          <w:lang w:val="en-US" w:eastAsia="zh-CN"/>
        </w:rPr>
        <w:t>12</w:t>
      </w:r>
      <w:r>
        <w:rPr>
          <w:rFonts w:hint="eastAsia"/>
          <w:color w:val="auto"/>
          <w:highlight w:val="none"/>
          <w:lang w:val="en-US"/>
        </w:rPr>
        <w:t>月</w:t>
      </w:r>
      <w:r>
        <w:rPr>
          <w:rFonts w:hint="eastAsia"/>
          <w:color w:val="auto"/>
          <w:highlight w:val="none"/>
          <w:lang w:val="en-US" w:eastAsia="zh-CN"/>
        </w:rPr>
        <w:t>24</w:t>
      </w:r>
      <w:r>
        <w:rPr>
          <w:rFonts w:hint="eastAsia"/>
          <w:color w:val="auto"/>
          <w:highlight w:val="none"/>
          <w:lang w:val="en-US"/>
        </w:rPr>
        <w:t>日10时00分（北京时间）前递交投标文件。</w:t>
      </w:r>
    </w:p>
    <w:p w14:paraId="7CF4C143">
      <w:pPr>
        <w:spacing w:line="360" w:lineRule="auto"/>
        <w:ind w:firstLine="442" w:firstLineChars="200"/>
        <w:rPr>
          <w:b/>
          <w:bCs/>
          <w:color w:val="auto"/>
          <w:highlight w:val="none"/>
        </w:rPr>
      </w:pPr>
      <w:bookmarkStart w:id="8" w:name="一、项目基本情况"/>
      <w:bookmarkEnd w:id="8"/>
      <w:r>
        <w:rPr>
          <w:rFonts w:hint="eastAsia"/>
          <w:b/>
          <w:bCs/>
          <w:color w:val="auto"/>
          <w:highlight w:val="none"/>
        </w:rPr>
        <w:t>一、项目基本情况</w:t>
      </w:r>
    </w:p>
    <w:p w14:paraId="5071CE9D">
      <w:pPr>
        <w:spacing w:line="360" w:lineRule="auto"/>
        <w:ind w:firstLine="440" w:firstLineChars="200"/>
        <w:rPr>
          <w:color w:val="auto"/>
          <w:highlight w:val="none"/>
        </w:rPr>
      </w:pPr>
      <w:r>
        <w:rPr>
          <w:rFonts w:hint="eastAsia"/>
          <w:color w:val="auto"/>
          <w:highlight w:val="none"/>
          <w:lang w:val="en-US"/>
        </w:rPr>
        <w:t>1.</w:t>
      </w:r>
      <w:r>
        <w:rPr>
          <w:rFonts w:hint="eastAsia"/>
          <w:color w:val="auto"/>
          <w:highlight w:val="none"/>
        </w:rPr>
        <w:t>采购编号：郑财招标采购-2024-252</w:t>
      </w:r>
    </w:p>
    <w:p w14:paraId="251A6496">
      <w:pPr>
        <w:spacing w:line="360" w:lineRule="auto"/>
        <w:ind w:firstLine="440" w:firstLineChars="200"/>
        <w:rPr>
          <w:color w:val="auto"/>
          <w:highlight w:val="none"/>
        </w:rPr>
      </w:pPr>
      <w:r>
        <w:rPr>
          <w:rFonts w:hint="eastAsia"/>
          <w:color w:val="auto"/>
          <w:highlight w:val="none"/>
          <w:lang w:val="en-US"/>
        </w:rPr>
        <w:t>2.</w:t>
      </w:r>
      <w:r>
        <w:rPr>
          <w:rFonts w:hint="eastAsia"/>
          <w:color w:val="auto"/>
          <w:highlight w:val="none"/>
        </w:rPr>
        <w:t>项目名称：郑州师范学院西校区监控系统升级改造项目</w:t>
      </w:r>
    </w:p>
    <w:p w14:paraId="707408CE">
      <w:pPr>
        <w:spacing w:line="360" w:lineRule="auto"/>
        <w:ind w:firstLine="440" w:firstLineChars="200"/>
        <w:rPr>
          <w:color w:val="auto"/>
          <w:highlight w:val="none"/>
        </w:rPr>
      </w:pPr>
      <w:r>
        <w:rPr>
          <w:rFonts w:hint="eastAsia"/>
          <w:color w:val="auto"/>
          <w:highlight w:val="none"/>
          <w:lang w:val="en-US"/>
        </w:rPr>
        <w:t>3.</w:t>
      </w:r>
      <w:r>
        <w:rPr>
          <w:rFonts w:hint="eastAsia"/>
          <w:color w:val="auto"/>
          <w:highlight w:val="none"/>
        </w:rPr>
        <w:t>采购方式：公开招标；</w:t>
      </w:r>
    </w:p>
    <w:p w14:paraId="3F079503">
      <w:pPr>
        <w:spacing w:line="360" w:lineRule="auto"/>
        <w:ind w:firstLine="440" w:firstLineChars="200"/>
        <w:rPr>
          <w:color w:val="auto"/>
          <w:highlight w:val="none"/>
        </w:rPr>
      </w:pPr>
      <w:r>
        <w:rPr>
          <w:rFonts w:hint="eastAsia"/>
          <w:color w:val="auto"/>
          <w:highlight w:val="none"/>
          <w:lang w:val="en-US"/>
        </w:rPr>
        <w:t>4.</w:t>
      </w:r>
      <w:r>
        <w:rPr>
          <w:rFonts w:hint="eastAsia"/>
          <w:color w:val="auto"/>
          <w:highlight w:val="none"/>
        </w:rPr>
        <w:t>预算金额：1350000元</w:t>
      </w:r>
    </w:p>
    <w:p w14:paraId="7BD42C12">
      <w:pPr>
        <w:spacing w:line="360" w:lineRule="auto"/>
        <w:ind w:firstLine="440" w:firstLineChars="200"/>
        <w:rPr>
          <w:color w:val="auto"/>
          <w:highlight w:val="none"/>
        </w:rPr>
      </w:pPr>
      <w:r>
        <w:rPr>
          <w:rFonts w:hint="eastAsia"/>
          <w:color w:val="auto"/>
          <w:highlight w:val="none"/>
        </w:rPr>
        <w:t>最高限价：1350000元</w:t>
      </w:r>
    </w:p>
    <w:p w14:paraId="69724D3F">
      <w:pPr>
        <w:spacing w:line="360" w:lineRule="auto"/>
        <w:ind w:firstLine="440" w:firstLineChars="200"/>
        <w:rPr>
          <w:color w:val="auto"/>
          <w:highlight w:val="none"/>
        </w:rPr>
      </w:pPr>
      <w:r>
        <w:rPr>
          <w:rFonts w:hint="eastAsia"/>
          <w:color w:val="auto"/>
          <w:highlight w:val="none"/>
          <w:lang w:val="en-US"/>
        </w:rPr>
        <w:t>5.</w:t>
      </w:r>
      <w:r>
        <w:rPr>
          <w:rFonts w:hint="eastAsia"/>
          <w:color w:val="auto"/>
          <w:highlight w:val="none"/>
        </w:rPr>
        <w:t>采购需求：</w:t>
      </w:r>
    </w:p>
    <w:tbl>
      <w:tblPr>
        <w:tblStyle w:val="18"/>
        <w:tblW w:w="9918"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23"/>
        <w:gridCol w:w="2535"/>
        <w:gridCol w:w="3135"/>
        <w:gridCol w:w="1545"/>
        <w:gridCol w:w="1980"/>
      </w:tblGrid>
      <w:tr w14:paraId="478CC20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jc w:val="center"/>
        </w:trPr>
        <w:tc>
          <w:tcPr>
            <w:tcW w:w="723" w:type="dxa"/>
            <w:tcBorders>
              <w:bottom w:val="single" w:color="auto" w:sz="4" w:space="0"/>
              <w:right w:val="single" w:color="auto" w:sz="4" w:space="0"/>
            </w:tcBorders>
            <w:noWrap/>
            <w:vAlign w:val="center"/>
          </w:tcPr>
          <w:p w14:paraId="574D8921">
            <w:pPr>
              <w:widowControl/>
              <w:jc w:val="center"/>
              <w:rPr>
                <w:bCs/>
                <w:color w:val="auto"/>
                <w:highlight w:val="none"/>
              </w:rPr>
            </w:pPr>
            <w:r>
              <w:rPr>
                <w:rFonts w:hint="eastAsia"/>
                <w:bCs/>
                <w:color w:val="auto"/>
                <w:highlight w:val="none"/>
              </w:rPr>
              <w:t>序号</w:t>
            </w:r>
          </w:p>
        </w:tc>
        <w:tc>
          <w:tcPr>
            <w:tcW w:w="2535" w:type="dxa"/>
            <w:tcBorders>
              <w:left w:val="nil"/>
              <w:bottom w:val="single" w:color="auto" w:sz="4" w:space="0"/>
              <w:right w:val="single" w:color="auto" w:sz="4" w:space="0"/>
            </w:tcBorders>
            <w:noWrap/>
            <w:vAlign w:val="center"/>
          </w:tcPr>
          <w:p w14:paraId="2424DFD1">
            <w:pPr>
              <w:widowControl/>
              <w:jc w:val="center"/>
              <w:rPr>
                <w:bCs/>
                <w:color w:val="auto"/>
                <w:highlight w:val="none"/>
              </w:rPr>
            </w:pPr>
            <w:r>
              <w:rPr>
                <w:rFonts w:hint="eastAsia"/>
                <w:bCs/>
                <w:color w:val="auto"/>
                <w:highlight w:val="none"/>
              </w:rPr>
              <w:t>包号</w:t>
            </w:r>
          </w:p>
        </w:tc>
        <w:tc>
          <w:tcPr>
            <w:tcW w:w="3135" w:type="dxa"/>
            <w:tcBorders>
              <w:left w:val="nil"/>
              <w:bottom w:val="single" w:color="auto" w:sz="4" w:space="0"/>
              <w:right w:val="single" w:color="auto" w:sz="4" w:space="0"/>
            </w:tcBorders>
            <w:noWrap/>
            <w:vAlign w:val="center"/>
          </w:tcPr>
          <w:p w14:paraId="76C97863">
            <w:pPr>
              <w:widowControl/>
              <w:jc w:val="center"/>
              <w:rPr>
                <w:bCs/>
                <w:color w:val="auto"/>
                <w:highlight w:val="none"/>
              </w:rPr>
            </w:pPr>
            <w:r>
              <w:rPr>
                <w:rFonts w:hint="eastAsia"/>
                <w:bCs/>
                <w:color w:val="auto"/>
                <w:highlight w:val="none"/>
              </w:rPr>
              <w:t>包名称</w:t>
            </w:r>
          </w:p>
        </w:tc>
        <w:tc>
          <w:tcPr>
            <w:tcW w:w="1545" w:type="dxa"/>
            <w:tcBorders>
              <w:left w:val="nil"/>
              <w:bottom w:val="single" w:color="auto" w:sz="4" w:space="0"/>
              <w:right w:val="single" w:color="auto" w:sz="4" w:space="0"/>
            </w:tcBorders>
            <w:noWrap/>
            <w:vAlign w:val="center"/>
          </w:tcPr>
          <w:p w14:paraId="3F011234">
            <w:pPr>
              <w:widowControl/>
              <w:jc w:val="center"/>
              <w:rPr>
                <w:bCs/>
                <w:color w:val="auto"/>
                <w:highlight w:val="none"/>
              </w:rPr>
            </w:pPr>
            <w:r>
              <w:rPr>
                <w:rFonts w:hint="eastAsia"/>
                <w:bCs/>
                <w:color w:val="auto"/>
                <w:highlight w:val="none"/>
              </w:rPr>
              <w:t>包预算（元）</w:t>
            </w:r>
          </w:p>
        </w:tc>
        <w:tc>
          <w:tcPr>
            <w:tcW w:w="1980" w:type="dxa"/>
            <w:tcBorders>
              <w:left w:val="nil"/>
              <w:bottom w:val="single" w:color="auto" w:sz="4" w:space="0"/>
            </w:tcBorders>
            <w:noWrap/>
            <w:vAlign w:val="center"/>
          </w:tcPr>
          <w:p w14:paraId="7D6516C6">
            <w:pPr>
              <w:widowControl/>
              <w:jc w:val="center"/>
              <w:rPr>
                <w:bCs/>
                <w:color w:val="auto"/>
                <w:highlight w:val="none"/>
                <w:lang w:val="en-US"/>
              </w:rPr>
            </w:pPr>
            <w:r>
              <w:rPr>
                <w:rFonts w:hint="eastAsia"/>
                <w:bCs/>
                <w:color w:val="auto"/>
                <w:highlight w:val="none"/>
              </w:rPr>
              <w:t>包最高限价（元）</w:t>
            </w:r>
          </w:p>
        </w:tc>
      </w:tr>
      <w:tr w14:paraId="60BB872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20" w:hRule="atLeast"/>
          <w:jc w:val="center"/>
        </w:trPr>
        <w:tc>
          <w:tcPr>
            <w:tcW w:w="723" w:type="dxa"/>
            <w:tcBorders>
              <w:top w:val="nil"/>
              <w:right w:val="single" w:color="auto" w:sz="4" w:space="0"/>
            </w:tcBorders>
            <w:noWrap/>
            <w:vAlign w:val="center"/>
          </w:tcPr>
          <w:p w14:paraId="112F3E7E">
            <w:pPr>
              <w:jc w:val="center"/>
              <w:rPr>
                <w:color w:val="auto"/>
                <w:highlight w:val="none"/>
                <w:lang w:val="en-US"/>
              </w:rPr>
            </w:pPr>
            <w:r>
              <w:rPr>
                <w:rFonts w:hint="eastAsia"/>
                <w:color w:val="auto"/>
                <w:highlight w:val="none"/>
                <w:lang w:val="en-US"/>
              </w:rPr>
              <w:t>1</w:t>
            </w:r>
          </w:p>
        </w:tc>
        <w:tc>
          <w:tcPr>
            <w:tcW w:w="2535" w:type="dxa"/>
            <w:tcBorders>
              <w:top w:val="nil"/>
              <w:left w:val="nil"/>
              <w:right w:val="single" w:color="auto" w:sz="4" w:space="0"/>
            </w:tcBorders>
            <w:noWrap/>
            <w:vAlign w:val="center"/>
          </w:tcPr>
          <w:p w14:paraId="2FD7609C">
            <w:pPr>
              <w:widowControl/>
              <w:jc w:val="center"/>
              <w:rPr>
                <w:color w:val="auto"/>
                <w:highlight w:val="none"/>
              </w:rPr>
            </w:pPr>
            <w:r>
              <w:rPr>
                <w:rFonts w:hint="eastAsia"/>
                <w:color w:val="auto"/>
                <w:highlight w:val="none"/>
              </w:rPr>
              <w:t>郑财招标采购-2024-252</w:t>
            </w:r>
          </w:p>
        </w:tc>
        <w:tc>
          <w:tcPr>
            <w:tcW w:w="3135" w:type="dxa"/>
            <w:tcBorders>
              <w:top w:val="nil"/>
              <w:left w:val="nil"/>
              <w:right w:val="single" w:color="auto" w:sz="4" w:space="0"/>
            </w:tcBorders>
            <w:noWrap/>
            <w:vAlign w:val="center"/>
          </w:tcPr>
          <w:p w14:paraId="10E1C8D3">
            <w:pPr>
              <w:widowControl/>
              <w:jc w:val="center"/>
              <w:rPr>
                <w:color w:val="auto"/>
                <w:highlight w:val="none"/>
              </w:rPr>
            </w:pPr>
            <w:r>
              <w:rPr>
                <w:rFonts w:hint="eastAsia"/>
                <w:color w:val="auto"/>
                <w:highlight w:val="none"/>
              </w:rPr>
              <w:t>郑州师范学院西校区监控系统升级改造项目</w:t>
            </w:r>
          </w:p>
        </w:tc>
        <w:tc>
          <w:tcPr>
            <w:tcW w:w="1545" w:type="dxa"/>
            <w:tcBorders>
              <w:top w:val="nil"/>
              <w:left w:val="nil"/>
              <w:right w:val="single" w:color="auto" w:sz="4" w:space="0"/>
            </w:tcBorders>
            <w:noWrap/>
            <w:vAlign w:val="center"/>
          </w:tcPr>
          <w:p w14:paraId="394AC972">
            <w:pPr>
              <w:widowControl/>
              <w:jc w:val="center"/>
              <w:rPr>
                <w:color w:val="auto"/>
                <w:highlight w:val="none"/>
                <w:lang w:val="en-US"/>
              </w:rPr>
            </w:pPr>
            <w:r>
              <w:rPr>
                <w:rFonts w:hint="eastAsia"/>
                <w:color w:val="auto"/>
                <w:highlight w:val="none"/>
                <w:lang w:val="en-US"/>
              </w:rPr>
              <w:t>1350000</w:t>
            </w:r>
          </w:p>
        </w:tc>
        <w:tc>
          <w:tcPr>
            <w:tcW w:w="1980" w:type="dxa"/>
            <w:tcBorders>
              <w:top w:val="nil"/>
              <w:left w:val="single" w:color="auto" w:sz="4" w:space="0"/>
            </w:tcBorders>
            <w:noWrap/>
            <w:vAlign w:val="center"/>
          </w:tcPr>
          <w:p w14:paraId="06FA69B7">
            <w:pPr>
              <w:jc w:val="center"/>
              <w:rPr>
                <w:color w:val="auto"/>
                <w:highlight w:val="none"/>
                <w:lang w:val="en-US"/>
              </w:rPr>
            </w:pPr>
            <w:r>
              <w:rPr>
                <w:rFonts w:hint="eastAsia"/>
                <w:color w:val="auto"/>
                <w:highlight w:val="none"/>
                <w:lang w:val="en-US"/>
              </w:rPr>
              <w:t>1350000</w:t>
            </w:r>
          </w:p>
        </w:tc>
      </w:tr>
    </w:tbl>
    <w:p w14:paraId="2425F16F">
      <w:pPr>
        <w:spacing w:line="360" w:lineRule="auto"/>
        <w:ind w:firstLine="440" w:firstLineChars="200"/>
        <w:rPr>
          <w:color w:val="auto"/>
          <w:highlight w:val="none"/>
          <w:lang w:val="en-US"/>
        </w:rPr>
      </w:pPr>
      <w:r>
        <w:rPr>
          <w:rFonts w:hint="eastAsia"/>
          <w:color w:val="auto"/>
          <w:highlight w:val="none"/>
          <w:lang w:val="en-US"/>
        </w:rPr>
        <w:t>5.1采购内容：西校区监控升级改造（详见采购需求）</w:t>
      </w:r>
    </w:p>
    <w:p w14:paraId="2935B0C9">
      <w:pPr>
        <w:spacing w:line="360" w:lineRule="auto"/>
        <w:ind w:firstLine="440" w:firstLineChars="200"/>
        <w:rPr>
          <w:color w:val="auto"/>
          <w:highlight w:val="none"/>
          <w:lang w:val="en-US"/>
        </w:rPr>
      </w:pPr>
      <w:r>
        <w:rPr>
          <w:rFonts w:hint="eastAsia"/>
          <w:color w:val="auto"/>
          <w:highlight w:val="none"/>
          <w:lang w:val="en-US"/>
        </w:rPr>
        <w:t>5.2资金来源：财政资金（已落实）</w:t>
      </w:r>
    </w:p>
    <w:p w14:paraId="40771532">
      <w:pPr>
        <w:spacing w:line="360" w:lineRule="auto"/>
        <w:ind w:firstLine="440" w:firstLineChars="200"/>
        <w:rPr>
          <w:color w:val="auto"/>
          <w:highlight w:val="none"/>
          <w:lang w:val="en-US"/>
        </w:rPr>
      </w:pPr>
      <w:r>
        <w:rPr>
          <w:rFonts w:hint="eastAsia"/>
          <w:color w:val="auto"/>
          <w:highlight w:val="none"/>
          <w:lang w:val="en-US"/>
        </w:rPr>
        <w:t>5.3交货期：合同签订之日起40天供货安装调试完毕</w:t>
      </w:r>
    </w:p>
    <w:p w14:paraId="0F9FD6D8">
      <w:pPr>
        <w:spacing w:line="360" w:lineRule="auto"/>
        <w:ind w:firstLine="440" w:firstLineChars="200"/>
        <w:rPr>
          <w:color w:val="auto"/>
          <w:highlight w:val="none"/>
          <w:lang w:val="en-US"/>
        </w:rPr>
      </w:pPr>
      <w:r>
        <w:rPr>
          <w:rFonts w:hint="eastAsia"/>
          <w:color w:val="auto"/>
          <w:highlight w:val="none"/>
          <w:lang w:val="en-US"/>
        </w:rPr>
        <w:t>5.4交货地点：采购人指定地点</w:t>
      </w:r>
    </w:p>
    <w:p w14:paraId="133D0214">
      <w:pPr>
        <w:spacing w:line="360" w:lineRule="auto"/>
        <w:ind w:firstLine="440" w:firstLineChars="200"/>
        <w:rPr>
          <w:color w:val="auto"/>
          <w:highlight w:val="none"/>
          <w:lang w:val="en-US"/>
        </w:rPr>
      </w:pPr>
      <w:r>
        <w:rPr>
          <w:rFonts w:hint="eastAsia"/>
          <w:color w:val="auto"/>
          <w:highlight w:val="none"/>
          <w:lang w:val="en-US"/>
        </w:rPr>
        <w:t>5.5质量要求：符合国家、行业规定的合格标准和规范，满足招标文件和采购人的要求</w:t>
      </w:r>
    </w:p>
    <w:p w14:paraId="7BA35A79">
      <w:pPr>
        <w:spacing w:line="360" w:lineRule="auto"/>
        <w:ind w:firstLine="440" w:firstLineChars="200"/>
        <w:rPr>
          <w:color w:val="auto"/>
          <w:highlight w:val="none"/>
          <w:lang w:val="en-US"/>
        </w:rPr>
      </w:pPr>
      <w:r>
        <w:rPr>
          <w:rFonts w:hint="eastAsia"/>
          <w:color w:val="auto"/>
          <w:highlight w:val="none"/>
          <w:lang w:val="en-US"/>
        </w:rPr>
        <w:t>5.6质保期：质保期为36个月</w:t>
      </w:r>
    </w:p>
    <w:p w14:paraId="134F7C9C">
      <w:pPr>
        <w:spacing w:line="360" w:lineRule="auto"/>
        <w:ind w:firstLine="440" w:firstLineChars="200"/>
        <w:rPr>
          <w:color w:val="auto"/>
          <w:highlight w:val="none"/>
          <w:lang w:val="en-US"/>
        </w:rPr>
      </w:pPr>
      <w:r>
        <w:rPr>
          <w:rFonts w:hint="eastAsia"/>
          <w:color w:val="auto"/>
          <w:highlight w:val="none"/>
          <w:lang w:val="en-US"/>
        </w:rPr>
        <w:t>6.合同履行期限：至项目质保期结束</w:t>
      </w:r>
    </w:p>
    <w:p w14:paraId="7ED48DD3">
      <w:pPr>
        <w:spacing w:line="360" w:lineRule="auto"/>
        <w:ind w:firstLine="440" w:firstLineChars="200"/>
        <w:rPr>
          <w:color w:val="auto"/>
          <w:highlight w:val="none"/>
        </w:rPr>
      </w:pPr>
      <w:r>
        <w:rPr>
          <w:rFonts w:hint="eastAsia"/>
          <w:color w:val="auto"/>
          <w:highlight w:val="none"/>
          <w:lang w:val="en-US"/>
        </w:rPr>
        <w:t>7</w:t>
      </w:r>
      <w:r>
        <w:rPr>
          <w:rFonts w:hint="eastAsia"/>
          <w:color w:val="auto"/>
          <w:highlight w:val="none"/>
        </w:rPr>
        <w:t>.本项目是否接受联合体投标：否</w:t>
      </w:r>
    </w:p>
    <w:p w14:paraId="0B0E0E64">
      <w:pPr>
        <w:spacing w:line="360" w:lineRule="auto"/>
        <w:ind w:firstLine="440" w:firstLineChars="200"/>
        <w:rPr>
          <w:color w:val="auto"/>
          <w:highlight w:val="none"/>
          <w:lang w:val="en-US"/>
        </w:rPr>
      </w:pPr>
      <w:r>
        <w:rPr>
          <w:rFonts w:hint="eastAsia"/>
          <w:color w:val="auto"/>
          <w:highlight w:val="none"/>
          <w:lang w:val="en-US"/>
        </w:rPr>
        <w:t>8.</w:t>
      </w:r>
      <w:r>
        <w:rPr>
          <w:rFonts w:hint="eastAsia"/>
          <w:color w:val="auto"/>
          <w:highlight w:val="none"/>
        </w:rPr>
        <w:t>是否接受进口产品：否</w:t>
      </w:r>
    </w:p>
    <w:p w14:paraId="6C557888">
      <w:pPr>
        <w:spacing w:line="360" w:lineRule="auto"/>
        <w:ind w:firstLine="440" w:firstLineChars="200"/>
        <w:rPr>
          <w:color w:val="auto"/>
          <w:highlight w:val="none"/>
        </w:rPr>
      </w:pPr>
      <w:r>
        <w:rPr>
          <w:rFonts w:hint="eastAsia"/>
          <w:color w:val="auto"/>
          <w:highlight w:val="none"/>
          <w:lang w:val="en-US"/>
        </w:rPr>
        <w:t>9.</w:t>
      </w:r>
      <w:r>
        <w:rPr>
          <w:rFonts w:hint="eastAsia"/>
          <w:color w:val="auto"/>
          <w:highlight w:val="none"/>
        </w:rPr>
        <w:t>是否为只面向中小企业采购：否</w:t>
      </w:r>
    </w:p>
    <w:p w14:paraId="69D7ECB5">
      <w:pPr>
        <w:spacing w:line="360" w:lineRule="auto"/>
        <w:ind w:firstLine="442" w:firstLineChars="200"/>
        <w:rPr>
          <w:b/>
          <w:bCs/>
          <w:color w:val="auto"/>
          <w:highlight w:val="none"/>
        </w:rPr>
      </w:pPr>
      <w:r>
        <w:rPr>
          <w:rFonts w:hint="eastAsia"/>
          <w:b/>
          <w:bCs/>
          <w:color w:val="auto"/>
          <w:highlight w:val="none"/>
        </w:rPr>
        <w:t>二、申请人资格要求</w:t>
      </w:r>
    </w:p>
    <w:p w14:paraId="456EBB3A">
      <w:pPr>
        <w:spacing w:line="360" w:lineRule="auto"/>
        <w:ind w:firstLine="440" w:firstLineChars="200"/>
        <w:rPr>
          <w:color w:val="auto"/>
          <w:highlight w:val="none"/>
          <w:lang w:val="en-US"/>
        </w:rPr>
      </w:pPr>
      <w:r>
        <w:rPr>
          <w:rFonts w:hint="eastAsia"/>
          <w:color w:val="auto"/>
          <w:highlight w:val="none"/>
          <w:lang w:val="en-US"/>
        </w:rPr>
        <w:t>1.满足《中华人民共和国政府采购法》第二十二条规定；</w:t>
      </w:r>
    </w:p>
    <w:p w14:paraId="30A84CEA">
      <w:pPr>
        <w:spacing w:line="360" w:lineRule="auto"/>
        <w:ind w:firstLine="440" w:firstLineChars="200"/>
        <w:rPr>
          <w:color w:val="auto"/>
          <w:highlight w:val="none"/>
          <w:lang w:val="en-US"/>
        </w:rPr>
      </w:pPr>
      <w:r>
        <w:rPr>
          <w:rFonts w:hint="eastAsia"/>
          <w:color w:val="auto"/>
          <w:highlight w:val="none"/>
          <w:lang w:val="en-US"/>
        </w:rPr>
        <w:t>2.落实政府采购政策满足的资格要求：</w:t>
      </w:r>
    </w:p>
    <w:p w14:paraId="7C2A5148">
      <w:pPr>
        <w:spacing w:line="360" w:lineRule="auto"/>
        <w:ind w:firstLine="440" w:firstLineChars="200"/>
        <w:rPr>
          <w:color w:val="auto"/>
          <w:highlight w:val="none"/>
          <w:lang w:val="en-US"/>
        </w:rPr>
      </w:pPr>
      <w:r>
        <w:rPr>
          <w:rFonts w:hint="eastAsia"/>
          <w:color w:val="auto"/>
          <w:highlight w:val="none"/>
          <w:lang w:val="en-US"/>
        </w:rPr>
        <w:t>本项目执行促进中小型企业发展政策（监狱企业、残疾人福利性企业视同小微企业）、强制采购节能产品、优先采购节能环保产品、优先采购国货等政府采购政策；</w:t>
      </w:r>
    </w:p>
    <w:p w14:paraId="79531FAD">
      <w:pPr>
        <w:spacing w:line="360" w:lineRule="auto"/>
        <w:ind w:firstLine="440" w:firstLineChars="200"/>
        <w:rPr>
          <w:color w:val="auto"/>
          <w:highlight w:val="none"/>
          <w:lang w:val="en-US"/>
        </w:rPr>
      </w:pPr>
      <w:r>
        <w:rPr>
          <w:rFonts w:hint="eastAsia"/>
          <w:color w:val="auto"/>
          <w:highlight w:val="none"/>
          <w:lang w:val="en-US"/>
        </w:rPr>
        <w:t>3.本项目的特定资格要求</w:t>
      </w:r>
    </w:p>
    <w:p w14:paraId="6A2E4881">
      <w:pPr>
        <w:spacing w:line="360" w:lineRule="auto"/>
        <w:ind w:firstLine="440" w:firstLineChars="200"/>
        <w:rPr>
          <w:color w:val="auto"/>
          <w:highlight w:val="none"/>
          <w:lang w:val="en-US"/>
        </w:rPr>
      </w:pPr>
      <w:r>
        <w:rPr>
          <w:rFonts w:hint="eastAsia"/>
          <w:color w:val="auto"/>
          <w:highlight w:val="none"/>
          <w:lang w:val="en-US"/>
        </w:rPr>
        <w:t>3.1</w:t>
      </w:r>
      <w:r>
        <w:rPr>
          <w:rFonts w:hint="eastAsia"/>
          <w:color w:val="auto"/>
          <w:highlight w:val="none"/>
        </w:rPr>
        <w:t>根据《关于在政府采购活动中查询及使用信用记录有关问题的通知》</w:t>
      </w:r>
      <w:r>
        <w:rPr>
          <w:rFonts w:hint="eastAsia"/>
          <w:color w:val="auto"/>
          <w:highlight w:val="none"/>
          <w:lang w:val="en-US"/>
        </w:rPr>
        <w:t>(</w:t>
      </w:r>
      <w:r>
        <w:rPr>
          <w:rFonts w:hint="eastAsia"/>
          <w:color w:val="auto"/>
          <w:highlight w:val="none"/>
        </w:rPr>
        <w:t>财库</w:t>
      </w:r>
      <w:r>
        <w:rPr>
          <w:rFonts w:hint="eastAsia"/>
          <w:color w:val="auto"/>
          <w:highlight w:val="none"/>
          <w:lang w:val="en-US"/>
        </w:rPr>
        <w:t>[2016]125</w:t>
      </w:r>
      <w:r>
        <w:rPr>
          <w:rFonts w:hint="eastAsia"/>
          <w:color w:val="auto"/>
          <w:highlight w:val="none"/>
        </w:rPr>
        <w:t>号</w:t>
      </w:r>
      <w:r>
        <w:rPr>
          <w:rFonts w:hint="eastAsia"/>
          <w:color w:val="auto"/>
          <w:highlight w:val="none"/>
          <w:lang w:val="en-US"/>
        </w:rPr>
        <w:t>)</w:t>
      </w:r>
      <w:r>
        <w:rPr>
          <w:rFonts w:hint="eastAsia"/>
          <w:color w:val="auto"/>
          <w:highlight w:val="none"/>
        </w:rPr>
        <w:t>和豫财购</w:t>
      </w:r>
      <w:r>
        <w:rPr>
          <w:rFonts w:hint="eastAsia"/>
          <w:color w:val="auto"/>
          <w:highlight w:val="none"/>
          <w:lang w:val="en-US"/>
        </w:rPr>
        <w:t>[2016]15</w:t>
      </w:r>
      <w:r>
        <w:rPr>
          <w:rFonts w:hint="eastAsia"/>
          <w:color w:val="auto"/>
          <w:highlight w:val="none"/>
        </w:rPr>
        <w:t>号的规定</w:t>
      </w:r>
      <w:r>
        <w:rPr>
          <w:rFonts w:hint="eastAsia"/>
          <w:color w:val="auto"/>
          <w:highlight w:val="none"/>
          <w:lang w:val="en-US"/>
        </w:rPr>
        <w:t>，</w:t>
      </w:r>
      <w:r>
        <w:rPr>
          <w:rFonts w:hint="eastAsia"/>
          <w:color w:val="auto"/>
          <w:highlight w:val="none"/>
        </w:rPr>
        <w:t>对列入失信被执行人、重大税收违法失信主体、政府采购严重违法失信行为记录名单的企业</w:t>
      </w:r>
      <w:r>
        <w:rPr>
          <w:rFonts w:hint="eastAsia"/>
          <w:color w:val="auto"/>
          <w:highlight w:val="none"/>
          <w:lang w:val="en-US"/>
        </w:rPr>
        <w:t>，</w:t>
      </w:r>
      <w:r>
        <w:rPr>
          <w:rFonts w:hint="eastAsia"/>
          <w:color w:val="auto"/>
          <w:highlight w:val="none"/>
        </w:rPr>
        <w:t>拒绝参与本项目政府采购活动</w:t>
      </w:r>
      <w:r>
        <w:rPr>
          <w:rFonts w:hint="eastAsia"/>
          <w:color w:val="auto"/>
          <w:highlight w:val="none"/>
          <w:lang w:val="en-US"/>
        </w:rPr>
        <w:t>(</w:t>
      </w:r>
      <w:r>
        <w:rPr>
          <w:rFonts w:hint="eastAsia"/>
          <w:color w:val="auto"/>
          <w:highlight w:val="none"/>
        </w:rPr>
        <w:t>查询渠道</w:t>
      </w:r>
      <w:r>
        <w:rPr>
          <w:rFonts w:hint="eastAsia"/>
          <w:color w:val="auto"/>
          <w:highlight w:val="none"/>
          <w:lang w:val="en-US"/>
        </w:rPr>
        <w:t>：“</w:t>
      </w:r>
      <w:r>
        <w:rPr>
          <w:rFonts w:hint="eastAsia"/>
          <w:color w:val="auto"/>
          <w:highlight w:val="none"/>
        </w:rPr>
        <w:t>中国执行信息公开网</w:t>
      </w:r>
      <w:r>
        <w:rPr>
          <w:rFonts w:hint="eastAsia"/>
          <w:color w:val="auto"/>
          <w:highlight w:val="none"/>
          <w:lang w:val="en-US"/>
        </w:rPr>
        <w:t>(zxgk.court.gov.cn)”</w:t>
      </w:r>
      <w:r>
        <w:rPr>
          <w:rFonts w:hint="eastAsia"/>
          <w:color w:val="auto"/>
          <w:highlight w:val="none"/>
        </w:rPr>
        <w:t>查询</w:t>
      </w:r>
      <w:r>
        <w:rPr>
          <w:rFonts w:hint="eastAsia"/>
          <w:color w:val="auto"/>
          <w:highlight w:val="none"/>
          <w:lang w:val="en-US"/>
        </w:rPr>
        <w:t>：</w:t>
      </w:r>
      <w:r>
        <w:rPr>
          <w:rFonts w:hint="eastAsia"/>
          <w:color w:val="auto"/>
          <w:highlight w:val="none"/>
        </w:rPr>
        <w:t>失信被执行人名单</w:t>
      </w:r>
      <w:r>
        <w:rPr>
          <w:rFonts w:hint="eastAsia"/>
          <w:color w:val="auto"/>
          <w:highlight w:val="none"/>
          <w:lang w:val="en-US"/>
        </w:rPr>
        <w:t>；“</w:t>
      </w:r>
      <w:r>
        <w:rPr>
          <w:rFonts w:hint="eastAsia"/>
          <w:color w:val="auto"/>
          <w:highlight w:val="none"/>
        </w:rPr>
        <w:t>信用中国</w:t>
      </w:r>
      <w:r>
        <w:rPr>
          <w:rFonts w:hint="eastAsia"/>
          <w:color w:val="auto"/>
          <w:highlight w:val="none"/>
          <w:lang w:val="en-US"/>
        </w:rPr>
        <w:t>”</w:t>
      </w:r>
      <w:r>
        <w:rPr>
          <w:rFonts w:hint="eastAsia"/>
          <w:color w:val="auto"/>
          <w:highlight w:val="none"/>
        </w:rPr>
        <w:t>网站</w:t>
      </w:r>
      <w:r>
        <w:rPr>
          <w:rFonts w:hint="eastAsia"/>
          <w:color w:val="auto"/>
          <w:highlight w:val="none"/>
          <w:lang w:val="en-US"/>
        </w:rPr>
        <w:t>(www.creditchina.gov.cn)</w:t>
      </w:r>
      <w:r>
        <w:rPr>
          <w:rFonts w:hint="eastAsia"/>
          <w:color w:val="auto"/>
          <w:highlight w:val="none"/>
        </w:rPr>
        <w:t>查询</w:t>
      </w:r>
      <w:r>
        <w:rPr>
          <w:rFonts w:hint="eastAsia"/>
          <w:color w:val="auto"/>
          <w:highlight w:val="none"/>
          <w:lang w:val="en-US"/>
        </w:rPr>
        <w:t>：</w:t>
      </w:r>
      <w:r>
        <w:rPr>
          <w:rFonts w:hint="eastAsia"/>
          <w:color w:val="auto"/>
          <w:highlight w:val="none"/>
        </w:rPr>
        <w:t>重大税收违法失信主体、</w:t>
      </w:r>
      <w:r>
        <w:rPr>
          <w:rFonts w:hint="eastAsia"/>
          <w:color w:val="auto"/>
          <w:highlight w:val="none"/>
          <w:lang w:val="en-US"/>
        </w:rPr>
        <w:t>“</w:t>
      </w:r>
      <w:r>
        <w:rPr>
          <w:rFonts w:hint="eastAsia"/>
          <w:color w:val="auto"/>
          <w:highlight w:val="none"/>
        </w:rPr>
        <w:t>中国政府采购网</w:t>
      </w:r>
      <w:r>
        <w:rPr>
          <w:rFonts w:hint="eastAsia"/>
          <w:color w:val="auto"/>
          <w:highlight w:val="none"/>
          <w:lang w:val="en-US"/>
        </w:rPr>
        <w:t>”(www.ccgp.gov.cn)</w:t>
      </w:r>
      <w:r>
        <w:rPr>
          <w:rFonts w:hint="eastAsia"/>
          <w:color w:val="auto"/>
          <w:highlight w:val="none"/>
        </w:rPr>
        <w:t>查询</w:t>
      </w:r>
      <w:r>
        <w:rPr>
          <w:rFonts w:hint="eastAsia"/>
          <w:color w:val="auto"/>
          <w:highlight w:val="none"/>
          <w:lang w:val="en-US"/>
        </w:rPr>
        <w:t>：</w:t>
      </w:r>
      <w:r>
        <w:rPr>
          <w:rFonts w:hint="eastAsia"/>
          <w:color w:val="auto"/>
          <w:highlight w:val="none"/>
        </w:rPr>
        <w:t>政府采购严重违法失信行为记录名单</w:t>
      </w:r>
      <w:r>
        <w:rPr>
          <w:rFonts w:hint="eastAsia"/>
          <w:color w:val="auto"/>
          <w:highlight w:val="none"/>
          <w:lang w:val="en-US"/>
        </w:rPr>
        <w:t>)；</w:t>
      </w:r>
    </w:p>
    <w:p w14:paraId="4B087BF4">
      <w:pPr>
        <w:spacing w:line="360" w:lineRule="auto"/>
        <w:ind w:firstLine="440" w:firstLineChars="200"/>
        <w:rPr>
          <w:color w:val="auto"/>
          <w:highlight w:val="none"/>
        </w:rPr>
      </w:pPr>
      <w:r>
        <w:rPr>
          <w:rFonts w:hint="eastAsia"/>
          <w:color w:val="auto"/>
          <w:highlight w:val="none"/>
        </w:rPr>
        <w:t>注：采购代理机构在开标当天将对所有参与本项目投标的供应商的信用情况(失信被执行人、重大税收违法失信主体、政府采购严重违法失信行为记录名单)进行查询、打印留存。若在开标当天查询到供应商有相关负面信息的，则该供应商为无效供应商；</w:t>
      </w:r>
    </w:p>
    <w:p w14:paraId="674002F1">
      <w:pPr>
        <w:spacing w:line="360" w:lineRule="auto"/>
        <w:ind w:firstLine="440" w:firstLineChars="200"/>
        <w:rPr>
          <w:color w:val="auto"/>
          <w:highlight w:val="none"/>
          <w:lang w:val="en-US"/>
        </w:rPr>
      </w:pPr>
      <w:r>
        <w:rPr>
          <w:rFonts w:hint="eastAsia"/>
          <w:color w:val="auto"/>
          <w:highlight w:val="none"/>
          <w:lang w:val="en-US"/>
        </w:rPr>
        <w:t>3.2</w:t>
      </w:r>
      <w:r>
        <w:rPr>
          <w:rFonts w:hint="eastAsia"/>
          <w:color w:val="auto"/>
          <w:highlight w:val="none"/>
        </w:rPr>
        <w:t>单位负责人为同一人或者存在直接控股、管理关系的不同供应商，全部或者部分股东(基金公司或者专业投资公司作为股东的除外)为同一法人、其他组织或者自然人的不同供应商，同一自然人在两个以上供应商任职的不同供应商，不得参加同一合同项下的投标。【提供在“全国企业信用信息公示系统”中查询打印的相关材料(需包含公司基本信息、股东信息及股权变更信息)】。</w:t>
      </w:r>
    </w:p>
    <w:p w14:paraId="2577A767">
      <w:pPr>
        <w:spacing w:line="360" w:lineRule="auto"/>
        <w:ind w:firstLine="442" w:firstLineChars="200"/>
        <w:rPr>
          <w:b/>
          <w:bCs/>
          <w:color w:val="auto"/>
          <w:highlight w:val="none"/>
        </w:rPr>
      </w:pPr>
      <w:r>
        <w:rPr>
          <w:rFonts w:hint="eastAsia"/>
          <w:b/>
          <w:bCs/>
          <w:color w:val="auto"/>
          <w:highlight w:val="none"/>
        </w:rPr>
        <w:t>三、获取招标文件</w:t>
      </w:r>
    </w:p>
    <w:p w14:paraId="1037ABC5">
      <w:pPr>
        <w:spacing w:line="360" w:lineRule="auto"/>
        <w:ind w:firstLine="440" w:firstLineChars="200"/>
        <w:rPr>
          <w:color w:val="auto"/>
          <w:highlight w:val="none"/>
          <w:lang w:val="en-US"/>
        </w:rPr>
      </w:pPr>
      <w:r>
        <w:rPr>
          <w:rFonts w:hint="eastAsia"/>
          <w:color w:val="auto"/>
          <w:highlight w:val="none"/>
          <w:lang w:val="en-US"/>
        </w:rPr>
        <w:t>1.</w:t>
      </w:r>
      <w:r>
        <w:rPr>
          <w:rFonts w:hint="eastAsia"/>
          <w:color w:val="auto"/>
          <w:highlight w:val="none"/>
        </w:rPr>
        <w:t>时间：202</w:t>
      </w:r>
      <w:r>
        <w:rPr>
          <w:rFonts w:hint="eastAsia"/>
          <w:color w:val="auto"/>
          <w:highlight w:val="none"/>
          <w:lang w:val="en-US"/>
        </w:rPr>
        <w:t>4</w:t>
      </w:r>
      <w:r>
        <w:rPr>
          <w:rFonts w:hint="eastAsia"/>
          <w:color w:val="auto"/>
          <w:highlight w:val="none"/>
        </w:rPr>
        <w:t>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15</w:t>
      </w:r>
      <w:r>
        <w:rPr>
          <w:rFonts w:hint="eastAsia"/>
          <w:color w:val="auto"/>
          <w:highlight w:val="none"/>
        </w:rPr>
        <w:t>日至202</w:t>
      </w:r>
      <w:r>
        <w:rPr>
          <w:rFonts w:hint="eastAsia"/>
          <w:color w:val="auto"/>
          <w:highlight w:val="none"/>
          <w:lang w:val="en-US"/>
        </w:rPr>
        <w:t>4</w:t>
      </w:r>
      <w:r>
        <w:rPr>
          <w:rFonts w:hint="eastAsia"/>
          <w:color w:val="auto"/>
          <w:highlight w:val="none"/>
        </w:rPr>
        <w:t>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21</w:t>
      </w:r>
      <w:r>
        <w:rPr>
          <w:rFonts w:hint="eastAsia"/>
          <w:color w:val="auto"/>
          <w:highlight w:val="none"/>
        </w:rPr>
        <w:t>日，每天上午00:00至12:00，下午12:00至23:59（北京时间，法定节假日除外）；</w:t>
      </w:r>
    </w:p>
    <w:p w14:paraId="7AB82FE9">
      <w:pPr>
        <w:wordWrap w:val="0"/>
        <w:spacing w:line="360" w:lineRule="auto"/>
        <w:ind w:firstLine="440" w:firstLineChars="200"/>
        <w:rPr>
          <w:color w:val="auto"/>
          <w:highlight w:val="none"/>
          <w:lang w:val="en-US"/>
        </w:rPr>
      </w:pPr>
      <w:r>
        <w:rPr>
          <w:rFonts w:hint="eastAsia"/>
          <w:color w:val="auto"/>
          <w:highlight w:val="none"/>
          <w:lang w:val="en-US"/>
        </w:rPr>
        <w:t>2.</w:t>
      </w:r>
      <w:r>
        <w:rPr>
          <w:rFonts w:hint="eastAsia"/>
          <w:color w:val="auto"/>
          <w:highlight w:val="none"/>
        </w:rPr>
        <w:t>地点</w:t>
      </w:r>
      <w:r>
        <w:rPr>
          <w:rFonts w:hint="eastAsia"/>
          <w:color w:val="auto"/>
          <w:highlight w:val="none"/>
          <w:lang w:val="en-US"/>
        </w:rPr>
        <w:t>：</w:t>
      </w:r>
      <w:r>
        <w:rPr>
          <w:rFonts w:hint="eastAsia"/>
          <w:color w:val="auto"/>
          <w:highlight w:val="none"/>
        </w:rPr>
        <w:t>郑州市公共资源交易中心</w:t>
      </w:r>
      <w:r>
        <w:rPr>
          <w:rFonts w:hint="eastAsia"/>
          <w:color w:val="auto"/>
          <w:highlight w:val="none"/>
          <w:lang w:val="en-US"/>
        </w:rPr>
        <w:t>（http://zzggzy.zhengzhou.gov.cn//）</w:t>
      </w:r>
      <w:r>
        <w:rPr>
          <w:rFonts w:hint="eastAsia"/>
          <w:color w:val="auto"/>
          <w:highlight w:val="none"/>
        </w:rPr>
        <w:t>电子交易平台</w:t>
      </w:r>
      <w:r>
        <w:rPr>
          <w:rFonts w:hint="eastAsia"/>
          <w:color w:val="auto"/>
          <w:highlight w:val="none"/>
          <w:lang w:val="en-US"/>
        </w:rPr>
        <w:t>；</w:t>
      </w:r>
    </w:p>
    <w:p w14:paraId="1401DCE2">
      <w:pPr>
        <w:wordWrap w:val="0"/>
        <w:spacing w:line="360" w:lineRule="auto"/>
        <w:ind w:firstLine="440" w:firstLineChars="200"/>
        <w:rPr>
          <w:color w:val="auto"/>
          <w:highlight w:val="none"/>
        </w:rPr>
      </w:pPr>
      <w:r>
        <w:rPr>
          <w:rFonts w:hint="eastAsia"/>
          <w:color w:val="auto"/>
          <w:highlight w:val="none"/>
          <w:lang w:val="en-US"/>
        </w:rPr>
        <w:t>3.</w:t>
      </w:r>
      <w:r>
        <w:rPr>
          <w:rFonts w:hint="eastAsia"/>
          <w:color w:val="auto"/>
          <w:highlight w:val="none"/>
        </w:rPr>
        <w:t>方式</w:t>
      </w:r>
      <w:r>
        <w:rPr>
          <w:rFonts w:hint="eastAsia"/>
          <w:color w:val="auto"/>
          <w:highlight w:val="none"/>
          <w:lang w:val="en-US"/>
        </w:rPr>
        <w:t>：</w:t>
      </w:r>
      <w:r>
        <w:rPr>
          <w:rFonts w:hint="eastAsia"/>
          <w:color w:val="auto"/>
          <w:highlight w:val="none"/>
        </w:rPr>
        <w:t>网上获取</w:t>
      </w:r>
      <w:r>
        <w:rPr>
          <w:rFonts w:hint="eastAsia"/>
          <w:color w:val="auto"/>
          <w:highlight w:val="none"/>
          <w:lang w:val="en-US"/>
        </w:rPr>
        <w:t>，</w:t>
      </w:r>
      <w:r>
        <w:rPr>
          <w:rFonts w:hint="eastAsia"/>
          <w:color w:val="auto"/>
          <w:highlight w:val="none"/>
        </w:rPr>
        <w:t>登录</w:t>
      </w:r>
      <w:r>
        <w:rPr>
          <w:rFonts w:hint="eastAsia"/>
          <w:color w:val="auto"/>
          <w:highlight w:val="none"/>
          <w:lang w:val="en-US"/>
        </w:rPr>
        <w:t>“</w:t>
      </w:r>
      <w:r>
        <w:rPr>
          <w:rFonts w:hint="eastAsia"/>
          <w:color w:val="auto"/>
          <w:highlight w:val="none"/>
        </w:rPr>
        <w:t>郑州市公共资源交易中心网</w:t>
      </w:r>
      <w:r>
        <w:rPr>
          <w:rFonts w:hint="eastAsia"/>
          <w:color w:val="auto"/>
          <w:highlight w:val="none"/>
          <w:lang w:val="en-US"/>
        </w:rPr>
        <w:t>(http://zzggzy.zhengzhou.gov.cn/)”，</w:t>
      </w:r>
      <w:r>
        <w:rPr>
          <w:rFonts w:hint="eastAsia"/>
          <w:color w:val="auto"/>
          <w:highlight w:val="none"/>
        </w:rPr>
        <w:t>凭企业身份认证锁下载招标文件。供应商未按规定在网上下载招标文件的，其投标文件将被拒绝。尚未办理企业CA锁的，河南省信息化发展有限公司开通了CA数字证书在线办理功能，郑州市公共资源交易中心各交易主体如需办理CA数字证书业务的，可通过以下链：(http://xaca.hnxaca.com:8081/online/ggzyA pply/index.shtml)在线办理，点击交易中心登录入口自助绑定。如遇使用问题请拨打客服电话0371-96596。技术支持咨询电话:0371-67188807,4009980000)；</w:t>
      </w:r>
    </w:p>
    <w:p w14:paraId="01F96466">
      <w:pPr>
        <w:spacing w:line="360" w:lineRule="auto"/>
        <w:ind w:firstLine="440" w:firstLineChars="200"/>
        <w:rPr>
          <w:color w:val="auto"/>
          <w:highlight w:val="none"/>
        </w:rPr>
      </w:pPr>
      <w:r>
        <w:rPr>
          <w:rFonts w:hint="eastAsia"/>
          <w:color w:val="auto"/>
          <w:highlight w:val="none"/>
          <w:lang w:val="en-US"/>
        </w:rPr>
        <w:t>4.</w:t>
      </w:r>
      <w:r>
        <w:rPr>
          <w:rFonts w:hint="eastAsia"/>
          <w:color w:val="auto"/>
          <w:highlight w:val="none"/>
        </w:rPr>
        <w:t>售价：0元。</w:t>
      </w:r>
    </w:p>
    <w:p w14:paraId="0E53513E">
      <w:pPr>
        <w:spacing w:line="360" w:lineRule="auto"/>
        <w:ind w:firstLine="442" w:firstLineChars="200"/>
        <w:rPr>
          <w:b/>
          <w:bCs/>
          <w:color w:val="auto"/>
          <w:highlight w:val="none"/>
        </w:rPr>
      </w:pPr>
      <w:r>
        <w:rPr>
          <w:rFonts w:hint="eastAsia"/>
          <w:b/>
          <w:bCs/>
          <w:color w:val="auto"/>
          <w:highlight w:val="none"/>
        </w:rPr>
        <w:t>四、投标截止时间及地点</w:t>
      </w:r>
    </w:p>
    <w:p w14:paraId="7777585C">
      <w:pPr>
        <w:spacing w:line="360" w:lineRule="auto"/>
        <w:ind w:firstLine="440" w:firstLineChars="200"/>
        <w:rPr>
          <w:color w:val="auto"/>
          <w:highlight w:val="none"/>
        </w:rPr>
      </w:pPr>
      <w:r>
        <w:rPr>
          <w:rFonts w:hint="eastAsia"/>
          <w:color w:val="auto"/>
          <w:highlight w:val="none"/>
        </w:rPr>
        <w:t>1.时间：202</w:t>
      </w:r>
      <w:r>
        <w:rPr>
          <w:rFonts w:hint="eastAsia"/>
          <w:color w:val="auto"/>
          <w:highlight w:val="none"/>
          <w:lang w:val="en-US"/>
        </w:rPr>
        <w:t>4</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24</w:t>
      </w:r>
      <w:r>
        <w:rPr>
          <w:rFonts w:hint="eastAsia"/>
          <w:color w:val="auto"/>
          <w:highlight w:val="none"/>
        </w:rPr>
        <w:t>日</w:t>
      </w:r>
      <w:r>
        <w:rPr>
          <w:rFonts w:hint="eastAsia"/>
          <w:color w:val="auto"/>
          <w:highlight w:val="none"/>
          <w:lang w:val="en-US"/>
        </w:rPr>
        <w:t>10 时00分</w:t>
      </w:r>
      <w:r>
        <w:rPr>
          <w:rFonts w:hint="eastAsia"/>
          <w:color w:val="auto"/>
          <w:highlight w:val="none"/>
        </w:rPr>
        <w:t>（北京时间）；</w:t>
      </w:r>
    </w:p>
    <w:p w14:paraId="1B0F3B47">
      <w:pPr>
        <w:spacing w:line="360" w:lineRule="auto"/>
        <w:ind w:firstLine="440" w:firstLineChars="200"/>
        <w:rPr>
          <w:color w:val="auto"/>
          <w:highlight w:val="none"/>
        </w:rPr>
      </w:pPr>
      <w:r>
        <w:rPr>
          <w:rFonts w:hint="eastAsia"/>
          <w:color w:val="auto"/>
          <w:highlight w:val="none"/>
        </w:rPr>
        <w:t>2.地点：郑州市公共资源交易中心(http://zzggzy.zhengzhou.gov.cn/)电子交易平台。</w:t>
      </w:r>
    </w:p>
    <w:p w14:paraId="3450E6F6">
      <w:pPr>
        <w:spacing w:line="360" w:lineRule="auto"/>
        <w:ind w:firstLine="442" w:firstLineChars="200"/>
        <w:rPr>
          <w:b/>
          <w:bCs/>
          <w:color w:val="auto"/>
          <w:highlight w:val="none"/>
        </w:rPr>
      </w:pPr>
      <w:r>
        <w:rPr>
          <w:rFonts w:hint="eastAsia"/>
          <w:b/>
          <w:bCs/>
          <w:color w:val="auto"/>
          <w:highlight w:val="none"/>
        </w:rPr>
        <w:t>五、开标时间及地点</w:t>
      </w:r>
    </w:p>
    <w:p w14:paraId="1E997A03">
      <w:pPr>
        <w:pStyle w:val="6"/>
        <w:spacing w:line="360" w:lineRule="auto"/>
        <w:ind w:firstLine="440" w:firstLineChars="200"/>
        <w:rPr>
          <w:color w:val="auto"/>
          <w:sz w:val="22"/>
          <w:szCs w:val="22"/>
          <w:highlight w:val="none"/>
        </w:rPr>
      </w:pPr>
      <w:r>
        <w:rPr>
          <w:rFonts w:hint="eastAsia"/>
          <w:color w:val="auto"/>
          <w:sz w:val="22"/>
          <w:szCs w:val="22"/>
          <w:highlight w:val="none"/>
        </w:rPr>
        <w:t>1.时间：202</w:t>
      </w:r>
      <w:r>
        <w:rPr>
          <w:rFonts w:hint="eastAsia"/>
          <w:color w:val="auto"/>
          <w:sz w:val="22"/>
          <w:szCs w:val="22"/>
          <w:highlight w:val="none"/>
          <w:lang w:val="en-US"/>
        </w:rPr>
        <w:t>4</w:t>
      </w:r>
      <w:r>
        <w:rPr>
          <w:rFonts w:hint="eastAsia"/>
          <w:color w:val="auto"/>
          <w:sz w:val="22"/>
          <w:szCs w:val="22"/>
          <w:highlight w:val="none"/>
        </w:rPr>
        <w:t>年</w:t>
      </w:r>
      <w:r>
        <w:rPr>
          <w:rFonts w:hint="eastAsia"/>
          <w:color w:val="auto"/>
          <w:sz w:val="22"/>
          <w:szCs w:val="22"/>
          <w:highlight w:val="none"/>
          <w:lang w:val="en-US" w:eastAsia="zh-CN"/>
        </w:rPr>
        <w:t>12</w:t>
      </w:r>
      <w:r>
        <w:rPr>
          <w:rFonts w:hint="eastAsia"/>
          <w:color w:val="auto"/>
          <w:sz w:val="22"/>
          <w:szCs w:val="22"/>
          <w:highlight w:val="none"/>
        </w:rPr>
        <w:t>月</w:t>
      </w:r>
      <w:r>
        <w:rPr>
          <w:rFonts w:hint="eastAsia"/>
          <w:color w:val="auto"/>
          <w:sz w:val="22"/>
          <w:szCs w:val="22"/>
          <w:highlight w:val="none"/>
          <w:lang w:val="en-US" w:eastAsia="zh-CN"/>
        </w:rPr>
        <w:t>24</w:t>
      </w:r>
      <w:r>
        <w:rPr>
          <w:rFonts w:hint="eastAsia"/>
          <w:color w:val="auto"/>
          <w:sz w:val="22"/>
          <w:szCs w:val="22"/>
          <w:highlight w:val="none"/>
        </w:rPr>
        <w:t>日</w:t>
      </w:r>
      <w:r>
        <w:rPr>
          <w:rFonts w:hint="eastAsia"/>
          <w:color w:val="auto"/>
          <w:sz w:val="22"/>
          <w:szCs w:val="22"/>
          <w:highlight w:val="none"/>
          <w:lang w:val="en-US"/>
        </w:rPr>
        <w:t xml:space="preserve">10 </w:t>
      </w:r>
      <w:r>
        <w:rPr>
          <w:rFonts w:hint="eastAsia"/>
          <w:color w:val="auto"/>
          <w:sz w:val="22"/>
          <w:szCs w:val="22"/>
          <w:highlight w:val="none"/>
        </w:rPr>
        <w:t>时</w:t>
      </w:r>
      <w:r>
        <w:rPr>
          <w:rFonts w:hint="eastAsia"/>
          <w:color w:val="auto"/>
          <w:sz w:val="22"/>
          <w:szCs w:val="22"/>
          <w:highlight w:val="none"/>
          <w:lang w:val="en-US"/>
        </w:rPr>
        <w:t>00分</w:t>
      </w:r>
      <w:r>
        <w:rPr>
          <w:rFonts w:hint="eastAsia"/>
          <w:color w:val="auto"/>
          <w:sz w:val="22"/>
          <w:szCs w:val="22"/>
          <w:highlight w:val="none"/>
        </w:rPr>
        <w:t>（北京时间）；</w:t>
      </w:r>
    </w:p>
    <w:p w14:paraId="2FFC3A2A">
      <w:pPr>
        <w:pStyle w:val="6"/>
        <w:wordWrap w:val="0"/>
        <w:spacing w:line="360" w:lineRule="auto"/>
        <w:ind w:firstLine="440" w:firstLineChars="200"/>
        <w:rPr>
          <w:color w:val="auto"/>
          <w:sz w:val="22"/>
          <w:szCs w:val="22"/>
          <w:highlight w:val="none"/>
        </w:rPr>
      </w:pPr>
      <w:r>
        <w:rPr>
          <w:rFonts w:hint="eastAsia"/>
          <w:color w:val="auto"/>
          <w:sz w:val="22"/>
          <w:szCs w:val="22"/>
          <w:highlight w:val="none"/>
        </w:rPr>
        <w:t>2.地点：郑州市公共资源交易中心远程开标大厅(http://zzggzy.zhengzhou.gov.cn/BidOpening)。</w:t>
      </w:r>
    </w:p>
    <w:p w14:paraId="39CE0DD2">
      <w:pPr>
        <w:spacing w:line="360" w:lineRule="auto"/>
        <w:ind w:firstLine="442" w:firstLineChars="200"/>
        <w:rPr>
          <w:b/>
          <w:bCs/>
          <w:color w:val="auto"/>
          <w:highlight w:val="none"/>
        </w:rPr>
      </w:pPr>
      <w:r>
        <w:rPr>
          <w:rFonts w:hint="eastAsia"/>
          <w:b/>
          <w:bCs/>
          <w:color w:val="auto"/>
          <w:highlight w:val="none"/>
        </w:rPr>
        <w:t>六、发布公告的媒介及招标公告期限</w:t>
      </w:r>
    </w:p>
    <w:p w14:paraId="11F5974D">
      <w:pPr>
        <w:spacing w:line="360" w:lineRule="auto"/>
        <w:ind w:firstLine="440" w:firstLineChars="200"/>
        <w:rPr>
          <w:color w:val="auto"/>
          <w:highlight w:val="none"/>
        </w:rPr>
      </w:pPr>
      <w:r>
        <w:rPr>
          <w:rFonts w:hint="eastAsia"/>
          <w:color w:val="auto"/>
          <w:highlight w:val="none"/>
        </w:rPr>
        <w:t>本次招标公告在《河南省政府采购网》《郑州市政府采购网》《郑州市公共资源交易中心》上发布。招标公告期限为五个工作日。</w:t>
      </w:r>
    </w:p>
    <w:p w14:paraId="2B2FDB0E">
      <w:pPr>
        <w:spacing w:line="360" w:lineRule="auto"/>
        <w:ind w:firstLine="442" w:firstLineChars="200"/>
        <w:rPr>
          <w:b/>
          <w:bCs/>
          <w:color w:val="auto"/>
          <w:highlight w:val="none"/>
        </w:rPr>
      </w:pPr>
      <w:r>
        <w:rPr>
          <w:rFonts w:hint="eastAsia"/>
          <w:b/>
          <w:bCs/>
          <w:color w:val="auto"/>
          <w:highlight w:val="none"/>
        </w:rPr>
        <w:t>七、其他补充事宜：</w:t>
      </w:r>
    </w:p>
    <w:p w14:paraId="0D29AB6C">
      <w:pPr>
        <w:spacing w:line="360" w:lineRule="auto"/>
        <w:ind w:firstLine="440" w:firstLineChars="200"/>
        <w:rPr>
          <w:color w:val="auto"/>
          <w:highlight w:val="none"/>
        </w:rPr>
      </w:pPr>
      <w:r>
        <w:rPr>
          <w:rFonts w:hint="eastAsia"/>
          <w:color w:val="auto"/>
          <w:highlight w:val="none"/>
          <w:lang w:val="en-US"/>
        </w:rPr>
        <w:t>1.投标人无需到交易中心现场参加开标会议，评标委员会不再对投标文件中涉及的相关资料原件进行验证。所有投标单位不需提供证书原件。</w:t>
      </w:r>
      <w:r>
        <w:rPr>
          <w:rFonts w:hint="eastAsia"/>
          <w:color w:val="auto"/>
          <w:highlight w:val="none"/>
        </w:rPr>
        <w:t>本项目招标文件中所要求证件、证明等，投标文件中应附相应材料清晰的扫描件，由于模糊不清导致评委无法辨别的，后果由投标人自行承担；</w:t>
      </w:r>
    </w:p>
    <w:p w14:paraId="221B00AF">
      <w:pPr>
        <w:spacing w:line="360" w:lineRule="auto"/>
        <w:ind w:firstLine="440" w:firstLineChars="200"/>
        <w:rPr>
          <w:color w:val="auto"/>
          <w:highlight w:val="none"/>
          <w:lang w:val="en-US"/>
        </w:rPr>
      </w:pPr>
      <w:r>
        <w:rPr>
          <w:rFonts w:hint="eastAsia"/>
          <w:color w:val="auto"/>
          <w:highlight w:val="none"/>
          <w:lang w:val="en-US"/>
        </w:rPr>
        <w:t>2.所有投标人应提前30分钟，登录“郑州市公共资源交易中心门户网站远程开标大厅”进行远程开标准备工作。登录后，其后应一直保持在线状态，保证能准时参加开标大会、投标文件的解密、现场答疑澄清等活动；</w:t>
      </w:r>
    </w:p>
    <w:p w14:paraId="1627454C">
      <w:pPr>
        <w:spacing w:line="360" w:lineRule="auto"/>
        <w:ind w:firstLine="440" w:firstLineChars="200"/>
        <w:rPr>
          <w:color w:val="auto"/>
          <w:highlight w:val="none"/>
        </w:rPr>
      </w:pPr>
      <w:r>
        <w:rPr>
          <w:rFonts w:hint="eastAsia"/>
          <w:color w:val="auto"/>
          <w:highlight w:val="none"/>
          <w:lang w:val="en-US"/>
        </w:rPr>
        <w:t>3.不见面开标操作说明详见郑州市公共资源交易中心网站《不见面开标大厅操作手册-投标人》。</w:t>
      </w:r>
    </w:p>
    <w:p w14:paraId="00A16D89">
      <w:pPr>
        <w:spacing w:line="360" w:lineRule="auto"/>
        <w:ind w:firstLine="442" w:firstLineChars="200"/>
        <w:rPr>
          <w:b/>
          <w:bCs/>
          <w:color w:val="auto"/>
          <w:highlight w:val="none"/>
        </w:rPr>
      </w:pPr>
      <w:r>
        <w:rPr>
          <w:rFonts w:hint="eastAsia"/>
          <w:b/>
          <w:bCs/>
          <w:color w:val="auto"/>
          <w:highlight w:val="none"/>
        </w:rPr>
        <w:t>八、凡对本次招标提出询问，请按照以下方式联系</w:t>
      </w:r>
    </w:p>
    <w:p w14:paraId="12ACA778">
      <w:pPr>
        <w:spacing w:line="360" w:lineRule="auto"/>
        <w:ind w:firstLine="440" w:firstLineChars="200"/>
        <w:rPr>
          <w:color w:val="auto"/>
          <w:highlight w:val="none"/>
        </w:rPr>
      </w:pPr>
      <w:r>
        <w:rPr>
          <w:rFonts w:hint="eastAsia"/>
          <w:color w:val="auto"/>
          <w:highlight w:val="none"/>
        </w:rPr>
        <w:t>1.采购人信息</w:t>
      </w:r>
    </w:p>
    <w:p w14:paraId="6DB15E82">
      <w:pPr>
        <w:spacing w:line="360" w:lineRule="auto"/>
        <w:ind w:firstLine="440" w:firstLineChars="200"/>
        <w:rPr>
          <w:color w:val="auto"/>
          <w:highlight w:val="none"/>
        </w:rPr>
      </w:pPr>
      <w:r>
        <w:rPr>
          <w:rFonts w:hint="eastAsia"/>
          <w:color w:val="auto"/>
          <w:highlight w:val="none"/>
        </w:rPr>
        <w:t>名称：郑州师范学院</w:t>
      </w:r>
    </w:p>
    <w:p w14:paraId="59D561DE">
      <w:pPr>
        <w:spacing w:line="360" w:lineRule="auto"/>
        <w:ind w:firstLine="440" w:firstLineChars="200"/>
        <w:rPr>
          <w:color w:val="auto"/>
          <w:highlight w:val="none"/>
        </w:rPr>
      </w:pPr>
      <w:r>
        <w:rPr>
          <w:rFonts w:hint="eastAsia"/>
          <w:color w:val="auto"/>
          <w:highlight w:val="none"/>
        </w:rPr>
        <w:t>地址：郑州市惠济区英才街6号</w:t>
      </w:r>
    </w:p>
    <w:p w14:paraId="72499077">
      <w:pPr>
        <w:spacing w:line="360" w:lineRule="auto"/>
        <w:ind w:firstLine="440" w:firstLineChars="200"/>
        <w:rPr>
          <w:color w:val="auto"/>
          <w:highlight w:val="none"/>
        </w:rPr>
      </w:pPr>
      <w:r>
        <w:rPr>
          <w:rFonts w:hint="eastAsia"/>
          <w:color w:val="auto"/>
          <w:highlight w:val="none"/>
        </w:rPr>
        <w:t>联系人：李世超</w:t>
      </w:r>
    </w:p>
    <w:p w14:paraId="0E57682D">
      <w:pPr>
        <w:spacing w:line="360" w:lineRule="auto"/>
        <w:ind w:firstLine="440" w:firstLineChars="200"/>
        <w:rPr>
          <w:color w:val="auto"/>
          <w:highlight w:val="none"/>
          <w:lang w:val="en-US"/>
        </w:rPr>
      </w:pPr>
      <w:r>
        <w:rPr>
          <w:rFonts w:hint="eastAsia"/>
          <w:color w:val="auto"/>
          <w:highlight w:val="none"/>
        </w:rPr>
        <w:t>联系电话：0371-65501286</w:t>
      </w:r>
    </w:p>
    <w:p w14:paraId="4A576CBD">
      <w:pPr>
        <w:spacing w:line="360" w:lineRule="auto"/>
        <w:ind w:firstLine="440" w:firstLineChars="200"/>
        <w:rPr>
          <w:color w:val="auto"/>
          <w:highlight w:val="none"/>
        </w:rPr>
      </w:pPr>
      <w:r>
        <w:rPr>
          <w:rFonts w:hint="eastAsia"/>
          <w:color w:val="auto"/>
          <w:highlight w:val="none"/>
        </w:rPr>
        <w:t>2.采购代理机构信息</w:t>
      </w:r>
    </w:p>
    <w:p w14:paraId="754F8B54">
      <w:pPr>
        <w:spacing w:line="360" w:lineRule="auto"/>
        <w:ind w:firstLine="440" w:firstLineChars="200"/>
        <w:rPr>
          <w:color w:val="auto"/>
          <w:highlight w:val="none"/>
        </w:rPr>
      </w:pPr>
      <w:r>
        <w:rPr>
          <w:rFonts w:hint="eastAsia"/>
          <w:color w:val="auto"/>
          <w:highlight w:val="none"/>
        </w:rPr>
        <w:t>名称：河南以牧全过程工程咨询有限公司</w:t>
      </w:r>
    </w:p>
    <w:p w14:paraId="0FA01627">
      <w:pPr>
        <w:spacing w:line="360" w:lineRule="auto"/>
        <w:ind w:firstLine="440" w:firstLineChars="200"/>
        <w:rPr>
          <w:color w:val="auto"/>
          <w:highlight w:val="none"/>
        </w:rPr>
      </w:pPr>
      <w:r>
        <w:rPr>
          <w:rFonts w:hint="eastAsia"/>
          <w:color w:val="auto"/>
          <w:highlight w:val="none"/>
        </w:rPr>
        <w:t>地址: 郑州市林科路与中州大道交叉口橄榄花园小区办公楼16层</w:t>
      </w:r>
    </w:p>
    <w:p w14:paraId="4B1673BA">
      <w:pPr>
        <w:spacing w:line="360" w:lineRule="auto"/>
        <w:ind w:firstLine="440" w:firstLineChars="200"/>
        <w:rPr>
          <w:color w:val="auto"/>
          <w:highlight w:val="none"/>
        </w:rPr>
      </w:pPr>
      <w:r>
        <w:rPr>
          <w:rFonts w:hint="eastAsia"/>
          <w:color w:val="auto"/>
          <w:highlight w:val="none"/>
        </w:rPr>
        <w:t>联系人:王建涛</w:t>
      </w:r>
    </w:p>
    <w:p w14:paraId="70DA0D09">
      <w:pPr>
        <w:spacing w:line="360" w:lineRule="auto"/>
        <w:ind w:firstLine="440" w:firstLineChars="200"/>
        <w:rPr>
          <w:color w:val="auto"/>
          <w:highlight w:val="none"/>
        </w:rPr>
      </w:pPr>
      <w:r>
        <w:rPr>
          <w:rFonts w:hint="eastAsia"/>
          <w:color w:val="auto"/>
          <w:highlight w:val="none"/>
        </w:rPr>
        <w:t>联系电话：0371-55676685</w:t>
      </w:r>
    </w:p>
    <w:p w14:paraId="02E1C24E">
      <w:pPr>
        <w:spacing w:line="360" w:lineRule="auto"/>
        <w:ind w:firstLine="440" w:firstLineChars="200"/>
        <w:rPr>
          <w:color w:val="auto"/>
          <w:highlight w:val="none"/>
        </w:rPr>
      </w:pPr>
      <w:r>
        <w:rPr>
          <w:rFonts w:hint="eastAsia"/>
          <w:color w:val="auto"/>
          <w:highlight w:val="none"/>
        </w:rPr>
        <w:t>3.项目联系方式</w:t>
      </w:r>
    </w:p>
    <w:p w14:paraId="1C475F24">
      <w:pPr>
        <w:spacing w:line="360" w:lineRule="auto"/>
        <w:ind w:firstLine="440" w:firstLineChars="200"/>
        <w:rPr>
          <w:color w:val="auto"/>
          <w:highlight w:val="none"/>
        </w:rPr>
      </w:pPr>
      <w:r>
        <w:rPr>
          <w:rFonts w:hint="eastAsia"/>
          <w:color w:val="auto"/>
          <w:highlight w:val="none"/>
        </w:rPr>
        <w:t>项目联系人：王建涛</w:t>
      </w:r>
    </w:p>
    <w:p w14:paraId="155D5EEF">
      <w:pPr>
        <w:spacing w:line="360" w:lineRule="auto"/>
        <w:ind w:firstLine="440" w:firstLineChars="200"/>
        <w:rPr>
          <w:color w:val="auto"/>
          <w:highlight w:val="none"/>
        </w:rPr>
      </w:pPr>
      <w:r>
        <w:rPr>
          <w:rFonts w:hint="eastAsia"/>
          <w:color w:val="auto"/>
          <w:highlight w:val="none"/>
        </w:rPr>
        <w:t>联系方式：0371-55676685</w:t>
      </w:r>
    </w:p>
    <w:p w14:paraId="19FB479F">
      <w:pPr>
        <w:rPr>
          <w:color w:val="auto"/>
          <w:highlight w:val="none"/>
        </w:rPr>
      </w:pPr>
      <w:r>
        <w:rPr>
          <w:color w:val="auto"/>
          <w:highlight w:val="none"/>
        </w:rPr>
        <w:br w:type="page"/>
      </w:r>
    </w:p>
    <w:p w14:paraId="60873A27">
      <w:pPr>
        <w:pStyle w:val="2"/>
        <w:rPr>
          <w:color w:val="auto"/>
          <w:highlight w:val="none"/>
        </w:rPr>
      </w:pPr>
      <w:bookmarkStart w:id="9" w:name="_Toc1937"/>
      <w:bookmarkStart w:id="10" w:name="_Toc8769"/>
      <w:bookmarkStart w:id="11" w:name="_Toc25282"/>
      <w:bookmarkStart w:id="12" w:name="_Toc3574"/>
      <w:bookmarkStart w:id="13" w:name="_Toc18447"/>
      <w:bookmarkStart w:id="14" w:name="_Toc16566"/>
      <w:bookmarkStart w:id="15" w:name="_Toc21671"/>
      <w:r>
        <w:rPr>
          <w:rFonts w:hint="eastAsia"/>
          <w:color w:val="auto"/>
          <w:highlight w:val="none"/>
        </w:rPr>
        <w:t>第二章 投标人须知</w:t>
      </w:r>
      <w:bookmarkEnd w:id="9"/>
      <w:bookmarkEnd w:id="10"/>
      <w:bookmarkEnd w:id="11"/>
      <w:bookmarkEnd w:id="12"/>
      <w:bookmarkEnd w:id="13"/>
      <w:bookmarkEnd w:id="14"/>
      <w:bookmarkEnd w:id="15"/>
    </w:p>
    <w:p w14:paraId="2A700E6F">
      <w:pPr>
        <w:spacing w:before="118" w:after="7"/>
        <w:ind w:left="140"/>
        <w:jc w:val="center"/>
        <w:rPr>
          <w:b/>
          <w:color w:val="auto"/>
          <w:sz w:val="28"/>
          <w:highlight w:val="none"/>
        </w:rPr>
      </w:pPr>
      <w:bookmarkStart w:id="16" w:name="投标人须知前附表"/>
      <w:bookmarkEnd w:id="16"/>
      <w:bookmarkStart w:id="17" w:name="_bookmark2"/>
      <w:bookmarkEnd w:id="17"/>
      <w:r>
        <w:rPr>
          <w:rFonts w:hint="eastAsia"/>
          <w:b/>
          <w:color w:val="auto"/>
          <w:sz w:val="28"/>
          <w:highlight w:val="none"/>
        </w:rPr>
        <w:t>投标人须知前附表</w:t>
      </w:r>
    </w:p>
    <w:tbl>
      <w:tblPr>
        <w:tblStyle w:val="18"/>
        <w:tblW w:w="96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2"/>
        <w:gridCol w:w="1947"/>
        <w:gridCol w:w="6580"/>
      </w:tblGrid>
      <w:tr w14:paraId="4F197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hRule="atLeast"/>
          <w:jc w:val="center"/>
        </w:trPr>
        <w:tc>
          <w:tcPr>
            <w:tcW w:w="1152" w:type="dxa"/>
          </w:tcPr>
          <w:p w14:paraId="0C5736C3">
            <w:pPr>
              <w:pStyle w:val="28"/>
              <w:spacing w:before="169"/>
              <w:ind w:right="31" w:rightChars="14"/>
              <w:jc w:val="center"/>
              <w:rPr>
                <w:b/>
                <w:color w:val="auto"/>
                <w:sz w:val="21"/>
                <w:highlight w:val="none"/>
              </w:rPr>
            </w:pPr>
            <w:r>
              <w:rPr>
                <w:rFonts w:hint="eastAsia"/>
                <w:b/>
                <w:color w:val="auto"/>
                <w:sz w:val="21"/>
                <w:highlight w:val="none"/>
              </w:rPr>
              <w:t>条款号</w:t>
            </w:r>
          </w:p>
        </w:tc>
        <w:tc>
          <w:tcPr>
            <w:tcW w:w="1947" w:type="dxa"/>
          </w:tcPr>
          <w:p w14:paraId="1E5DF6F3">
            <w:pPr>
              <w:pStyle w:val="28"/>
              <w:tabs>
                <w:tab w:val="left" w:pos="431"/>
                <w:tab w:val="left" w:pos="854"/>
                <w:tab w:val="left" w:pos="1274"/>
              </w:tabs>
              <w:spacing w:before="169"/>
              <w:ind w:left="11" w:leftChars="5"/>
              <w:jc w:val="center"/>
              <w:rPr>
                <w:b/>
                <w:color w:val="auto"/>
                <w:sz w:val="21"/>
                <w:highlight w:val="none"/>
              </w:rPr>
            </w:pPr>
            <w:r>
              <w:rPr>
                <w:rFonts w:hint="eastAsia"/>
                <w:b/>
                <w:color w:val="auto"/>
                <w:sz w:val="21"/>
                <w:highlight w:val="none"/>
              </w:rPr>
              <w:t>条款名称</w:t>
            </w:r>
          </w:p>
        </w:tc>
        <w:tc>
          <w:tcPr>
            <w:tcW w:w="6580" w:type="dxa"/>
          </w:tcPr>
          <w:p w14:paraId="77432AAA">
            <w:pPr>
              <w:pStyle w:val="28"/>
              <w:tabs>
                <w:tab w:val="left" w:pos="433"/>
                <w:tab w:val="left" w:pos="853"/>
                <w:tab w:val="left" w:pos="1276"/>
              </w:tabs>
              <w:spacing w:before="169"/>
              <w:ind w:left="11"/>
              <w:jc w:val="center"/>
              <w:rPr>
                <w:b/>
                <w:color w:val="auto"/>
                <w:sz w:val="21"/>
                <w:highlight w:val="none"/>
              </w:rPr>
            </w:pPr>
            <w:r>
              <w:rPr>
                <w:rFonts w:hint="eastAsia"/>
                <w:b/>
                <w:color w:val="auto"/>
                <w:sz w:val="21"/>
                <w:highlight w:val="none"/>
              </w:rPr>
              <w:t>编列</w:t>
            </w:r>
            <w:r>
              <w:rPr>
                <w:rFonts w:hint="eastAsia"/>
                <w:b/>
                <w:color w:val="auto"/>
                <w:sz w:val="21"/>
                <w:highlight w:val="none"/>
              </w:rPr>
              <w:tab/>
            </w:r>
            <w:r>
              <w:rPr>
                <w:rFonts w:hint="eastAsia"/>
                <w:b/>
                <w:color w:val="auto"/>
                <w:sz w:val="21"/>
                <w:highlight w:val="none"/>
              </w:rPr>
              <w:t>内容</w:t>
            </w:r>
          </w:p>
        </w:tc>
      </w:tr>
      <w:tr w14:paraId="4FA74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7" w:hRule="atLeast"/>
          <w:jc w:val="center"/>
        </w:trPr>
        <w:tc>
          <w:tcPr>
            <w:tcW w:w="1152" w:type="dxa"/>
            <w:vAlign w:val="center"/>
          </w:tcPr>
          <w:p w14:paraId="3F52D022">
            <w:pPr>
              <w:jc w:val="center"/>
              <w:rPr>
                <w:color w:val="auto"/>
                <w:highlight w:val="none"/>
              </w:rPr>
            </w:pPr>
            <w:r>
              <w:rPr>
                <w:rFonts w:hint="eastAsia"/>
                <w:color w:val="auto"/>
                <w:highlight w:val="none"/>
              </w:rPr>
              <w:t>1.2.1</w:t>
            </w:r>
          </w:p>
        </w:tc>
        <w:tc>
          <w:tcPr>
            <w:tcW w:w="1947" w:type="dxa"/>
            <w:vAlign w:val="center"/>
          </w:tcPr>
          <w:p w14:paraId="0DDFCF80">
            <w:pPr>
              <w:jc w:val="center"/>
              <w:rPr>
                <w:color w:val="auto"/>
                <w:highlight w:val="none"/>
              </w:rPr>
            </w:pPr>
            <w:r>
              <w:rPr>
                <w:rFonts w:hint="eastAsia"/>
                <w:color w:val="auto"/>
                <w:highlight w:val="none"/>
              </w:rPr>
              <w:t>采购人</w:t>
            </w:r>
          </w:p>
        </w:tc>
        <w:tc>
          <w:tcPr>
            <w:tcW w:w="6580" w:type="dxa"/>
            <w:vAlign w:val="center"/>
          </w:tcPr>
          <w:p w14:paraId="57E2DB5A">
            <w:pPr>
              <w:spacing w:line="360" w:lineRule="auto"/>
              <w:rPr>
                <w:color w:val="auto"/>
                <w:highlight w:val="none"/>
              </w:rPr>
            </w:pPr>
            <w:r>
              <w:rPr>
                <w:rFonts w:hint="eastAsia"/>
                <w:color w:val="auto"/>
                <w:highlight w:val="none"/>
              </w:rPr>
              <w:t>名称：郑州师范学院</w:t>
            </w:r>
          </w:p>
          <w:p w14:paraId="79132409">
            <w:pPr>
              <w:spacing w:line="360" w:lineRule="auto"/>
              <w:rPr>
                <w:color w:val="auto"/>
                <w:highlight w:val="none"/>
              </w:rPr>
            </w:pPr>
            <w:r>
              <w:rPr>
                <w:rFonts w:hint="eastAsia"/>
                <w:color w:val="auto"/>
                <w:highlight w:val="none"/>
              </w:rPr>
              <w:t>地址：郑州市惠济区英才街6号</w:t>
            </w:r>
          </w:p>
          <w:p w14:paraId="04D38A97">
            <w:pPr>
              <w:spacing w:line="360" w:lineRule="auto"/>
              <w:rPr>
                <w:color w:val="auto"/>
                <w:highlight w:val="none"/>
                <w:lang w:val="en-US"/>
              </w:rPr>
            </w:pPr>
            <w:r>
              <w:rPr>
                <w:rFonts w:hint="eastAsia"/>
                <w:color w:val="auto"/>
                <w:highlight w:val="none"/>
              </w:rPr>
              <w:t>联系人：李世超</w:t>
            </w:r>
          </w:p>
          <w:p w14:paraId="1743551B">
            <w:pPr>
              <w:spacing w:line="360" w:lineRule="auto"/>
              <w:rPr>
                <w:color w:val="auto"/>
                <w:highlight w:val="none"/>
                <w:lang w:val="en-US"/>
              </w:rPr>
            </w:pPr>
            <w:r>
              <w:rPr>
                <w:rFonts w:hint="eastAsia"/>
                <w:color w:val="auto"/>
                <w:highlight w:val="none"/>
              </w:rPr>
              <w:t>联系电话：0371-65501286</w:t>
            </w:r>
          </w:p>
        </w:tc>
      </w:tr>
      <w:tr w14:paraId="69E95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7" w:hRule="atLeast"/>
          <w:jc w:val="center"/>
        </w:trPr>
        <w:tc>
          <w:tcPr>
            <w:tcW w:w="1152" w:type="dxa"/>
            <w:vAlign w:val="center"/>
          </w:tcPr>
          <w:p w14:paraId="6E9117CA">
            <w:pPr>
              <w:jc w:val="center"/>
              <w:rPr>
                <w:color w:val="auto"/>
                <w:highlight w:val="none"/>
              </w:rPr>
            </w:pPr>
            <w:r>
              <w:rPr>
                <w:rFonts w:hint="eastAsia"/>
                <w:color w:val="auto"/>
                <w:highlight w:val="none"/>
              </w:rPr>
              <w:t>1.2.2</w:t>
            </w:r>
          </w:p>
        </w:tc>
        <w:tc>
          <w:tcPr>
            <w:tcW w:w="1947" w:type="dxa"/>
            <w:vAlign w:val="center"/>
          </w:tcPr>
          <w:p w14:paraId="05E5A3B6">
            <w:pPr>
              <w:jc w:val="center"/>
              <w:rPr>
                <w:color w:val="auto"/>
                <w:highlight w:val="none"/>
              </w:rPr>
            </w:pPr>
            <w:r>
              <w:rPr>
                <w:rFonts w:hint="eastAsia"/>
                <w:color w:val="auto"/>
                <w:highlight w:val="none"/>
              </w:rPr>
              <w:t>采购代理机构</w:t>
            </w:r>
          </w:p>
        </w:tc>
        <w:tc>
          <w:tcPr>
            <w:tcW w:w="6580" w:type="dxa"/>
            <w:vAlign w:val="center"/>
          </w:tcPr>
          <w:p w14:paraId="5D980212">
            <w:pPr>
              <w:spacing w:line="360" w:lineRule="auto"/>
              <w:rPr>
                <w:color w:val="auto"/>
                <w:highlight w:val="none"/>
              </w:rPr>
            </w:pPr>
            <w:r>
              <w:rPr>
                <w:rFonts w:hint="eastAsia"/>
                <w:color w:val="auto"/>
                <w:highlight w:val="none"/>
              </w:rPr>
              <w:t>名称：河南以牧全过程工程咨询有限公司</w:t>
            </w:r>
          </w:p>
          <w:p w14:paraId="12607766">
            <w:pPr>
              <w:spacing w:line="360" w:lineRule="auto"/>
              <w:rPr>
                <w:color w:val="auto"/>
                <w:highlight w:val="none"/>
              </w:rPr>
            </w:pPr>
            <w:r>
              <w:rPr>
                <w:rFonts w:hint="eastAsia"/>
                <w:color w:val="auto"/>
                <w:highlight w:val="none"/>
              </w:rPr>
              <w:t>地址：郑州市林科路与中州大道交叉口橄榄花园小区办公楼16层</w:t>
            </w:r>
          </w:p>
          <w:p w14:paraId="65EBE16B">
            <w:pPr>
              <w:spacing w:line="360" w:lineRule="auto"/>
              <w:rPr>
                <w:color w:val="auto"/>
                <w:highlight w:val="none"/>
              </w:rPr>
            </w:pPr>
            <w:r>
              <w:rPr>
                <w:rFonts w:hint="eastAsia"/>
                <w:color w:val="auto"/>
                <w:highlight w:val="none"/>
              </w:rPr>
              <w:t>联系人：王建涛</w:t>
            </w:r>
          </w:p>
          <w:p w14:paraId="1A4E052B">
            <w:pPr>
              <w:spacing w:line="360" w:lineRule="auto"/>
              <w:rPr>
                <w:color w:val="auto"/>
                <w:highlight w:val="none"/>
              </w:rPr>
            </w:pPr>
            <w:r>
              <w:rPr>
                <w:rFonts w:hint="eastAsia"/>
                <w:color w:val="auto"/>
                <w:highlight w:val="none"/>
              </w:rPr>
              <w:t>联系电话：0371-55676685</w:t>
            </w:r>
          </w:p>
        </w:tc>
      </w:tr>
      <w:tr w14:paraId="47C29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52" w:type="dxa"/>
            <w:vAlign w:val="center"/>
          </w:tcPr>
          <w:p w14:paraId="0101E7C7">
            <w:pPr>
              <w:jc w:val="center"/>
              <w:rPr>
                <w:color w:val="auto"/>
                <w:highlight w:val="none"/>
              </w:rPr>
            </w:pPr>
            <w:r>
              <w:rPr>
                <w:rFonts w:hint="eastAsia"/>
                <w:color w:val="auto"/>
                <w:highlight w:val="none"/>
              </w:rPr>
              <w:t>1.2.4</w:t>
            </w:r>
          </w:p>
        </w:tc>
        <w:tc>
          <w:tcPr>
            <w:tcW w:w="1947" w:type="dxa"/>
            <w:vAlign w:val="center"/>
          </w:tcPr>
          <w:p w14:paraId="72EBB8B9">
            <w:pPr>
              <w:jc w:val="center"/>
              <w:rPr>
                <w:color w:val="auto"/>
                <w:highlight w:val="none"/>
              </w:rPr>
            </w:pPr>
            <w:r>
              <w:rPr>
                <w:rFonts w:hint="eastAsia"/>
                <w:color w:val="auto"/>
                <w:highlight w:val="none"/>
              </w:rPr>
              <w:t>投标人资格条件</w:t>
            </w:r>
          </w:p>
        </w:tc>
        <w:tc>
          <w:tcPr>
            <w:tcW w:w="6580" w:type="dxa"/>
            <w:vAlign w:val="center"/>
          </w:tcPr>
          <w:p w14:paraId="1CA31E6D">
            <w:pPr>
              <w:spacing w:line="360" w:lineRule="auto"/>
              <w:rPr>
                <w:color w:val="auto"/>
                <w:highlight w:val="none"/>
                <w:lang w:val="en-US"/>
              </w:rPr>
            </w:pPr>
            <w:r>
              <w:rPr>
                <w:rFonts w:hint="eastAsia"/>
                <w:color w:val="auto"/>
                <w:highlight w:val="none"/>
                <w:lang w:val="en-US"/>
              </w:rPr>
              <w:t>1.满足《中华人民共和国政府采购法》第二十二条规定；</w:t>
            </w:r>
          </w:p>
          <w:p w14:paraId="04F396C9">
            <w:pPr>
              <w:spacing w:line="360" w:lineRule="auto"/>
              <w:rPr>
                <w:color w:val="auto"/>
                <w:highlight w:val="none"/>
                <w:lang w:val="en-US"/>
              </w:rPr>
            </w:pPr>
            <w:r>
              <w:rPr>
                <w:rFonts w:hint="eastAsia"/>
                <w:color w:val="auto"/>
                <w:highlight w:val="none"/>
                <w:lang w:val="en-US"/>
              </w:rPr>
              <w:t>2.落实政府采购政策满足的资格要求：</w:t>
            </w:r>
          </w:p>
          <w:p w14:paraId="29FCCC5E">
            <w:pPr>
              <w:spacing w:line="360" w:lineRule="auto"/>
              <w:rPr>
                <w:color w:val="auto"/>
                <w:highlight w:val="none"/>
                <w:lang w:val="en-US"/>
              </w:rPr>
            </w:pPr>
            <w:r>
              <w:rPr>
                <w:rFonts w:hint="eastAsia"/>
                <w:color w:val="auto"/>
                <w:highlight w:val="none"/>
                <w:lang w:val="en-US"/>
              </w:rPr>
              <w:t>本项目执行促进中小型企业发展政策（监狱企业、残疾人福利性企业视同小微企业）、强制采购节能产品、优先采购节能环保产品、优先采购国货等政府采购政策；</w:t>
            </w:r>
          </w:p>
          <w:p w14:paraId="4FB1D0D0">
            <w:pPr>
              <w:spacing w:line="360" w:lineRule="auto"/>
              <w:rPr>
                <w:color w:val="auto"/>
                <w:highlight w:val="none"/>
                <w:lang w:val="en-US"/>
              </w:rPr>
            </w:pPr>
            <w:r>
              <w:rPr>
                <w:rFonts w:hint="eastAsia"/>
                <w:color w:val="auto"/>
                <w:highlight w:val="none"/>
                <w:lang w:val="en-US"/>
              </w:rPr>
              <w:t>3.本项目的特定资格要求</w:t>
            </w:r>
          </w:p>
          <w:p w14:paraId="6FB1C7CB">
            <w:pPr>
              <w:spacing w:line="360" w:lineRule="auto"/>
              <w:rPr>
                <w:color w:val="auto"/>
                <w:highlight w:val="none"/>
                <w:lang w:val="en-US"/>
              </w:rPr>
            </w:pPr>
            <w:r>
              <w:rPr>
                <w:rFonts w:hint="eastAsia"/>
                <w:color w:val="auto"/>
                <w:highlight w:val="none"/>
                <w:lang w:val="en-US"/>
              </w:rPr>
              <w:t>3.1</w:t>
            </w:r>
            <w:r>
              <w:rPr>
                <w:rFonts w:hint="eastAsia"/>
                <w:color w:val="auto"/>
                <w:highlight w:val="none"/>
              </w:rPr>
              <w:t>根据《关于在政府采购活动中查询及使用信用记录有关问题的通知》</w:t>
            </w:r>
            <w:r>
              <w:rPr>
                <w:rFonts w:hint="eastAsia"/>
                <w:color w:val="auto"/>
                <w:highlight w:val="none"/>
                <w:lang w:val="en-US"/>
              </w:rPr>
              <w:t>(</w:t>
            </w:r>
            <w:r>
              <w:rPr>
                <w:rFonts w:hint="eastAsia"/>
                <w:color w:val="auto"/>
                <w:highlight w:val="none"/>
              </w:rPr>
              <w:t>财库</w:t>
            </w:r>
            <w:r>
              <w:rPr>
                <w:rFonts w:hint="eastAsia"/>
                <w:color w:val="auto"/>
                <w:highlight w:val="none"/>
                <w:lang w:val="en-US"/>
              </w:rPr>
              <w:t>[2016]125</w:t>
            </w:r>
            <w:r>
              <w:rPr>
                <w:rFonts w:hint="eastAsia"/>
                <w:color w:val="auto"/>
                <w:highlight w:val="none"/>
              </w:rPr>
              <w:t>号</w:t>
            </w:r>
            <w:r>
              <w:rPr>
                <w:rFonts w:hint="eastAsia"/>
                <w:color w:val="auto"/>
                <w:highlight w:val="none"/>
                <w:lang w:val="en-US"/>
              </w:rPr>
              <w:t>)</w:t>
            </w:r>
            <w:r>
              <w:rPr>
                <w:rFonts w:hint="eastAsia"/>
                <w:color w:val="auto"/>
                <w:highlight w:val="none"/>
              </w:rPr>
              <w:t>和豫财购</w:t>
            </w:r>
            <w:r>
              <w:rPr>
                <w:rFonts w:hint="eastAsia"/>
                <w:color w:val="auto"/>
                <w:highlight w:val="none"/>
                <w:lang w:val="en-US"/>
              </w:rPr>
              <w:t>[2016]15</w:t>
            </w:r>
            <w:r>
              <w:rPr>
                <w:rFonts w:hint="eastAsia"/>
                <w:color w:val="auto"/>
                <w:highlight w:val="none"/>
              </w:rPr>
              <w:t>号的规定</w:t>
            </w:r>
            <w:r>
              <w:rPr>
                <w:rFonts w:hint="eastAsia"/>
                <w:color w:val="auto"/>
                <w:highlight w:val="none"/>
                <w:lang w:val="en-US"/>
              </w:rPr>
              <w:t>，</w:t>
            </w:r>
            <w:r>
              <w:rPr>
                <w:rFonts w:hint="eastAsia"/>
                <w:color w:val="auto"/>
                <w:highlight w:val="none"/>
              </w:rPr>
              <w:t>对列入失信被执行人、重大税收违法失信主体、政府采购严重违法失信行为记录名单的企业</w:t>
            </w:r>
            <w:r>
              <w:rPr>
                <w:rFonts w:hint="eastAsia"/>
                <w:color w:val="auto"/>
                <w:highlight w:val="none"/>
                <w:lang w:val="en-US"/>
              </w:rPr>
              <w:t>，</w:t>
            </w:r>
            <w:r>
              <w:rPr>
                <w:rFonts w:hint="eastAsia"/>
                <w:color w:val="auto"/>
                <w:highlight w:val="none"/>
              </w:rPr>
              <w:t>拒绝参与本项目政府采购活动</w:t>
            </w:r>
            <w:r>
              <w:rPr>
                <w:rFonts w:hint="eastAsia"/>
                <w:color w:val="auto"/>
                <w:highlight w:val="none"/>
                <w:lang w:val="en-US"/>
              </w:rPr>
              <w:t>(</w:t>
            </w:r>
            <w:r>
              <w:rPr>
                <w:rFonts w:hint="eastAsia"/>
                <w:color w:val="auto"/>
                <w:highlight w:val="none"/>
              </w:rPr>
              <w:t>查询渠道</w:t>
            </w:r>
            <w:r>
              <w:rPr>
                <w:rFonts w:hint="eastAsia"/>
                <w:color w:val="auto"/>
                <w:highlight w:val="none"/>
                <w:lang w:val="en-US"/>
              </w:rPr>
              <w:t>：“</w:t>
            </w:r>
            <w:r>
              <w:rPr>
                <w:rFonts w:hint="eastAsia"/>
                <w:color w:val="auto"/>
                <w:highlight w:val="none"/>
              </w:rPr>
              <w:t>中国执行信息公开网</w:t>
            </w:r>
            <w:r>
              <w:rPr>
                <w:rFonts w:hint="eastAsia"/>
                <w:color w:val="auto"/>
                <w:highlight w:val="none"/>
                <w:lang w:val="en-US"/>
              </w:rPr>
              <w:t>(zxgk.court.gov.cn)”</w:t>
            </w:r>
            <w:r>
              <w:rPr>
                <w:rFonts w:hint="eastAsia"/>
                <w:color w:val="auto"/>
                <w:highlight w:val="none"/>
              </w:rPr>
              <w:t>查询</w:t>
            </w:r>
            <w:r>
              <w:rPr>
                <w:rFonts w:hint="eastAsia"/>
                <w:color w:val="auto"/>
                <w:highlight w:val="none"/>
                <w:lang w:val="en-US"/>
              </w:rPr>
              <w:t>：</w:t>
            </w:r>
            <w:r>
              <w:rPr>
                <w:rFonts w:hint="eastAsia"/>
                <w:color w:val="auto"/>
                <w:highlight w:val="none"/>
              </w:rPr>
              <w:t>失信被执行人名单</w:t>
            </w:r>
            <w:r>
              <w:rPr>
                <w:rFonts w:hint="eastAsia"/>
                <w:color w:val="auto"/>
                <w:highlight w:val="none"/>
                <w:lang w:val="en-US"/>
              </w:rPr>
              <w:t>；“</w:t>
            </w:r>
            <w:r>
              <w:rPr>
                <w:rFonts w:hint="eastAsia"/>
                <w:color w:val="auto"/>
                <w:highlight w:val="none"/>
              </w:rPr>
              <w:t>信用中国</w:t>
            </w:r>
            <w:r>
              <w:rPr>
                <w:rFonts w:hint="eastAsia"/>
                <w:color w:val="auto"/>
                <w:highlight w:val="none"/>
                <w:lang w:val="en-US"/>
              </w:rPr>
              <w:t>”</w:t>
            </w:r>
            <w:r>
              <w:rPr>
                <w:rFonts w:hint="eastAsia"/>
                <w:color w:val="auto"/>
                <w:highlight w:val="none"/>
              </w:rPr>
              <w:t>网站</w:t>
            </w:r>
            <w:r>
              <w:rPr>
                <w:rFonts w:hint="eastAsia"/>
                <w:color w:val="auto"/>
                <w:highlight w:val="none"/>
                <w:lang w:val="en-US"/>
              </w:rPr>
              <w:t>(www.creditchina.gov.cn)</w:t>
            </w:r>
            <w:r>
              <w:rPr>
                <w:rFonts w:hint="eastAsia"/>
                <w:color w:val="auto"/>
                <w:highlight w:val="none"/>
              </w:rPr>
              <w:t>查询</w:t>
            </w:r>
            <w:r>
              <w:rPr>
                <w:rFonts w:hint="eastAsia"/>
                <w:color w:val="auto"/>
                <w:highlight w:val="none"/>
                <w:lang w:val="en-US"/>
              </w:rPr>
              <w:t>：</w:t>
            </w:r>
            <w:r>
              <w:rPr>
                <w:rFonts w:hint="eastAsia"/>
                <w:color w:val="auto"/>
                <w:highlight w:val="none"/>
              </w:rPr>
              <w:t>重大税收违法失信主体、</w:t>
            </w:r>
            <w:r>
              <w:rPr>
                <w:rFonts w:hint="eastAsia"/>
                <w:color w:val="auto"/>
                <w:highlight w:val="none"/>
                <w:lang w:val="en-US"/>
              </w:rPr>
              <w:t>“</w:t>
            </w:r>
            <w:r>
              <w:rPr>
                <w:rFonts w:hint="eastAsia"/>
                <w:color w:val="auto"/>
                <w:highlight w:val="none"/>
              </w:rPr>
              <w:t>中国政府采购网</w:t>
            </w:r>
            <w:r>
              <w:rPr>
                <w:rFonts w:hint="eastAsia"/>
                <w:color w:val="auto"/>
                <w:highlight w:val="none"/>
                <w:lang w:val="en-US"/>
              </w:rPr>
              <w:t>”(www.ccgp.gov.cn)</w:t>
            </w:r>
            <w:r>
              <w:rPr>
                <w:rFonts w:hint="eastAsia"/>
                <w:color w:val="auto"/>
                <w:highlight w:val="none"/>
              </w:rPr>
              <w:t>查询</w:t>
            </w:r>
            <w:r>
              <w:rPr>
                <w:rFonts w:hint="eastAsia"/>
                <w:color w:val="auto"/>
                <w:highlight w:val="none"/>
                <w:lang w:val="en-US"/>
              </w:rPr>
              <w:t>：</w:t>
            </w:r>
            <w:r>
              <w:rPr>
                <w:rFonts w:hint="eastAsia"/>
                <w:color w:val="auto"/>
                <w:highlight w:val="none"/>
              </w:rPr>
              <w:t>政府采购严重违法失信行为记录名单</w:t>
            </w:r>
            <w:r>
              <w:rPr>
                <w:rFonts w:hint="eastAsia"/>
                <w:color w:val="auto"/>
                <w:highlight w:val="none"/>
                <w:lang w:val="en-US"/>
              </w:rPr>
              <w:t>)；</w:t>
            </w:r>
          </w:p>
          <w:p w14:paraId="47476DCB">
            <w:pPr>
              <w:spacing w:line="360" w:lineRule="auto"/>
              <w:rPr>
                <w:color w:val="auto"/>
                <w:highlight w:val="none"/>
              </w:rPr>
            </w:pPr>
            <w:r>
              <w:rPr>
                <w:rFonts w:hint="eastAsia"/>
                <w:color w:val="auto"/>
                <w:highlight w:val="none"/>
              </w:rPr>
              <w:t>注：采购代理机构在开标当天将对所有参与本项目投标的供应商的信用情况(失信被执行人、重大税收违法失信主体、政府采购严重违法失信行为记录名单)进行查询、打印留存。若在开标当天查询到供应商有相关负面信息的，则该供应商为无效供应商。</w:t>
            </w:r>
          </w:p>
          <w:p w14:paraId="1DACDA29">
            <w:pPr>
              <w:spacing w:line="360" w:lineRule="auto"/>
              <w:rPr>
                <w:color w:val="auto"/>
                <w:highlight w:val="none"/>
              </w:rPr>
            </w:pPr>
            <w:r>
              <w:rPr>
                <w:rFonts w:hint="eastAsia"/>
                <w:color w:val="auto"/>
                <w:highlight w:val="none"/>
                <w:lang w:val="en-US"/>
              </w:rPr>
              <w:t>3.2</w:t>
            </w:r>
            <w:r>
              <w:rPr>
                <w:rFonts w:hint="eastAsia"/>
                <w:color w:val="auto"/>
                <w:highlight w:val="none"/>
              </w:rPr>
              <w:t>单位负责人为同一人或者存在直接控股、管理关系的不同供应商，全部或者部分股东(基金公司或者专业投资公司作为股东的除外)为同一法人、其他组织或者自然人的不同供应商，同一自然人在两个以上供应商任职的不同供应商，不得参加同一合同项下的投标。【提供在“全国企业信用信息公示系统”中查询打印的相关材料(需包含公司基本信息、股东信息及股权变更信息)】。</w:t>
            </w:r>
          </w:p>
        </w:tc>
      </w:tr>
      <w:tr w14:paraId="04EDE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jc w:val="center"/>
        </w:trPr>
        <w:tc>
          <w:tcPr>
            <w:tcW w:w="1152" w:type="dxa"/>
            <w:vAlign w:val="center"/>
          </w:tcPr>
          <w:p w14:paraId="0E2A3CA1">
            <w:pPr>
              <w:jc w:val="center"/>
              <w:rPr>
                <w:color w:val="auto"/>
                <w:highlight w:val="none"/>
              </w:rPr>
            </w:pPr>
            <w:r>
              <w:rPr>
                <w:rFonts w:hint="eastAsia"/>
                <w:color w:val="auto"/>
                <w:highlight w:val="none"/>
              </w:rPr>
              <w:t>1.2.10</w:t>
            </w:r>
          </w:p>
        </w:tc>
        <w:tc>
          <w:tcPr>
            <w:tcW w:w="1947" w:type="dxa"/>
            <w:vAlign w:val="center"/>
          </w:tcPr>
          <w:p w14:paraId="3CF4DB3F">
            <w:pPr>
              <w:jc w:val="center"/>
              <w:rPr>
                <w:color w:val="auto"/>
                <w:highlight w:val="none"/>
              </w:rPr>
            </w:pPr>
            <w:r>
              <w:rPr>
                <w:rFonts w:hint="eastAsia"/>
                <w:color w:val="auto"/>
                <w:highlight w:val="none"/>
              </w:rPr>
              <w:t>是否接受联合体投标</w:t>
            </w:r>
          </w:p>
        </w:tc>
        <w:tc>
          <w:tcPr>
            <w:tcW w:w="6580" w:type="dxa"/>
            <w:vAlign w:val="center"/>
          </w:tcPr>
          <w:p w14:paraId="1885CC61">
            <w:pPr>
              <w:rPr>
                <w:color w:val="auto"/>
                <w:highlight w:val="none"/>
              </w:rPr>
            </w:pPr>
            <w:r>
              <w:rPr>
                <w:rFonts w:hint="eastAsia"/>
                <w:color w:val="auto"/>
                <w:highlight w:val="none"/>
              </w:rPr>
              <w:t>□接受；☑不接受；</w:t>
            </w:r>
          </w:p>
        </w:tc>
      </w:tr>
      <w:tr w14:paraId="288AA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1152" w:type="dxa"/>
            <w:vAlign w:val="center"/>
          </w:tcPr>
          <w:p w14:paraId="0B9A7E63">
            <w:pPr>
              <w:jc w:val="center"/>
              <w:rPr>
                <w:color w:val="auto"/>
                <w:highlight w:val="none"/>
              </w:rPr>
            </w:pPr>
            <w:r>
              <w:rPr>
                <w:rFonts w:hint="eastAsia"/>
                <w:color w:val="auto"/>
                <w:highlight w:val="none"/>
              </w:rPr>
              <w:t>1.3.1</w:t>
            </w:r>
          </w:p>
        </w:tc>
        <w:tc>
          <w:tcPr>
            <w:tcW w:w="1947" w:type="dxa"/>
            <w:vAlign w:val="center"/>
          </w:tcPr>
          <w:p w14:paraId="75040876">
            <w:pPr>
              <w:jc w:val="center"/>
              <w:rPr>
                <w:color w:val="auto"/>
                <w:highlight w:val="none"/>
              </w:rPr>
            </w:pPr>
            <w:r>
              <w:rPr>
                <w:rFonts w:hint="eastAsia"/>
                <w:color w:val="auto"/>
                <w:highlight w:val="none"/>
              </w:rPr>
              <w:t>项目名称</w:t>
            </w:r>
          </w:p>
        </w:tc>
        <w:tc>
          <w:tcPr>
            <w:tcW w:w="6580" w:type="dxa"/>
            <w:vAlign w:val="center"/>
          </w:tcPr>
          <w:p w14:paraId="418A206D">
            <w:pPr>
              <w:rPr>
                <w:color w:val="auto"/>
                <w:highlight w:val="none"/>
              </w:rPr>
            </w:pPr>
            <w:r>
              <w:rPr>
                <w:rFonts w:hint="eastAsia"/>
                <w:color w:val="auto"/>
                <w:highlight w:val="none"/>
              </w:rPr>
              <w:t>郑州师范学院西校区监控系统升级改造项目</w:t>
            </w:r>
          </w:p>
        </w:tc>
      </w:tr>
      <w:tr w14:paraId="6A902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1152" w:type="dxa"/>
            <w:vAlign w:val="center"/>
          </w:tcPr>
          <w:p w14:paraId="344EED90">
            <w:pPr>
              <w:jc w:val="center"/>
              <w:rPr>
                <w:color w:val="auto"/>
                <w:highlight w:val="none"/>
              </w:rPr>
            </w:pPr>
            <w:r>
              <w:rPr>
                <w:rFonts w:hint="eastAsia"/>
                <w:color w:val="auto"/>
                <w:highlight w:val="none"/>
              </w:rPr>
              <w:t>1.3.2</w:t>
            </w:r>
          </w:p>
        </w:tc>
        <w:tc>
          <w:tcPr>
            <w:tcW w:w="1947" w:type="dxa"/>
            <w:vAlign w:val="center"/>
          </w:tcPr>
          <w:p w14:paraId="14C029F0">
            <w:pPr>
              <w:jc w:val="center"/>
              <w:rPr>
                <w:color w:val="auto"/>
                <w:highlight w:val="none"/>
              </w:rPr>
            </w:pPr>
            <w:r>
              <w:rPr>
                <w:rFonts w:hint="eastAsia"/>
                <w:color w:val="auto"/>
                <w:highlight w:val="none"/>
              </w:rPr>
              <w:t>资金来源</w:t>
            </w:r>
          </w:p>
        </w:tc>
        <w:tc>
          <w:tcPr>
            <w:tcW w:w="6580" w:type="dxa"/>
            <w:vAlign w:val="center"/>
          </w:tcPr>
          <w:p w14:paraId="5F99CCCA">
            <w:pPr>
              <w:rPr>
                <w:color w:val="auto"/>
                <w:highlight w:val="none"/>
              </w:rPr>
            </w:pPr>
            <w:r>
              <w:rPr>
                <w:rFonts w:hint="eastAsia"/>
                <w:color w:val="auto"/>
                <w:highlight w:val="none"/>
              </w:rPr>
              <w:t>财政资金</w:t>
            </w:r>
          </w:p>
        </w:tc>
      </w:tr>
      <w:tr w14:paraId="575DD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jc w:val="center"/>
        </w:trPr>
        <w:tc>
          <w:tcPr>
            <w:tcW w:w="1152" w:type="dxa"/>
            <w:vAlign w:val="center"/>
          </w:tcPr>
          <w:p w14:paraId="744B1E86">
            <w:pPr>
              <w:jc w:val="center"/>
              <w:rPr>
                <w:color w:val="auto"/>
                <w:highlight w:val="none"/>
              </w:rPr>
            </w:pPr>
            <w:r>
              <w:rPr>
                <w:rFonts w:hint="eastAsia"/>
                <w:color w:val="auto"/>
                <w:highlight w:val="none"/>
              </w:rPr>
              <w:t>1.3.3</w:t>
            </w:r>
          </w:p>
        </w:tc>
        <w:tc>
          <w:tcPr>
            <w:tcW w:w="1947" w:type="dxa"/>
            <w:vAlign w:val="center"/>
          </w:tcPr>
          <w:p w14:paraId="4B6FF693">
            <w:pPr>
              <w:jc w:val="center"/>
              <w:rPr>
                <w:color w:val="auto"/>
                <w:highlight w:val="none"/>
              </w:rPr>
            </w:pPr>
            <w:r>
              <w:rPr>
                <w:rFonts w:hint="eastAsia"/>
                <w:color w:val="auto"/>
                <w:highlight w:val="none"/>
              </w:rPr>
              <w:t>资金落实情况</w:t>
            </w:r>
          </w:p>
        </w:tc>
        <w:tc>
          <w:tcPr>
            <w:tcW w:w="6580" w:type="dxa"/>
            <w:vAlign w:val="center"/>
          </w:tcPr>
          <w:p w14:paraId="5914F35B">
            <w:pPr>
              <w:rPr>
                <w:color w:val="auto"/>
                <w:highlight w:val="none"/>
              </w:rPr>
            </w:pPr>
            <w:r>
              <w:rPr>
                <w:rFonts w:hint="eastAsia"/>
                <w:color w:val="auto"/>
                <w:highlight w:val="none"/>
              </w:rPr>
              <w:t>已落实</w:t>
            </w:r>
          </w:p>
        </w:tc>
      </w:tr>
      <w:tr w14:paraId="538D8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1152" w:type="dxa"/>
            <w:vAlign w:val="center"/>
          </w:tcPr>
          <w:p w14:paraId="2C642FB3">
            <w:pPr>
              <w:jc w:val="center"/>
              <w:rPr>
                <w:color w:val="auto"/>
                <w:highlight w:val="none"/>
              </w:rPr>
            </w:pPr>
            <w:r>
              <w:rPr>
                <w:rFonts w:hint="eastAsia"/>
                <w:color w:val="auto"/>
                <w:highlight w:val="none"/>
              </w:rPr>
              <w:t>1.4.1</w:t>
            </w:r>
          </w:p>
        </w:tc>
        <w:tc>
          <w:tcPr>
            <w:tcW w:w="1947" w:type="dxa"/>
            <w:vAlign w:val="center"/>
          </w:tcPr>
          <w:p w14:paraId="6848444D">
            <w:pPr>
              <w:jc w:val="center"/>
              <w:rPr>
                <w:color w:val="auto"/>
                <w:highlight w:val="none"/>
              </w:rPr>
            </w:pPr>
            <w:r>
              <w:rPr>
                <w:rFonts w:hint="eastAsia"/>
                <w:color w:val="auto"/>
                <w:highlight w:val="none"/>
              </w:rPr>
              <w:t>采购内容</w:t>
            </w:r>
          </w:p>
        </w:tc>
        <w:tc>
          <w:tcPr>
            <w:tcW w:w="6580" w:type="dxa"/>
            <w:vAlign w:val="center"/>
          </w:tcPr>
          <w:p w14:paraId="1616C411">
            <w:pPr>
              <w:jc w:val="both"/>
              <w:rPr>
                <w:color w:val="auto"/>
                <w:highlight w:val="none"/>
              </w:rPr>
            </w:pPr>
            <w:r>
              <w:rPr>
                <w:rFonts w:hint="eastAsia"/>
                <w:color w:val="auto"/>
                <w:highlight w:val="none"/>
                <w:lang w:val="en-US"/>
              </w:rPr>
              <w:t>西校区监控升级改造（详见采购需求）</w:t>
            </w:r>
          </w:p>
        </w:tc>
      </w:tr>
      <w:tr w14:paraId="38F38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1152" w:type="dxa"/>
            <w:vAlign w:val="center"/>
          </w:tcPr>
          <w:p w14:paraId="007B5B28">
            <w:pPr>
              <w:jc w:val="center"/>
              <w:rPr>
                <w:color w:val="auto"/>
                <w:highlight w:val="none"/>
              </w:rPr>
            </w:pPr>
            <w:r>
              <w:rPr>
                <w:rFonts w:hint="eastAsia"/>
                <w:color w:val="auto"/>
                <w:highlight w:val="none"/>
              </w:rPr>
              <w:t>1.4.2</w:t>
            </w:r>
          </w:p>
        </w:tc>
        <w:tc>
          <w:tcPr>
            <w:tcW w:w="1947" w:type="dxa"/>
            <w:vAlign w:val="center"/>
          </w:tcPr>
          <w:p w14:paraId="0027B3D8">
            <w:pPr>
              <w:jc w:val="center"/>
              <w:rPr>
                <w:color w:val="auto"/>
                <w:highlight w:val="none"/>
              </w:rPr>
            </w:pPr>
            <w:r>
              <w:rPr>
                <w:rFonts w:hint="eastAsia"/>
                <w:color w:val="auto"/>
                <w:highlight w:val="none"/>
              </w:rPr>
              <w:t>质量要求</w:t>
            </w:r>
          </w:p>
        </w:tc>
        <w:tc>
          <w:tcPr>
            <w:tcW w:w="6580" w:type="dxa"/>
            <w:vAlign w:val="center"/>
          </w:tcPr>
          <w:p w14:paraId="4263C29A">
            <w:pPr>
              <w:rPr>
                <w:color w:val="auto"/>
                <w:highlight w:val="none"/>
              </w:rPr>
            </w:pPr>
            <w:r>
              <w:rPr>
                <w:rFonts w:hint="eastAsia"/>
                <w:color w:val="auto"/>
                <w:highlight w:val="none"/>
                <w:lang w:val="en-US"/>
              </w:rPr>
              <w:t>符合国家、行业规定的合格标准和规范，满足招标文件和采购人的要求</w:t>
            </w:r>
          </w:p>
        </w:tc>
      </w:tr>
      <w:tr w14:paraId="58EFA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1152" w:type="dxa"/>
            <w:vAlign w:val="center"/>
          </w:tcPr>
          <w:p w14:paraId="6BDD0B6A">
            <w:pPr>
              <w:jc w:val="center"/>
              <w:rPr>
                <w:color w:val="auto"/>
                <w:highlight w:val="none"/>
              </w:rPr>
            </w:pPr>
            <w:r>
              <w:rPr>
                <w:rFonts w:hint="eastAsia"/>
                <w:color w:val="auto"/>
                <w:highlight w:val="none"/>
              </w:rPr>
              <w:t>1.4.3</w:t>
            </w:r>
          </w:p>
        </w:tc>
        <w:tc>
          <w:tcPr>
            <w:tcW w:w="1947" w:type="dxa"/>
            <w:vAlign w:val="center"/>
          </w:tcPr>
          <w:p w14:paraId="2ACD7CD0">
            <w:pPr>
              <w:jc w:val="center"/>
              <w:rPr>
                <w:color w:val="auto"/>
                <w:highlight w:val="none"/>
              </w:rPr>
            </w:pPr>
            <w:r>
              <w:rPr>
                <w:rFonts w:hint="eastAsia"/>
                <w:color w:val="auto"/>
                <w:highlight w:val="none"/>
              </w:rPr>
              <w:t>交货期</w:t>
            </w:r>
          </w:p>
        </w:tc>
        <w:tc>
          <w:tcPr>
            <w:tcW w:w="6580" w:type="dxa"/>
            <w:vAlign w:val="center"/>
          </w:tcPr>
          <w:p w14:paraId="445A9FFC">
            <w:pPr>
              <w:rPr>
                <w:color w:val="auto"/>
                <w:highlight w:val="none"/>
              </w:rPr>
            </w:pPr>
            <w:r>
              <w:rPr>
                <w:rFonts w:hint="eastAsia"/>
                <w:color w:val="auto"/>
                <w:highlight w:val="none"/>
                <w:lang w:val="en-US"/>
              </w:rPr>
              <w:t>合同签订之日起40天供货安装调试完毕</w:t>
            </w:r>
          </w:p>
        </w:tc>
      </w:tr>
      <w:tr w14:paraId="6281D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1152" w:type="dxa"/>
            <w:vAlign w:val="center"/>
          </w:tcPr>
          <w:p w14:paraId="3AE8F7C5">
            <w:pPr>
              <w:jc w:val="center"/>
              <w:rPr>
                <w:color w:val="auto"/>
                <w:highlight w:val="none"/>
                <w:lang w:val="en-US"/>
              </w:rPr>
            </w:pPr>
            <w:r>
              <w:rPr>
                <w:rFonts w:hint="eastAsia"/>
                <w:color w:val="auto"/>
                <w:highlight w:val="none"/>
                <w:lang w:val="en-US"/>
              </w:rPr>
              <w:t>1.4.4</w:t>
            </w:r>
          </w:p>
        </w:tc>
        <w:tc>
          <w:tcPr>
            <w:tcW w:w="1947" w:type="dxa"/>
            <w:vAlign w:val="center"/>
          </w:tcPr>
          <w:p w14:paraId="752E2D87">
            <w:pPr>
              <w:jc w:val="center"/>
              <w:rPr>
                <w:color w:val="auto"/>
                <w:highlight w:val="none"/>
              </w:rPr>
            </w:pPr>
            <w:r>
              <w:rPr>
                <w:rFonts w:hint="eastAsia"/>
                <w:color w:val="auto"/>
                <w:highlight w:val="none"/>
              </w:rPr>
              <w:t>质保期</w:t>
            </w:r>
          </w:p>
        </w:tc>
        <w:tc>
          <w:tcPr>
            <w:tcW w:w="6580" w:type="dxa"/>
            <w:vAlign w:val="center"/>
          </w:tcPr>
          <w:p w14:paraId="5AEA96F1">
            <w:pPr>
              <w:rPr>
                <w:color w:val="auto"/>
                <w:highlight w:val="none"/>
              </w:rPr>
            </w:pPr>
            <w:r>
              <w:rPr>
                <w:rFonts w:hint="eastAsia"/>
                <w:color w:val="auto"/>
                <w:highlight w:val="none"/>
                <w:lang w:val="en-US"/>
              </w:rPr>
              <w:t>质保期为36个月</w:t>
            </w:r>
          </w:p>
        </w:tc>
      </w:tr>
      <w:tr w14:paraId="31AC0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atLeast"/>
          <w:jc w:val="center"/>
        </w:trPr>
        <w:tc>
          <w:tcPr>
            <w:tcW w:w="1152" w:type="dxa"/>
            <w:vAlign w:val="center"/>
          </w:tcPr>
          <w:p w14:paraId="1FDD051E">
            <w:pPr>
              <w:jc w:val="center"/>
              <w:rPr>
                <w:color w:val="auto"/>
                <w:highlight w:val="none"/>
                <w:lang w:val="en-US"/>
              </w:rPr>
            </w:pPr>
            <w:r>
              <w:rPr>
                <w:rFonts w:hint="eastAsia"/>
                <w:color w:val="auto"/>
                <w:highlight w:val="none"/>
                <w:lang w:val="en-US"/>
              </w:rPr>
              <w:t>1.6</w:t>
            </w:r>
          </w:p>
        </w:tc>
        <w:tc>
          <w:tcPr>
            <w:tcW w:w="1947" w:type="dxa"/>
            <w:vAlign w:val="center"/>
          </w:tcPr>
          <w:p w14:paraId="7D709EBD">
            <w:pPr>
              <w:jc w:val="center"/>
              <w:rPr>
                <w:color w:val="auto"/>
                <w:highlight w:val="none"/>
              </w:rPr>
            </w:pPr>
            <w:r>
              <w:rPr>
                <w:rFonts w:hint="eastAsia"/>
                <w:color w:val="auto"/>
                <w:highlight w:val="none"/>
              </w:rPr>
              <w:t>现场考察</w:t>
            </w:r>
          </w:p>
        </w:tc>
        <w:tc>
          <w:tcPr>
            <w:tcW w:w="6580" w:type="dxa"/>
            <w:vAlign w:val="center"/>
          </w:tcPr>
          <w:p w14:paraId="70678EC7">
            <w:pPr>
              <w:spacing w:line="360" w:lineRule="auto"/>
              <w:rPr>
                <w:color w:val="auto"/>
                <w:highlight w:val="none"/>
              </w:rPr>
            </w:pPr>
            <w:r>
              <w:rPr>
                <w:rFonts w:hint="eastAsia"/>
                <w:color w:val="auto"/>
                <w:highlight w:val="none"/>
              </w:rPr>
              <w:t>□组织</w:t>
            </w:r>
          </w:p>
          <w:p w14:paraId="16A5D08B">
            <w:pPr>
              <w:spacing w:line="360" w:lineRule="auto"/>
              <w:rPr>
                <w:color w:val="auto"/>
                <w:highlight w:val="none"/>
              </w:rPr>
            </w:pPr>
            <w:r>
              <w:rPr>
                <w:rFonts w:hint="eastAsia"/>
                <w:color w:val="auto"/>
                <w:highlight w:val="none"/>
              </w:rPr>
              <w:t>组织，考察时间：</w:t>
            </w:r>
            <w:r>
              <w:rPr>
                <w:rFonts w:hint="eastAsia"/>
                <w:color w:val="auto"/>
                <w:highlight w:val="none"/>
                <w:lang w:val="en-US" w:eastAsia="zh-CN"/>
              </w:rPr>
              <w:t xml:space="preserve">          </w:t>
            </w:r>
            <w:r>
              <w:rPr>
                <w:rFonts w:hint="eastAsia"/>
                <w:color w:val="auto"/>
                <w:highlight w:val="none"/>
              </w:rPr>
              <w:t>考察地点：</w:t>
            </w:r>
          </w:p>
          <w:p w14:paraId="51CBC248">
            <w:pPr>
              <w:spacing w:line="360" w:lineRule="auto"/>
              <w:rPr>
                <w:color w:val="auto"/>
                <w:highlight w:val="none"/>
              </w:rPr>
            </w:pPr>
            <w:r>
              <w:rPr>
                <w:rFonts w:hint="eastAsia"/>
                <w:color w:val="auto"/>
                <w:highlight w:val="none"/>
              </w:rPr>
              <w:t>☑不组织</w:t>
            </w:r>
          </w:p>
        </w:tc>
      </w:tr>
      <w:tr w14:paraId="22A12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5" w:hRule="atLeast"/>
          <w:jc w:val="center"/>
        </w:trPr>
        <w:tc>
          <w:tcPr>
            <w:tcW w:w="1152" w:type="dxa"/>
            <w:vAlign w:val="center"/>
          </w:tcPr>
          <w:p w14:paraId="30D5D595">
            <w:pPr>
              <w:jc w:val="center"/>
              <w:rPr>
                <w:color w:val="auto"/>
                <w:highlight w:val="none"/>
              </w:rPr>
            </w:pPr>
            <w:r>
              <w:rPr>
                <w:rFonts w:hint="eastAsia"/>
                <w:color w:val="auto"/>
                <w:highlight w:val="none"/>
              </w:rPr>
              <w:t>1.7</w:t>
            </w:r>
          </w:p>
        </w:tc>
        <w:tc>
          <w:tcPr>
            <w:tcW w:w="1947" w:type="dxa"/>
            <w:vAlign w:val="center"/>
          </w:tcPr>
          <w:p w14:paraId="7744404A">
            <w:pPr>
              <w:jc w:val="center"/>
              <w:rPr>
                <w:color w:val="auto"/>
                <w:highlight w:val="none"/>
              </w:rPr>
            </w:pPr>
            <w:r>
              <w:rPr>
                <w:rFonts w:hint="eastAsia"/>
                <w:color w:val="auto"/>
                <w:highlight w:val="none"/>
              </w:rPr>
              <w:t>分包</w:t>
            </w:r>
          </w:p>
        </w:tc>
        <w:tc>
          <w:tcPr>
            <w:tcW w:w="6580" w:type="dxa"/>
            <w:vAlign w:val="center"/>
          </w:tcPr>
          <w:p w14:paraId="4FB6E8C6">
            <w:pPr>
              <w:spacing w:line="360" w:lineRule="auto"/>
              <w:rPr>
                <w:color w:val="auto"/>
                <w:highlight w:val="none"/>
              </w:rPr>
            </w:pPr>
            <w:r>
              <w:rPr>
                <w:rFonts w:hint="eastAsia"/>
                <w:color w:val="auto"/>
                <w:highlight w:val="none"/>
              </w:rPr>
              <w:t>☑不允许</w:t>
            </w:r>
          </w:p>
          <w:p w14:paraId="2F287BCB">
            <w:pPr>
              <w:spacing w:line="360" w:lineRule="auto"/>
              <w:rPr>
                <w:color w:val="auto"/>
                <w:highlight w:val="none"/>
              </w:rPr>
            </w:pPr>
            <w:r>
              <w:rPr>
                <w:rFonts w:hint="eastAsia"/>
                <w:color w:val="auto"/>
                <w:highlight w:val="none"/>
              </w:rPr>
              <w:t>□允许</w:t>
            </w:r>
          </w:p>
          <w:p w14:paraId="0C5517ED">
            <w:pPr>
              <w:spacing w:line="360" w:lineRule="auto"/>
              <w:rPr>
                <w:color w:val="auto"/>
                <w:highlight w:val="none"/>
              </w:rPr>
            </w:pPr>
            <w:r>
              <w:rPr>
                <w:rFonts w:hint="eastAsia"/>
                <w:color w:val="auto"/>
                <w:highlight w:val="none"/>
              </w:rPr>
              <w:t>分包内容要求：</w:t>
            </w:r>
          </w:p>
          <w:p w14:paraId="5B760F8F">
            <w:pPr>
              <w:spacing w:line="360" w:lineRule="auto"/>
              <w:rPr>
                <w:color w:val="auto"/>
                <w:highlight w:val="none"/>
              </w:rPr>
            </w:pPr>
            <w:r>
              <w:rPr>
                <w:rFonts w:hint="eastAsia"/>
                <w:color w:val="auto"/>
                <w:highlight w:val="none"/>
              </w:rPr>
              <w:t>分包金额要求：</w:t>
            </w:r>
          </w:p>
          <w:p w14:paraId="4D8321F4">
            <w:pPr>
              <w:spacing w:line="360" w:lineRule="auto"/>
              <w:rPr>
                <w:color w:val="auto"/>
                <w:highlight w:val="none"/>
              </w:rPr>
            </w:pPr>
            <w:r>
              <w:rPr>
                <w:rFonts w:hint="eastAsia"/>
                <w:color w:val="auto"/>
                <w:highlight w:val="none"/>
              </w:rPr>
              <w:t>对分包人的资质要求：</w:t>
            </w:r>
          </w:p>
        </w:tc>
      </w:tr>
      <w:tr w14:paraId="21201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atLeast"/>
          <w:jc w:val="center"/>
        </w:trPr>
        <w:tc>
          <w:tcPr>
            <w:tcW w:w="1152" w:type="dxa"/>
            <w:vAlign w:val="center"/>
          </w:tcPr>
          <w:p w14:paraId="3D74D282">
            <w:pPr>
              <w:jc w:val="center"/>
              <w:rPr>
                <w:color w:val="auto"/>
                <w:highlight w:val="none"/>
              </w:rPr>
            </w:pPr>
            <w:r>
              <w:rPr>
                <w:rFonts w:hint="eastAsia"/>
                <w:color w:val="auto"/>
                <w:highlight w:val="none"/>
              </w:rPr>
              <w:t>1.9.1</w:t>
            </w:r>
          </w:p>
        </w:tc>
        <w:tc>
          <w:tcPr>
            <w:tcW w:w="1947" w:type="dxa"/>
            <w:vAlign w:val="center"/>
          </w:tcPr>
          <w:p w14:paraId="5D785ABD">
            <w:pPr>
              <w:jc w:val="center"/>
              <w:rPr>
                <w:color w:val="auto"/>
                <w:highlight w:val="none"/>
              </w:rPr>
            </w:pPr>
            <w:r>
              <w:rPr>
                <w:rFonts w:hint="eastAsia"/>
                <w:color w:val="auto"/>
                <w:highlight w:val="none"/>
              </w:rPr>
              <w:t>实质性要求和条件</w:t>
            </w:r>
          </w:p>
        </w:tc>
        <w:tc>
          <w:tcPr>
            <w:tcW w:w="6580" w:type="dxa"/>
            <w:vAlign w:val="center"/>
          </w:tcPr>
          <w:p w14:paraId="1E8EF246">
            <w:pPr>
              <w:spacing w:line="360" w:lineRule="auto"/>
              <w:rPr>
                <w:color w:val="auto"/>
                <w:highlight w:val="none"/>
              </w:rPr>
            </w:pPr>
            <w:r>
              <w:rPr>
                <w:rFonts w:hint="eastAsia"/>
                <w:color w:val="auto"/>
                <w:highlight w:val="none"/>
              </w:rPr>
              <w:t>招标文件无效条款；招标文件中用“拒绝”、“不（予）接受”、“不得”、“不允许偏离”、“否决”、“无效”等文字规定的条款；法律、法规、规章的相关规定。</w:t>
            </w:r>
          </w:p>
        </w:tc>
      </w:tr>
      <w:tr w14:paraId="6BCC1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152" w:type="dxa"/>
            <w:vAlign w:val="center"/>
          </w:tcPr>
          <w:p w14:paraId="76871485">
            <w:pPr>
              <w:jc w:val="center"/>
              <w:rPr>
                <w:color w:val="auto"/>
                <w:highlight w:val="none"/>
              </w:rPr>
            </w:pPr>
            <w:r>
              <w:rPr>
                <w:rFonts w:hint="eastAsia"/>
                <w:color w:val="auto"/>
                <w:highlight w:val="none"/>
              </w:rPr>
              <w:t>1.9.2</w:t>
            </w:r>
          </w:p>
        </w:tc>
        <w:tc>
          <w:tcPr>
            <w:tcW w:w="1947" w:type="dxa"/>
            <w:vAlign w:val="center"/>
          </w:tcPr>
          <w:p w14:paraId="52389575">
            <w:pPr>
              <w:jc w:val="center"/>
              <w:rPr>
                <w:color w:val="auto"/>
                <w:highlight w:val="none"/>
              </w:rPr>
            </w:pPr>
            <w:r>
              <w:rPr>
                <w:rFonts w:hint="eastAsia"/>
                <w:color w:val="auto"/>
                <w:highlight w:val="none"/>
              </w:rPr>
              <w:t>偏差</w:t>
            </w:r>
          </w:p>
        </w:tc>
        <w:tc>
          <w:tcPr>
            <w:tcW w:w="6580" w:type="dxa"/>
            <w:vAlign w:val="center"/>
          </w:tcPr>
          <w:p w14:paraId="7BD271E1">
            <w:pPr>
              <w:rPr>
                <w:color w:val="auto"/>
                <w:highlight w:val="none"/>
              </w:rPr>
            </w:pPr>
            <w:r>
              <w:rPr>
                <w:rFonts w:hint="eastAsia"/>
                <w:color w:val="auto"/>
                <w:highlight w:val="none"/>
              </w:rPr>
              <w:t>不允许负偏差。</w:t>
            </w:r>
          </w:p>
        </w:tc>
      </w:tr>
      <w:tr w14:paraId="14815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1152" w:type="dxa"/>
            <w:vAlign w:val="center"/>
          </w:tcPr>
          <w:p w14:paraId="7DAAEB15">
            <w:pPr>
              <w:jc w:val="center"/>
              <w:rPr>
                <w:color w:val="auto"/>
                <w:highlight w:val="none"/>
              </w:rPr>
            </w:pPr>
            <w:r>
              <w:rPr>
                <w:rFonts w:hint="eastAsia"/>
                <w:color w:val="auto"/>
                <w:highlight w:val="none"/>
              </w:rPr>
              <w:t>3.5.</w:t>
            </w:r>
            <w:r>
              <w:rPr>
                <w:rFonts w:hint="eastAsia"/>
                <w:color w:val="auto"/>
                <w:highlight w:val="none"/>
                <w:lang w:val="en-US"/>
              </w:rPr>
              <w:t>4</w:t>
            </w:r>
          </w:p>
        </w:tc>
        <w:tc>
          <w:tcPr>
            <w:tcW w:w="1947" w:type="dxa"/>
            <w:vAlign w:val="center"/>
          </w:tcPr>
          <w:p w14:paraId="001E96CF">
            <w:pPr>
              <w:jc w:val="center"/>
              <w:rPr>
                <w:color w:val="auto"/>
                <w:highlight w:val="none"/>
              </w:rPr>
            </w:pPr>
            <w:r>
              <w:rPr>
                <w:rFonts w:hint="eastAsia"/>
                <w:color w:val="auto"/>
                <w:highlight w:val="none"/>
              </w:rPr>
              <w:t>投标报价</w:t>
            </w:r>
          </w:p>
        </w:tc>
        <w:tc>
          <w:tcPr>
            <w:tcW w:w="6580" w:type="dxa"/>
            <w:vAlign w:val="center"/>
          </w:tcPr>
          <w:p w14:paraId="1F4723CE">
            <w:pPr>
              <w:rPr>
                <w:color w:val="auto"/>
                <w:highlight w:val="none"/>
              </w:rPr>
            </w:pPr>
            <w:r>
              <w:rPr>
                <w:rFonts w:hint="eastAsia"/>
                <w:color w:val="auto"/>
                <w:highlight w:val="none"/>
                <w:lang w:val="en-US"/>
              </w:rPr>
              <w:t>供应商投标报价超过最高限价的按废标处理。</w:t>
            </w:r>
          </w:p>
        </w:tc>
      </w:tr>
      <w:tr w14:paraId="655C8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jc w:val="center"/>
        </w:trPr>
        <w:tc>
          <w:tcPr>
            <w:tcW w:w="1152" w:type="dxa"/>
            <w:vAlign w:val="center"/>
          </w:tcPr>
          <w:p w14:paraId="62269BEB">
            <w:pPr>
              <w:jc w:val="center"/>
              <w:rPr>
                <w:color w:val="auto"/>
                <w:highlight w:val="none"/>
              </w:rPr>
            </w:pPr>
            <w:r>
              <w:rPr>
                <w:rFonts w:hint="eastAsia"/>
                <w:color w:val="auto"/>
                <w:highlight w:val="none"/>
              </w:rPr>
              <w:t>3.8</w:t>
            </w:r>
          </w:p>
        </w:tc>
        <w:tc>
          <w:tcPr>
            <w:tcW w:w="1947" w:type="dxa"/>
            <w:vAlign w:val="center"/>
          </w:tcPr>
          <w:p w14:paraId="14C3EC9C">
            <w:pPr>
              <w:jc w:val="center"/>
              <w:rPr>
                <w:color w:val="auto"/>
                <w:highlight w:val="none"/>
              </w:rPr>
            </w:pPr>
            <w:r>
              <w:rPr>
                <w:rFonts w:hint="eastAsia"/>
                <w:color w:val="auto"/>
                <w:highlight w:val="none"/>
              </w:rPr>
              <w:t>投标保证金</w:t>
            </w:r>
          </w:p>
        </w:tc>
        <w:tc>
          <w:tcPr>
            <w:tcW w:w="6580" w:type="dxa"/>
            <w:vAlign w:val="center"/>
          </w:tcPr>
          <w:p w14:paraId="57460D99">
            <w:pPr>
              <w:spacing w:line="360" w:lineRule="auto"/>
              <w:rPr>
                <w:color w:val="auto"/>
                <w:highlight w:val="none"/>
              </w:rPr>
            </w:pPr>
            <w:r>
              <w:rPr>
                <w:rFonts w:hint="eastAsia"/>
                <w:color w:val="auto"/>
                <w:highlight w:val="none"/>
              </w:rPr>
              <w:t>注：河南省财政厅发布关于优化政府采购营商环境有关问题的通知规定，自2019年8月1日起，在河南省全省政府采购货物和服务招投标活动中，不再向供应商收取投标保证金。非招标采购方式采购货物、工程和服务的，也不再向供应商收取投标保证金。采购人、采购代理机构可以要求供应商以投标承诺函的形式替代投标保证金。要求提供投标承诺函的,在编制招标文件时要明确供应商应承诺事项及违背承诺的责任追究措施。</w:t>
            </w:r>
          </w:p>
        </w:tc>
      </w:tr>
      <w:tr w14:paraId="2F7E3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1152" w:type="dxa"/>
            <w:vAlign w:val="center"/>
          </w:tcPr>
          <w:p w14:paraId="3E441FA5">
            <w:pPr>
              <w:jc w:val="center"/>
              <w:rPr>
                <w:color w:val="auto"/>
                <w:highlight w:val="none"/>
              </w:rPr>
            </w:pPr>
            <w:r>
              <w:rPr>
                <w:rFonts w:hint="eastAsia"/>
                <w:color w:val="auto"/>
                <w:highlight w:val="none"/>
              </w:rPr>
              <w:t>3.9</w:t>
            </w:r>
          </w:p>
        </w:tc>
        <w:tc>
          <w:tcPr>
            <w:tcW w:w="1947" w:type="dxa"/>
            <w:vAlign w:val="center"/>
          </w:tcPr>
          <w:p w14:paraId="3581205F">
            <w:pPr>
              <w:jc w:val="center"/>
              <w:rPr>
                <w:color w:val="auto"/>
                <w:highlight w:val="none"/>
              </w:rPr>
            </w:pPr>
            <w:r>
              <w:rPr>
                <w:rFonts w:hint="eastAsia"/>
                <w:color w:val="auto"/>
                <w:highlight w:val="none"/>
              </w:rPr>
              <w:t>投标有效期</w:t>
            </w:r>
          </w:p>
        </w:tc>
        <w:tc>
          <w:tcPr>
            <w:tcW w:w="6580" w:type="dxa"/>
            <w:vAlign w:val="center"/>
          </w:tcPr>
          <w:p w14:paraId="21823EEA">
            <w:pPr>
              <w:rPr>
                <w:color w:val="auto"/>
                <w:highlight w:val="none"/>
              </w:rPr>
            </w:pPr>
            <w:r>
              <w:rPr>
                <w:rFonts w:hint="eastAsia"/>
                <w:color w:val="auto"/>
                <w:highlight w:val="none"/>
              </w:rPr>
              <w:t>自投标截止之日起</w:t>
            </w:r>
            <w:r>
              <w:rPr>
                <w:rFonts w:hint="eastAsia"/>
                <w:color w:val="auto"/>
                <w:highlight w:val="none"/>
                <w:lang w:val="en-US"/>
              </w:rPr>
              <w:t>60</w:t>
            </w:r>
            <w:r>
              <w:rPr>
                <w:rFonts w:hint="eastAsia"/>
                <w:color w:val="auto"/>
                <w:highlight w:val="none"/>
              </w:rPr>
              <w:t>日历天</w:t>
            </w:r>
          </w:p>
        </w:tc>
      </w:tr>
      <w:tr w14:paraId="69052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5" w:hRule="atLeast"/>
          <w:jc w:val="center"/>
        </w:trPr>
        <w:tc>
          <w:tcPr>
            <w:tcW w:w="1152" w:type="dxa"/>
            <w:vAlign w:val="center"/>
          </w:tcPr>
          <w:p w14:paraId="0DE2226B">
            <w:pPr>
              <w:jc w:val="center"/>
              <w:rPr>
                <w:color w:val="auto"/>
                <w:highlight w:val="none"/>
              </w:rPr>
            </w:pPr>
            <w:r>
              <w:rPr>
                <w:rFonts w:hint="eastAsia"/>
                <w:color w:val="auto"/>
                <w:highlight w:val="none"/>
              </w:rPr>
              <w:t>3.10.3</w:t>
            </w:r>
          </w:p>
        </w:tc>
        <w:tc>
          <w:tcPr>
            <w:tcW w:w="1947" w:type="dxa"/>
            <w:vAlign w:val="center"/>
          </w:tcPr>
          <w:p w14:paraId="40D2AE22">
            <w:pPr>
              <w:jc w:val="center"/>
              <w:rPr>
                <w:color w:val="auto"/>
                <w:highlight w:val="none"/>
              </w:rPr>
            </w:pPr>
            <w:r>
              <w:rPr>
                <w:rFonts w:hint="eastAsia"/>
                <w:color w:val="auto"/>
                <w:highlight w:val="none"/>
              </w:rPr>
              <w:t>签字和盖章要求</w:t>
            </w:r>
          </w:p>
        </w:tc>
        <w:tc>
          <w:tcPr>
            <w:tcW w:w="6580" w:type="dxa"/>
            <w:vAlign w:val="center"/>
          </w:tcPr>
          <w:p w14:paraId="38E5EEC0">
            <w:pPr>
              <w:spacing w:line="360" w:lineRule="auto"/>
              <w:rPr>
                <w:color w:val="auto"/>
                <w:highlight w:val="none"/>
              </w:rPr>
            </w:pPr>
            <w:r>
              <w:rPr>
                <w:rFonts w:hint="eastAsia"/>
                <w:color w:val="auto"/>
                <w:highlight w:val="none"/>
              </w:rPr>
              <w:t>按招标文件要求，需要法定代表人或其</w:t>
            </w:r>
            <w:r>
              <w:rPr>
                <w:rFonts w:hint="eastAsia"/>
                <w:color w:val="auto"/>
                <w:highlight w:val="none"/>
                <w:lang w:eastAsia="zh-CN"/>
              </w:rPr>
              <w:t>授权委托</w:t>
            </w:r>
            <w:r>
              <w:rPr>
                <w:rFonts w:hint="eastAsia"/>
                <w:color w:val="auto"/>
                <w:highlight w:val="none"/>
              </w:rPr>
              <w:t>人签字或盖章的地方以法定代表人CA密钥进行电子签章为准；需要投标人盖章的地方以企业CA密钥进行电子签章为准；需要除投标人以外第三方签字或盖章的内容，需要先对纸质文件进行实物盖章或签字后再进行扫描插入到电子投标文件中。</w:t>
            </w:r>
          </w:p>
        </w:tc>
      </w:tr>
      <w:tr w14:paraId="52B21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1152" w:type="dxa"/>
            <w:vAlign w:val="center"/>
          </w:tcPr>
          <w:p w14:paraId="33505E51">
            <w:pPr>
              <w:jc w:val="center"/>
              <w:rPr>
                <w:color w:val="auto"/>
                <w:highlight w:val="none"/>
              </w:rPr>
            </w:pPr>
            <w:r>
              <w:rPr>
                <w:rFonts w:hint="eastAsia"/>
                <w:color w:val="auto"/>
                <w:highlight w:val="none"/>
              </w:rPr>
              <w:t>4.1.1</w:t>
            </w:r>
          </w:p>
        </w:tc>
        <w:tc>
          <w:tcPr>
            <w:tcW w:w="1947" w:type="dxa"/>
            <w:vAlign w:val="center"/>
          </w:tcPr>
          <w:p w14:paraId="6941B586">
            <w:pPr>
              <w:jc w:val="center"/>
              <w:rPr>
                <w:color w:val="auto"/>
                <w:highlight w:val="none"/>
              </w:rPr>
            </w:pPr>
            <w:r>
              <w:rPr>
                <w:rFonts w:hint="eastAsia"/>
                <w:color w:val="auto"/>
                <w:highlight w:val="none"/>
              </w:rPr>
              <w:t>递交投标文件的截止时间</w:t>
            </w:r>
          </w:p>
        </w:tc>
        <w:tc>
          <w:tcPr>
            <w:tcW w:w="6580" w:type="dxa"/>
            <w:vAlign w:val="center"/>
          </w:tcPr>
          <w:p w14:paraId="42F14C9A">
            <w:pPr>
              <w:rPr>
                <w:color w:val="auto"/>
                <w:highlight w:val="none"/>
              </w:rPr>
            </w:pPr>
            <w:r>
              <w:rPr>
                <w:rFonts w:hint="eastAsia"/>
                <w:color w:val="auto"/>
                <w:highlight w:val="none"/>
              </w:rPr>
              <w:t>202</w:t>
            </w:r>
            <w:r>
              <w:rPr>
                <w:rFonts w:hint="eastAsia"/>
                <w:color w:val="auto"/>
                <w:highlight w:val="none"/>
                <w:lang w:val="en-US"/>
              </w:rPr>
              <w:t>4</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24</w:t>
            </w:r>
            <w:r>
              <w:rPr>
                <w:rFonts w:hint="eastAsia"/>
                <w:color w:val="auto"/>
                <w:highlight w:val="none"/>
              </w:rPr>
              <w:t>日</w:t>
            </w:r>
            <w:r>
              <w:rPr>
                <w:rFonts w:hint="eastAsia"/>
                <w:color w:val="auto"/>
                <w:highlight w:val="none"/>
                <w:lang w:val="en-US"/>
              </w:rPr>
              <w:t>10</w:t>
            </w:r>
            <w:r>
              <w:rPr>
                <w:rFonts w:hint="eastAsia"/>
                <w:color w:val="auto"/>
                <w:highlight w:val="none"/>
              </w:rPr>
              <w:t>时</w:t>
            </w:r>
            <w:r>
              <w:rPr>
                <w:rFonts w:hint="eastAsia"/>
                <w:color w:val="auto"/>
                <w:highlight w:val="none"/>
                <w:lang w:val="en-US"/>
              </w:rPr>
              <w:t>00分</w:t>
            </w:r>
            <w:r>
              <w:rPr>
                <w:rFonts w:hint="eastAsia"/>
                <w:color w:val="auto"/>
                <w:highlight w:val="none"/>
              </w:rPr>
              <w:t>(北京时间)</w:t>
            </w:r>
          </w:p>
        </w:tc>
      </w:tr>
      <w:tr w14:paraId="693CF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jc w:val="center"/>
        </w:trPr>
        <w:tc>
          <w:tcPr>
            <w:tcW w:w="1152" w:type="dxa"/>
            <w:vAlign w:val="center"/>
          </w:tcPr>
          <w:p w14:paraId="3E90744E">
            <w:pPr>
              <w:jc w:val="center"/>
              <w:rPr>
                <w:color w:val="auto"/>
                <w:highlight w:val="none"/>
              </w:rPr>
            </w:pPr>
            <w:r>
              <w:rPr>
                <w:rFonts w:hint="eastAsia"/>
                <w:color w:val="auto"/>
                <w:highlight w:val="none"/>
              </w:rPr>
              <w:t>4.1.3</w:t>
            </w:r>
          </w:p>
        </w:tc>
        <w:tc>
          <w:tcPr>
            <w:tcW w:w="1947" w:type="dxa"/>
            <w:vAlign w:val="center"/>
          </w:tcPr>
          <w:p w14:paraId="7EDDEB9D">
            <w:pPr>
              <w:jc w:val="center"/>
              <w:rPr>
                <w:color w:val="auto"/>
                <w:highlight w:val="none"/>
              </w:rPr>
            </w:pPr>
            <w:r>
              <w:rPr>
                <w:rFonts w:hint="eastAsia"/>
                <w:color w:val="auto"/>
                <w:highlight w:val="none"/>
              </w:rPr>
              <w:t>递交投标文件地点</w:t>
            </w:r>
          </w:p>
        </w:tc>
        <w:tc>
          <w:tcPr>
            <w:tcW w:w="6580" w:type="dxa"/>
            <w:vAlign w:val="center"/>
          </w:tcPr>
          <w:p w14:paraId="43706D99">
            <w:pPr>
              <w:spacing w:line="360" w:lineRule="auto"/>
              <w:rPr>
                <w:color w:val="auto"/>
                <w:highlight w:val="none"/>
              </w:rPr>
            </w:pPr>
            <w:r>
              <w:rPr>
                <w:rFonts w:hint="eastAsia"/>
                <w:color w:val="auto"/>
                <w:highlight w:val="none"/>
              </w:rPr>
              <w:t>郑州市公共资源交易中心（http://zzggzy.zhengzhou.gov.cn/）电子交易平台</w:t>
            </w:r>
          </w:p>
        </w:tc>
      </w:tr>
      <w:tr w14:paraId="0EDE2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4" w:hRule="atLeast"/>
          <w:jc w:val="center"/>
        </w:trPr>
        <w:tc>
          <w:tcPr>
            <w:tcW w:w="1152" w:type="dxa"/>
            <w:vAlign w:val="center"/>
          </w:tcPr>
          <w:p w14:paraId="075AB20A">
            <w:pPr>
              <w:jc w:val="center"/>
              <w:rPr>
                <w:color w:val="auto"/>
                <w:highlight w:val="none"/>
              </w:rPr>
            </w:pPr>
            <w:r>
              <w:rPr>
                <w:rFonts w:hint="eastAsia"/>
                <w:color w:val="auto"/>
                <w:highlight w:val="none"/>
              </w:rPr>
              <w:t>5.1.1</w:t>
            </w:r>
          </w:p>
        </w:tc>
        <w:tc>
          <w:tcPr>
            <w:tcW w:w="1947" w:type="dxa"/>
            <w:vAlign w:val="center"/>
          </w:tcPr>
          <w:p w14:paraId="7CC1A393">
            <w:pPr>
              <w:jc w:val="center"/>
              <w:rPr>
                <w:color w:val="auto"/>
                <w:highlight w:val="none"/>
              </w:rPr>
            </w:pPr>
            <w:r>
              <w:rPr>
                <w:rFonts w:hint="eastAsia"/>
                <w:color w:val="auto"/>
                <w:highlight w:val="none"/>
              </w:rPr>
              <w:t>开标时间和地点</w:t>
            </w:r>
          </w:p>
        </w:tc>
        <w:tc>
          <w:tcPr>
            <w:tcW w:w="6580" w:type="dxa"/>
            <w:vAlign w:val="center"/>
          </w:tcPr>
          <w:p w14:paraId="1BB9DD10">
            <w:pPr>
              <w:spacing w:line="360" w:lineRule="auto"/>
              <w:rPr>
                <w:color w:val="auto"/>
                <w:highlight w:val="none"/>
              </w:rPr>
            </w:pPr>
            <w:r>
              <w:rPr>
                <w:rFonts w:hint="eastAsia"/>
                <w:color w:val="auto"/>
                <w:highlight w:val="none"/>
              </w:rPr>
              <w:t>开标时间：同递交投标文件的截止时间</w:t>
            </w:r>
          </w:p>
          <w:p w14:paraId="7D691224">
            <w:pPr>
              <w:spacing w:line="360" w:lineRule="auto"/>
              <w:rPr>
                <w:color w:val="auto"/>
                <w:highlight w:val="none"/>
              </w:rPr>
            </w:pPr>
            <w:r>
              <w:rPr>
                <w:rFonts w:hint="eastAsia"/>
                <w:color w:val="auto"/>
                <w:highlight w:val="none"/>
              </w:rPr>
              <w:t>开标地点（远程开标机位地点）：郑州市公共资源交易中心</w:t>
            </w:r>
            <w:r>
              <w:rPr>
                <w:rFonts w:hint="eastAsia"/>
                <w:color w:val="auto"/>
                <w:highlight w:val="none"/>
                <w:u w:val="single"/>
                <w:lang w:val="en-US" w:eastAsia="zh-CN"/>
              </w:rPr>
              <w:t>A</w:t>
            </w:r>
            <w:r>
              <w:rPr>
                <w:rFonts w:hint="eastAsia"/>
                <w:color w:val="auto"/>
                <w:highlight w:val="none"/>
                <w:u w:val="single"/>
              </w:rPr>
              <w:t>区第</w:t>
            </w:r>
            <w:r>
              <w:rPr>
                <w:rFonts w:hint="eastAsia"/>
                <w:color w:val="auto"/>
                <w:highlight w:val="none"/>
                <w:u w:val="single"/>
                <w:lang w:val="en-US" w:eastAsia="zh-CN"/>
              </w:rPr>
              <w:t>四</w:t>
            </w:r>
            <w:r>
              <w:rPr>
                <w:rFonts w:hint="eastAsia"/>
                <w:color w:val="auto"/>
                <w:highlight w:val="none"/>
                <w:u w:val="single"/>
              </w:rPr>
              <w:t>开标室</w:t>
            </w:r>
            <w:r>
              <w:rPr>
                <w:rFonts w:hint="eastAsia"/>
                <w:color w:val="auto"/>
                <w:highlight w:val="none"/>
              </w:rPr>
              <w:t>（郑州市中原西路与图强路交叉口郑发大厦6楼）</w:t>
            </w:r>
          </w:p>
        </w:tc>
      </w:tr>
      <w:tr w14:paraId="30F7D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52" w:type="dxa"/>
            <w:vAlign w:val="center"/>
          </w:tcPr>
          <w:p w14:paraId="30E4EF6F">
            <w:pPr>
              <w:jc w:val="center"/>
              <w:rPr>
                <w:color w:val="auto"/>
                <w:highlight w:val="none"/>
              </w:rPr>
            </w:pPr>
            <w:r>
              <w:rPr>
                <w:rFonts w:hint="eastAsia"/>
                <w:color w:val="auto"/>
                <w:highlight w:val="none"/>
              </w:rPr>
              <w:t>5.2</w:t>
            </w:r>
          </w:p>
        </w:tc>
        <w:tc>
          <w:tcPr>
            <w:tcW w:w="1947" w:type="dxa"/>
            <w:vAlign w:val="center"/>
          </w:tcPr>
          <w:p w14:paraId="4896FFB2">
            <w:pPr>
              <w:jc w:val="center"/>
              <w:rPr>
                <w:color w:val="auto"/>
                <w:highlight w:val="none"/>
              </w:rPr>
            </w:pPr>
            <w:r>
              <w:rPr>
                <w:rFonts w:hint="eastAsia"/>
                <w:color w:val="auto"/>
                <w:highlight w:val="none"/>
              </w:rPr>
              <w:t>开标程序</w:t>
            </w:r>
          </w:p>
        </w:tc>
        <w:tc>
          <w:tcPr>
            <w:tcW w:w="6580" w:type="dxa"/>
            <w:vAlign w:val="center"/>
          </w:tcPr>
          <w:p w14:paraId="7A8AD2DD">
            <w:pPr>
              <w:spacing w:line="360" w:lineRule="auto"/>
              <w:rPr>
                <w:color w:val="auto"/>
                <w:highlight w:val="none"/>
              </w:rPr>
            </w:pPr>
            <w:r>
              <w:rPr>
                <w:rFonts w:hint="eastAsia"/>
                <w:color w:val="auto"/>
                <w:highlight w:val="none"/>
                <w:lang w:val="en-US"/>
              </w:rPr>
              <w:t>1.</w:t>
            </w:r>
            <w:r>
              <w:rPr>
                <w:rFonts w:hint="eastAsia"/>
                <w:color w:val="auto"/>
                <w:highlight w:val="none"/>
              </w:rPr>
              <w:t>根据“郑州市公共资源交易中心关于推行不见面开标服务的通知</w:t>
            </w:r>
          </w:p>
          <w:p w14:paraId="646C35F4">
            <w:pPr>
              <w:spacing w:line="360" w:lineRule="auto"/>
              <w:rPr>
                <w:color w:val="auto"/>
                <w:highlight w:val="none"/>
              </w:rPr>
            </w:pPr>
            <w:r>
              <w:rPr>
                <w:rFonts w:hint="eastAsia"/>
                <w:color w:val="auto"/>
                <w:highlight w:val="none"/>
              </w:rPr>
              <w:t>”第（一）条投标人无需到交易中心现场参加开标会议，评标委员会不再对投标文件中涉及的相关资料原件进行验证。所有投标单位不需提供证书原件。本项目招标文件中所要求证件、证明等，投标文件中应附相应材料清晰的扫描件，由于模糊不清导致评委无法辨别的，后果由投标人自行承担。</w:t>
            </w:r>
          </w:p>
          <w:p w14:paraId="1D669F0A">
            <w:pPr>
              <w:spacing w:line="360" w:lineRule="auto"/>
              <w:rPr>
                <w:color w:val="auto"/>
                <w:highlight w:val="none"/>
              </w:rPr>
            </w:pPr>
            <w:r>
              <w:rPr>
                <w:rFonts w:hint="eastAsia"/>
                <w:color w:val="auto"/>
                <w:highlight w:val="none"/>
                <w:lang w:val="en-US"/>
              </w:rPr>
              <w:t>2.</w:t>
            </w:r>
            <w:r>
              <w:rPr>
                <w:rFonts w:hint="eastAsia"/>
                <w:color w:val="auto"/>
                <w:highlight w:val="none"/>
              </w:rPr>
              <w:t>所有投标人应提前30分钟，登录“郑州市公共资源交易中心门户网站远程开标大厅（http://zzggzy.zhengzhou.gov.cn/BidOpening）进行远程开标准备工作。</w:t>
            </w:r>
          </w:p>
          <w:p w14:paraId="7721C270">
            <w:pPr>
              <w:spacing w:line="360" w:lineRule="auto"/>
              <w:rPr>
                <w:color w:val="auto"/>
                <w:highlight w:val="none"/>
              </w:rPr>
            </w:pPr>
            <w:r>
              <w:rPr>
                <w:rFonts w:hint="eastAsia"/>
                <w:color w:val="auto"/>
                <w:highlight w:val="none"/>
                <w:lang w:val="en-US"/>
              </w:rPr>
              <w:t>3.</w:t>
            </w:r>
            <w:r>
              <w:rPr>
                <w:rFonts w:hint="eastAsia"/>
                <w:color w:val="auto"/>
                <w:highlight w:val="none"/>
              </w:rPr>
              <w:t>所有投标人登录“郑州市公共资源交易中心门户网站远程开标大厅”后，应一直保持在线状态，保证能准时参加开标大会、投标文件的解密、现场答疑澄清等活动；投标人应在解密时间内插入CA锁，输入密码，进行解密；解密时间已到不可解密；如果在解密时间内解密失败，可再次解密，投标人应在系统规定时间内完成解密，否则招标人不予受理。</w:t>
            </w:r>
          </w:p>
          <w:p w14:paraId="52CC10F6">
            <w:pPr>
              <w:spacing w:line="360" w:lineRule="auto"/>
              <w:rPr>
                <w:color w:val="auto"/>
                <w:highlight w:val="none"/>
              </w:rPr>
            </w:pPr>
            <w:r>
              <w:rPr>
                <w:rFonts w:hint="eastAsia"/>
                <w:color w:val="auto"/>
                <w:highlight w:val="none"/>
                <w:lang w:val="en-US"/>
              </w:rPr>
              <w:t>4.</w:t>
            </w:r>
            <w:r>
              <w:rPr>
                <w:rFonts w:hint="eastAsia"/>
                <w:color w:val="auto"/>
                <w:highlight w:val="none"/>
              </w:rPr>
              <w:t>不见面开标操作说明详见郑州市公共资源交易中心网站办事指南栏目下政府采购专区中的《郑州市公共资源交易中心不见面开标大厅操作手册（供应商</w:t>
            </w:r>
            <w:r>
              <w:rPr>
                <w:rFonts w:hint="eastAsia"/>
                <w:color w:val="auto"/>
                <w:highlight w:val="none"/>
                <w:lang w:val="en-US"/>
              </w:rPr>
              <w:t>)</w:t>
            </w:r>
            <w:r>
              <w:rPr>
                <w:rFonts w:hint="eastAsia"/>
                <w:color w:val="auto"/>
                <w:highlight w:val="none"/>
              </w:rPr>
              <w:t>》。</w:t>
            </w:r>
          </w:p>
        </w:tc>
      </w:tr>
      <w:tr w14:paraId="6AF6D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atLeast"/>
          <w:jc w:val="center"/>
        </w:trPr>
        <w:tc>
          <w:tcPr>
            <w:tcW w:w="1152" w:type="dxa"/>
            <w:vAlign w:val="center"/>
          </w:tcPr>
          <w:p w14:paraId="1E49A1F4">
            <w:pPr>
              <w:jc w:val="center"/>
              <w:rPr>
                <w:color w:val="auto"/>
                <w:highlight w:val="none"/>
              </w:rPr>
            </w:pPr>
            <w:r>
              <w:rPr>
                <w:rFonts w:hint="eastAsia"/>
                <w:color w:val="auto"/>
                <w:highlight w:val="none"/>
              </w:rPr>
              <w:t>6.1.1</w:t>
            </w:r>
          </w:p>
        </w:tc>
        <w:tc>
          <w:tcPr>
            <w:tcW w:w="1947" w:type="dxa"/>
            <w:vAlign w:val="center"/>
          </w:tcPr>
          <w:p w14:paraId="61987525">
            <w:pPr>
              <w:jc w:val="center"/>
              <w:rPr>
                <w:color w:val="auto"/>
                <w:highlight w:val="none"/>
              </w:rPr>
            </w:pPr>
            <w:r>
              <w:rPr>
                <w:rFonts w:hint="eastAsia"/>
                <w:color w:val="auto"/>
                <w:highlight w:val="none"/>
              </w:rPr>
              <w:t>评标委员会的构成</w:t>
            </w:r>
          </w:p>
        </w:tc>
        <w:tc>
          <w:tcPr>
            <w:tcW w:w="6580" w:type="dxa"/>
            <w:vAlign w:val="center"/>
          </w:tcPr>
          <w:p w14:paraId="00ADFEC8">
            <w:pPr>
              <w:spacing w:line="360" w:lineRule="auto"/>
              <w:rPr>
                <w:color w:val="auto"/>
                <w:highlight w:val="none"/>
                <w:lang w:val="en-US"/>
              </w:rPr>
            </w:pPr>
            <w:r>
              <w:rPr>
                <w:rFonts w:hint="eastAsia"/>
                <w:color w:val="auto"/>
                <w:highlight w:val="none"/>
              </w:rPr>
              <w:t>评标委员会构成：由采购人代表和评审专家共5人组成；其中采购人代表1人，专家4人。</w:t>
            </w:r>
          </w:p>
          <w:p w14:paraId="314C10EB">
            <w:pPr>
              <w:spacing w:line="360" w:lineRule="auto"/>
              <w:rPr>
                <w:color w:val="auto"/>
                <w:highlight w:val="none"/>
              </w:rPr>
            </w:pPr>
            <w:r>
              <w:rPr>
                <w:rFonts w:hint="eastAsia"/>
                <w:color w:val="auto"/>
                <w:highlight w:val="none"/>
              </w:rPr>
              <w:t>评标专家确定方式：从政府采购专家库中随机抽取后并依法组建。</w:t>
            </w:r>
          </w:p>
        </w:tc>
      </w:tr>
      <w:tr w14:paraId="431B5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1152" w:type="dxa"/>
            <w:vAlign w:val="center"/>
          </w:tcPr>
          <w:p w14:paraId="18AE8360">
            <w:pPr>
              <w:jc w:val="center"/>
              <w:rPr>
                <w:color w:val="auto"/>
                <w:highlight w:val="none"/>
              </w:rPr>
            </w:pPr>
            <w:r>
              <w:rPr>
                <w:rFonts w:hint="eastAsia"/>
                <w:color w:val="auto"/>
                <w:highlight w:val="none"/>
              </w:rPr>
              <w:t>6.1.2</w:t>
            </w:r>
          </w:p>
        </w:tc>
        <w:tc>
          <w:tcPr>
            <w:tcW w:w="1947" w:type="dxa"/>
            <w:vAlign w:val="center"/>
          </w:tcPr>
          <w:p w14:paraId="5D21330C">
            <w:pPr>
              <w:jc w:val="center"/>
              <w:rPr>
                <w:color w:val="auto"/>
                <w:highlight w:val="none"/>
              </w:rPr>
            </w:pPr>
            <w:r>
              <w:rPr>
                <w:rFonts w:hint="eastAsia"/>
                <w:color w:val="auto"/>
                <w:highlight w:val="none"/>
              </w:rPr>
              <w:t>评标委员会推荐中标候选人的人数</w:t>
            </w:r>
          </w:p>
        </w:tc>
        <w:tc>
          <w:tcPr>
            <w:tcW w:w="6580" w:type="dxa"/>
            <w:vAlign w:val="center"/>
          </w:tcPr>
          <w:p w14:paraId="1FA2EB67">
            <w:pPr>
              <w:rPr>
                <w:color w:val="auto"/>
                <w:highlight w:val="none"/>
              </w:rPr>
            </w:pPr>
            <w:r>
              <w:rPr>
                <w:rFonts w:hint="eastAsia"/>
                <w:color w:val="auto"/>
                <w:highlight w:val="none"/>
              </w:rPr>
              <w:t>1-3名；</w:t>
            </w:r>
          </w:p>
        </w:tc>
      </w:tr>
      <w:tr w14:paraId="338F1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jc w:val="center"/>
        </w:trPr>
        <w:tc>
          <w:tcPr>
            <w:tcW w:w="1152" w:type="dxa"/>
            <w:vAlign w:val="center"/>
          </w:tcPr>
          <w:p w14:paraId="4CDC112A">
            <w:pPr>
              <w:jc w:val="center"/>
              <w:rPr>
                <w:color w:val="auto"/>
                <w:highlight w:val="none"/>
              </w:rPr>
            </w:pPr>
            <w:r>
              <w:rPr>
                <w:rFonts w:hint="eastAsia"/>
                <w:color w:val="auto"/>
                <w:highlight w:val="none"/>
              </w:rPr>
              <w:t>6.5.4</w:t>
            </w:r>
          </w:p>
        </w:tc>
        <w:tc>
          <w:tcPr>
            <w:tcW w:w="1947" w:type="dxa"/>
            <w:vAlign w:val="center"/>
          </w:tcPr>
          <w:p w14:paraId="3EE9A3A1">
            <w:pPr>
              <w:jc w:val="center"/>
              <w:rPr>
                <w:color w:val="auto"/>
                <w:highlight w:val="none"/>
              </w:rPr>
            </w:pPr>
            <w:r>
              <w:rPr>
                <w:rFonts w:hint="eastAsia"/>
                <w:color w:val="auto"/>
                <w:highlight w:val="none"/>
              </w:rPr>
              <w:t>本项目采用评标办法</w:t>
            </w:r>
          </w:p>
        </w:tc>
        <w:tc>
          <w:tcPr>
            <w:tcW w:w="6580" w:type="dxa"/>
            <w:vAlign w:val="center"/>
          </w:tcPr>
          <w:p w14:paraId="0B7B9536">
            <w:pPr>
              <w:spacing w:line="360" w:lineRule="auto"/>
              <w:rPr>
                <w:color w:val="auto"/>
                <w:highlight w:val="none"/>
              </w:rPr>
            </w:pPr>
            <w:r>
              <w:rPr>
                <w:rFonts w:hint="eastAsia"/>
                <w:color w:val="auto"/>
                <w:highlight w:val="none"/>
              </w:rPr>
              <w:t>□最低评标价法</w:t>
            </w:r>
          </w:p>
          <w:p w14:paraId="00B2FF9B">
            <w:pPr>
              <w:spacing w:line="360" w:lineRule="auto"/>
              <w:rPr>
                <w:color w:val="auto"/>
                <w:highlight w:val="none"/>
              </w:rPr>
            </w:pPr>
            <w:r>
              <w:rPr>
                <w:rFonts w:hint="eastAsia"/>
                <w:color w:val="auto"/>
                <w:highlight w:val="none"/>
              </w:rPr>
              <w:t>☑综合评分法</w:t>
            </w:r>
          </w:p>
        </w:tc>
      </w:tr>
      <w:tr w14:paraId="1ED1D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jc w:val="center"/>
        </w:trPr>
        <w:tc>
          <w:tcPr>
            <w:tcW w:w="1152" w:type="dxa"/>
            <w:vAlign w:val="center"/>
          </w:tcPr>
          <w:p w14:paraId="4D894F52">
            <w:pPr>
              <w:jc w:val="center"/>
              <w:rPr>
                <w:color w:val="auto"/>
                <w:highlight w:val="none"/>
              </w:rPr>
            </w:pPr>
            <w:r>
              <w:rPr>
                <w:rFonts w:hint="eastAsia"/>
                <w:color w:val="auto"/>
                <w:highlight w:val="none"/>
              </w:rPr>
              <w:t>7.3</w:t>
            </w:r>
          </w:p>
        </w:tc>
        <w:tc>
          <w:tcPr>
            <w:tcW w:w="1947" w:type="dxa"/>
            <w:vAlign w:val="center"/>
          </w:tcPr>
          <w:p w14:paraId="64157FA2">
            <w:pPr>
              <w:jc w:val="center"/>
              <w:rPr>
                <w:color w:val="auto"/>
                <w:highlight w:val="none"/>
              </w:rPr>
            </w:pPr>
            <w:r>
              <w:rPr>
                <w:rFonts w:hint="eastAsia"/>
                <w:color w:val="auto"/>
                <w:highlight w:val="none"/>
              </w:rPr>
              <w:t>中标公告媒体及期限</w:t>
            </w:r>
          </w:p>
        </w:tc>
        <w:tc>
          <w:tcPr>
            <w:tcW w:w="6580" w:type="dxa"/>
            <w:vAlign w:val="center"/>
          </w:tcPr>
          <w:p w14:paraId="66477295">
            <w:pPr>
              <w:rPr>
                <w:color w:val="auto"/>
                <w:highlight w:val="none"/>
              </w:rPr>
            </w:pPr>
            <w:r>
              <w:rPr>
                <w:rFonts w:hint="eastAsia"/>
                <w:color w:val="auto"/>
                <w:highlight w:val="none"/>
              </w:rPr>
              <w:t>原招标公告发布媒体，中标公告期限为1个工作日。</w:t>
            </w:r>
          </w:p>
        </w:tc>
      </w:tr>
      <w:tr w14:paraId="0D3EB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atLeast"/>
          <w:jc w:val="center"/>
        </w:trPr>
        <w:tc>
          <w:tcPr>
            <w:tcW w:w="1152" w:type="dxa"/>
            <w:vAlign w:val="center"/>
          </w:tcPr>
          <w:p w14:paraId="7F67A8DD">
            <w:pPr>
              <w:jc w:val="center"/>
              <w:rPr>
                <w:color w:val="auto"/>
                <w:highlight w:val="none"/>
              </w:rPr>
            </w:pPr>
            <w:r>
              <w:rPr>
                <w:rFonts w:hint="eastAsia"/>
                <w:color w:val="auto"/>
                <w:highlight w:val="none"/>
              </w:rPr>
              <w:t>7.7</w:t>
            </w:r>
          </w:p>
        </w:tc>
        <w:tc>
          <w:tcPr>
            <w:tcW w:w="1947" w:type="dxa"/>
            <w:vAlign w:val="center"/>
          </w:tcPr>
          <w:p w14:paraId="5A569E25">
            <w:pPr>
              <w:jc w:val="center"/>
              <w:rPr>
                <w:color w:val="auto"/>
                <w:highlight w:val="none"/>
              </w:rPr>
            </w:pPr>
            <w:r>
              <w:rPr>
                <w:rFonts w:hint="eastAsia"/>
                <w:color w:val="auto"/>
                <w:highlight w:val="none"/>
              </w:rPr>
              <w:t>履约保证金</w:t>
            </w:r>
          </w:p>
        </w:tc>
        <w:tc>
          <w:tcPr>
            <w:tcW w:w="6580" w:type="dxa"/>
            <w:vAlign w:val="center"/>
          </w:tcPr>
          <w:p w14:paraId="280BC45D">
            <w:pPr>
              <w:spacing w:line="360" w:lineRule="auto"/>
              <w:rPr>
                <w:color w:val="auto"/>
                <w:highlight w:val="none"/>
              </w:rPr>
            </w:pPr>
            <w:r>
              <w:rPr>
                <w:rFonts w:hint="eastAsia"/>
                <w:color w:val="auto"/>
                <w:highlight w:val="none"/>
              </w:rPr>
              <w:t>是否要求中标人提交履约保证金：</w:t>
            </w:r>
          </w:p>
          <w:p w14:paraId="735DD490">
            <w:pPr>
              <w:spacing w:line="360" w:lineRule="auto"/>
              <w:rPr>
                <w:color w:val="auto"/>
                <w:highlight w:val="none"/>
              </w:rPr>
            </w:pPr>
            <w:r>
              <w:rPr>
                <w:rFonts w:hint="eastAsia"/>
                <w:color w:val="auto"/>
                <w:highlight w:val="none"/>
              </w:rPr>
              <w:t>□要求；</w:t>
            </w:r>
          </w:p>
          <w:p w14:paraId="287B41F6">
            <w:pPr>
              <w:spacing w:line="360" w:lineRule="auto"/>
              <w:rPr>
                <w:color w:val="auto"/>
                <w:highlight w:val="none"/>
              </w:rPr>
            </w:pPr>
            <w:r>
              <w:rPr>
                <w:rFonts w:hint="eastAsia"/>
                <w:color w:val="auto"/>
                <w:highlight w:val="none"/>
              </w:rPr>
              <w:t>☑不要求；</w:t>
            </w:r>
          </w:p>
        </w:tc>
      </w:tr>
      <w:tr w14:paraId="569ED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0" w:hRule="atLeast"/>
          <w:jc w:val="center"/>
        </w:trPr>
        <w:tc>
          <w:tcPr>
            <w:tcW w:w="1152" w:type="dxa"/>
            <w:vAlign w:val="center"/>
          </w:tcPr>
          <w:p w14:paraId="3443042F">
            <w:pPr>
              <w:jc w:val="center"/>
              <w:rPr>
                <w:color w:val="auto"/>
                <w:highlight w:val="none"/>
              </w:rPr>
            </w:pPr>
            <w:r>
              <w:rPr>
                <w:rFonts w:hint="eastAsia"/>
                <w:color w:val="auto"/>
                <w:highlight w:val="none"/>
              </w:rPr>
              <w:t>7.8</w:t>
            </w:r>
          </w:p>
        </w:tc>
        <w:tc>
          <w:tcPr>
            <w:tcW w:w="1947" w:type="dxa"/>
            <w:vAlign w:val="center"/>
          </w:tcPr>
          <w:p w14:paraId="598F95EC">
            <w:pPr>
              <w:jc w:val="center"/>
              <w:rPr>
                <w:color w:val="auto"/>
                <w:highlight w:val="none"/>
              </w:rPr>
            </w:pPr>
            <w:r>
              <w:rPr>
                <w:rFonts w:hint="eastAsia"/>
                <w:color w:val="auto"/>
                <w:highlight w:val="none"/>
              </w:rPr>
              <w:t>投标费用</w:t>
            </w:r>
          </w:p>
        </w:tc>
        <w:tc>
          <w:tcPr>
            <w:tcW w:w="6580" w:type="dxa"/>
            <w:vAlign w:val="center"/>
          </w:tcPr>
          <w:p w14:paraId="11DED59B">
            <w:pPr>
              <w:spacing w:line="360" w:lineRule="auto"/>
              <w:rPr>
                <w:color w:val="auto"/>
                <w:highlight w:val="none"/>
                <w:lang w:val="en-US"/>
              </w:rPr>
            </w:pPr>
            <w:r>
              <w:rPr>
                <w:rFonts w:hint="eastAsia"/>
                <w:color w:val="auto"/>
                <w:highlight w:val="none"/>
                <w:lang w:val="en-US"/>
              </w:rPr>
              <w:t>1.采购代理服务费：</w:t>
            </w:r>
          </w:p>
          <w:p w14:paraId="219A1AAC">
            <w:pPr>
              <w:spacing w:line="360" w:lineRule="auto"/>
              <w:rPr>
                <w:color w:val="auto"/>
                <w:highlight w:val="none"/>
                <w:lang w:val="en-US"/>
              </w:rPr>
            </w:pPr>
            <w:r>
              <w:rPr>
                <w:rFonts w:hint="eastAsia"/>
                <w:color w:val="auto"/>
                <w:highlight w:val="none"/>
                <w:lang w:val="en-US"/>
              </w:rPr>
              <w:t>招标代理费参考河南省招标代理服务收费指导意见豫招协【2023】002号文规定标准计取，向成交供应商收取。</w:t>
            </w:r>
          </w:p>
          <w:p w14:paraId="2461AE1F">
            <w:pPr>
              <w:spacing w:line="360" w:lineRule="auto"/>
              <w:rPr>
                <w:color w:val="auto"/>
                <w:highlight w:val="none"/>
                <w:lang w:val="en-US"/>
              </w:rPr>
            </w:pPr>
            <w:r>
              <w:rPr>
                <w:rFonts w:hint="eastAsia"/>
                <w:color w:val="auto"/>
                <w:highlight w:val="none"/>
                <w:lang w:val="en-US"/>
              </w:rPr>
              <w:t>注：投标供应商准备和参加投标活动发生的费用自理。在任何情况下采购人和采购代理机构对上述费用均不承担任何责任。</w:t>
            </w:r>
          </w:p>
          <w:p w14:paraId="6CDE5957">
            <w:pPr>
              <w:spacing w:line="360" w:lineRule="auto"/>
              <w:rPr>
                <w:color w:val="auto"/>
                <w:highlight w:val="none"/>
                <w:lang w:val="en-US"/>
              </w:rPr>
            </w:pPr>
            <w:r>
              <w:rPr>
                <w:rFonts w:hint="eastAsia"/>
                <w:color w:val="auto"/>
                <w:highlight w:val="none"/>
                <w:lang w:val="en-US"/>
              </w:rPr>
              <w:t>交纳时间：获取《中标通知书》前交纳。</w:t>
            </w:r>
          </w:p>
          <w:p w14:paraId="56E4ABB0">
            <w:pPr>
              <w:spacing w:line="360" w:lineRule="auto"/>
              <w:rPr>
                <w:color w:val="auto"/>
                <w:highlight w:val="none"/>
              </w:rPr>
            </w:pPr>
            <w:r>
              <w:rPr>
                <w:rFonts w:hint="eastAsia"/>
                <w:color w:val="auto"/>
                <w:highlight w:val="none"/>
                <w:lang w:val="en-US"/>
              </w:rPr>
              <w:t>2.</w:t>
            </w:r>
            <w:r>
              <w:rPr>
                <w:rFonts w:hint="eastAsia"/>
                <w:color w:val="auto"/>
                <w:highlight w:val="none"/>
              </w:rPr>
              <w:t>收款账户信息：</w:t>
            </w:r>
          </w:p>
          <w:p w14:paraId="0DC24D3D">
            <w:pPr>
              <w:spacing w:line="360" w:lineRule="auto"/>
              <w:rPr>
                <w:color w:val="auto"/>
                <w:highlight w:val="none"/>
              </w:rPr>
            </w:pPr>
            <w:r>
              <w:rPr>
                <w:rFonts w:hint="eastAsia"/>
                <w:color w:val="auto"/>
                <w:highlight w:val="none"/>
              </w:rPr>
              <w:t>开户行：招商银行郑州紫荆山路支行；</w:t>
            </w:r>
          </w:p>
          <w:p w14:paraId="4EAE08D0">
            <w:pPr>
              <w:spacing w:line="360" w:lineRule="auto"/>
              <w:rPr>
                <w:color w:val="auto"/>
                <w:highlight w:val="none"/>
              </w:rPr>
            </w:pPr>
            <w:r>
              <w:rPr>
                <w:rFonts w:hint="eastAsia"/>
                <w:color w:val="auto"/>
                <w:highlight w:val="none"/>
              </w:rPr>
              <w:t>开户名称：河南以牧全过程工程咨询有限公司；</w:t>
            </w:r>
          </w:p>
          <w:p w14:paraId="52A11FA3">
            <w:pPr>
              <w:spacing w:line="360" w:lineRule="auto"/>
              <w:rPr>
                <w:color w:val="auto"/>
                <w:highlight w:val="none"/>
              </w:rPr>
            </w:pPr>
            <w:r>
              <w:rPr>
                <w:rFonts w:hint="eastAsia"/>
                <w:color w:val="auto"/>
                <w:highlight w:val="none"/>
              </w:rPr>
              <w:t>账号：</w:t>
            </w:r>
            <w:r>
              <w:rPr>
                <w:rFonts w:hint="eastAsia"/>
                <w:color w:val="auto"/>
                <w:highlight w:val="none"/>
                <w:lang w:val="en-US"/>
              </w:rPr>
              <w:t>371907444810806</w:t>
            </w:r>
          </w:p>
        </w:tc>
      </w:tr>
      <w:tr w14:paraId="27AEF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1152" w:type="dxa"/>
            <w:vAlign w:val="center"/>
          </w:tcPr>
          <w:p w14:paraId="399C5B93">
            <w:pPr>
              <w:jc w:val="center"/>
              <w:rPr>
                <w:color w:val="auto"/>
                <w:highlight w:val="none"/>
              </w:rPr>
            </w:pPr>
            <w:r>
              <w:rPr>
                <w:rFonts w:hint="eastAsia"/>
                <w:color w:val="auto"/>
                <w:highlight w:val="none"/>
              </w:rPr>
              <w:t>10</w:t>
            </w:r>
          </w:p>
        </w:tc>
        <w:tc>
          <w:tcPr>
            <w:tcW w:w="8527" w:type="dxa"/>
            <w:gridSpan w:val="2"/>
            <w:vAlign w:val="center"/>
          </w:tcPr>
          <w:p w14:paraId="78201966">
            <w:pPr>
              <w:jc w:val="center"/>
              <w:rPr>
                <w:color w:val="auto"/>
                <w:highlight w:val="none"/>
              </w:rPr>
            </w:pPr>
            <w:r>
              <w:rPr>
                <w:rFonts w:hint="eastAsia"/>
                <w:color w:val="auto"/>
                <w:highlight w:val="none"/>
              </w:rPr>
              <w:t>需要补充的其他内容</w:t>
            </w:r>
          </w:p>
        </w:tc>
      </w:tr>
      <w:tr w14:paraId="40571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152" w:type="dxa"/>
            <w:vAlign w:val="center"/>
          </w:tcPr>
          <w:p w14:paraId="085563A1">
            <w:pPr>
              <w:jc w:val="center"/>
              <w:rPr>
                <w:color w:val="auto"/>
                <w:highlight w:val="none"/>
              </w:rPr>
            </w:pPr>
            <w:r>
              <w:rPr>
                <w:rFonts w:hint="eastAsia"/>
                <w:color w:val="auto"/>
                <w:highlight w:val="none"/>
              </w:rPr>
              <w:t>10.1</w:t>
            </w:r>
          </w:p>
        </w:tc>
        <w:tc>
          <w:tcPr>
            <w:tcW w:w="1947" w:type="dxa"/>
            <w:vAlign w:val="center"/>
          </w:tcPr>
          <w:p w14:paraId="26BCED7E">
            <w:pPr>
              <w:jc w:val="center"/>
              <w:rPr>
                <w:color w:val="auto"/>
                <w:highlight w:val="none"/>
              </w:rPr>
            </w:pPr>
            <w:r>
              <w:rPr>
                <w:rFonts w:hint="eastAsia"/>
                <w:color w:val="auto"/>
                <w:highlight w:val="none"/>
              </w:rPr>
              <w:t>投标语言</w:t>
            </w:r>
          </w:p>
        </w:tc>
        <w:tc>
          <w:tcPr>
            <w:tcW w:w="6580" w:type="dxa"/>
            <w:vAlign w:val="center"/>
          </w:tcPr>
          <w:p w14:paraId="2D73AB3D">
            <w:pPr>
              <w:rPr>
                <w:color w:val="auto"/>
                <w:highlight w:val="none"/>
              </w:rPr>
            </w:pPr>
            <w:r>
              <w:rPr>
                <w:rFonts w:hint="eastAsia"/>
                <w:color w:val="auto"/>
                <w:highlight w:val="none"/>
              </w:rPr>
              <w:t>中文，投标人提供的外文资料应附有相应的中文译本。</w:t>
            </w:r>
          </w:p>
        </w:tc>
      </w:tr>
      <w:tr w14:paraId="0733C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atLeast"/>
          <w:jc w:val="center"/>
        </w:trPr>
        <w:tc>
          <w:tcPr>
            <w:tcW w:w="1152" w:type="dxa"/>
            <w:vAlign w:val="center"/>
          </w:tcPr>
          <w:p w14:paraId="576EF170">
            <w:pPr>
              <w:jc w:val="center"/>
              <w:rPr>
                <w:color w:val="auto"/>
                <w:highlight w:val="none"/>
              </w:rPr>
            </w:pPr>
            <w:r>
              <w:rPr>
                <w:rFonts w:hint="eastAsia"/>
                <w:color w:val="auto"/>
                <w:highlight w:val="none"/>
              </w:rPr>
              <w:t>10.2</w:t>
            </w:r>
          </w:p>
        </w:tc>
        <w:tc>
          <w:tcPr>
            <w:tcW w:w="1947" w:type="dxa"/>
            <w:vAlign w:val="center"/>
          </w:tcPr>
          <w:p w14:paraId="3A6AA157">
            <w:pPr>
              <w:jc w:val="center"/>
              <w:rPr>
                <w:color w:val="auto"/>
                <w:highlight w:val="none"/>
              </w:rPr>
            </w:pPr>
            <w:r>
              <w:rPr>
                <w:rFonts w:hint="eastAsia"/>
                <w:color w:val="auto"/>
                <w:highlight w:val="none"/>
              </w:rPr>
              <w:t>付款方式</w:t>
            </w:r>
          </w:p>
        </w:tc>
        <w:tc>
          <w:tcPr>
            <w:tcW w:w="6580" w:type="dxa"/>
            <w:vAlign w:val="center"/>
          </w:tcPr>
          <w:p w14:paraId="7E7AB8BA">
            <w:pPr>
              <w:spacing w:line="360" w:lineRule="auto"/>
              <w:rPr>
                <w:color w:val="auto"/>
                <w:highlight w:val="none"/>
              </w:rPr>
            </w:pPr>
            <w:bookmarkStart w:id="18" w:name="OLE_LINK1"/>
            <w:bookmarkStart w:id="19" w:name="OLE_LINK2"/>
            <w:r>
              <w:rPr>
                <w:rFonts w:hint="eastAsia"/>
                <w:iCs/>
                <w:color w:val="auto"/>
                <w:highlight w:val="none"/>
                <w:lang w:val="en-US"/>
              </w:rPr>
              <w:t>所有货物送达用户指定地点经开箱验收合格，安装调试完毕，经学校相关部门组织验收合格后，且乙方开具全额合规增值税发票，根据财政资金拨付进度支付合同金额的90%。余款10%在项目质保期满后无息支付。</w:t>
            </w:r>
            <w:bookmarkEnd w:id="18"/>
            <w:bookmarkEnd w:id="19"/>
          </w:p>
        </w:tc>
      </w:tr>
      <w:tr w14:paraId="0A3A1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1" w:hRule="atLeast"/>
          <w:jc w:val="center"/>
        </w:trPr>
        <w:tc>
          <w:tcPr>
            <w:tcW w:w="1152" w:type="dxa"/>
            <w:vAlign w:val="center"/>
          </w:tcPr>
          <w:p w14:paraId="6BE58417">
            <w:pPr>
              <w:jc w:val="center"/>
              <w:rPr>
                <w:color w:val="auto"/>
                <w:highlight w:val="none"/>
              </w:rPr>
            </w:pPr>
            <w:r>
              <w:rPr>
                <w:rFonts w:hint="eastAsia"/>
                <w:color w:val="auto"/>
                <w:highlight w:val="none"/>
              </w:rPr>
              <w:t>10.3</w:t>
            </w:r>
          </w:p>
        </w:tc>
        <w:tc>
          <w:tcPr>
            <w:tcW w:w="1947" w:type="dxa"/>
            <w:vAlign w:val="center"/>
          </w:tcPr>
          <w:p w14:paraId="0F3213A1">
            <w:pPr>
              <w:jc w:val="center"/>
              <w:rPr>
                <w:color w:val="auto"/>
                <w:highlight w:val="none"/>
              </w:rPr>
            </w:pPr>
            <w:r>
              <w:rPr>
                <w:rFonts w:hint="eastAsia"/>
                <w:color w:val="auto"/>
                <w:highlight w:val="none"/>
              </w:rPr>
              <w:t>政府采购政策</w:t>
            </w:r>
          </w:p>
        </w:tc>
        <w:tc>
          <w:tcPr>
            <w:tcW w:w="6580" w:type="dxa"/>
          </w:tcPr>
          <w:p w14:paraId="2D6D0B76">
            <w:pPr>
              <w:spacing w:line="360" w:lineRule="auto"/>
              <w:rPr>
                <w:color w:val="auto"/>
                <w:highlight w:val="none"/>
              </w:rPr>
            </w:pPr>
            <w:r>
              <w:rPr>
                <w:rFonts w:hint="eastAsia"/>
                <w:color w:val="auto"/>
                <w:highlight w:val="none"/>
              </w:rPr>
              <w:t>1.执行《财政部、国家发展改革委关于印发〈节能产品政府采购实施意见〉的通知》（财库[2004]185号）、《财政部环保总局关于环境标志产品政府采购实施的意见》（财库[2006]90号）；和财政部、发展改革委、生态环境部、市场监管总局关于调整优化节能产品、环境标志产品政府采购执行机制的通知（财库</w:t>
            </w:r>
            <w:r>
              <w:rPr>
                <w:rFonts w:hint="eastAsia"/>
                <w:color w:val="auto"/>
                <w:highlight w:val="none"/>
                <w:lang w:val="en-US"/>
              </w:rPr>
              <w:t>[</w:t>
            </w:r>
            <w:r>
              <w:rPr>
                <w:rFonts w:hint="eastAsia"/>
                <w:color w:val="auto"/>
                <w:highlight w:val="none"/>
              </w:rPr>
              <w:t>2019</w:t>
            </w:r>
            <w:r>
              <w:rPr>
                <w:rFonts w:hint="eastAsia"/>
                <w:color w:val="auto"/>
                <w:highlight w:val="none"/>
                <w:lang w:val="en-US"/>
              </w:rPr>
              <w:t>]</w:t>
            </w:r>
            <w:r>
              <w:rPr>
                <w:rFonts w:hint="eastAsia"/>
                <w:color w:val="auto"/>
                <w:highlight w:val="none"/>
              </w:rPr>
              <w:t>9号）；</w:t>
            </w:r>
          </w:p>
          <w:p w14:paraId="7AE020C3">
            <w:pPr>
              <w:spacing w:line="360" w:lineRule="auto"/>
              <w:rPr>
                <w:color w:val="auto"/>
                <w:highlight w:val="none"/>
              </w:rPr>
            </w:pPr>
            <w:r>
              <w:rPr>
                <w:rFonts w:hint="eastAsia"/>
                <w:color w:val="auto"/>
                <w:highlight w:val="none"/>
              </w:rPr>
              <w:t>2.根据财政部、工信部关于印发《政府采购促进中小企业发展管理办法》的通知（财库〔2020〕46号）文件、《关于进一步加大政府采购支持中小企业力度的通知》（财库〔2022〕19号）规定，本项目鼓励中小企业参与采购，依据《工业和信息化部、国家统计局、国家发展和改革委员会、财政部关于印发中小企业划型标准规定的通知》（工信部联企业[2011]300号）规定的划分标准；本项目采购的设备属于</w:t>
            </w:r>
            <w:r>
              <w:rPr>
                <w:rFonts w:hint="eastAsia"/>
                <w:b/>
                <w:bCs/>
                <w:color w:val="auto"/>
                <w:highlight w:val="none"/>
                <w:u w:val="single"/>
              </w:rPr>
              <w:t>工业</w:t>
            </w:r>
            <w:r>
              <w:rPr>
                <w:rFonts w:hint="eastAsia"/>
                <w:color w:val="auto"/>
                <w:highlight w:val="none"/>
              </w:rPr>
              <w:t>行业。</w:t>
            </w:r>
          </w:p>
          <w:p w14:paraId="2B1595D9">
            <w:pPr>
              <w:spacing w:line="360" w:lineRule="auto"/>
              <w:rPr>
                <w:color w:val="auto"/>
                <w:highlight w:val="none"/>
              </w:rPr>
            </w:pPr>
            <w:r>
              <w:rPr>
                <w:rFonts w:hint="eastAsia"/>
                <w:color w:val="auto"/>
                <w:highlight w:val="none"/>
              </w:rPr>
              <w:t>3.根据《财政部、司法部关于政府采购支持监狱企业发展有关问题的通知》（财库[2014]68号）规定，本项目支持监狱企业参与政府采购活动。监狱企业参加本项目采购时，须提供由相关部门出具的属于监狱企业的证明文件，视同小型、微型企业，享受评标中价格扣除等政府采购促进中小企业发展的政府采购政策，监狱企业属于小型、微型企业的，不重复享受政策；</w:t>
            </w:r>
          </w:p>
          <w:p w14:paraId="4879762C">
            <w:pPr>
              <w:spacing w:line="360" w:lineRule="auto"/>
              <w:rPr>
                <w:color w:val="auto"/>
                <w:highlight w:val="none"/>
              </w:rPr>
            </w:pPr>
            <w:r>
              <w:rPr>
                <w:rFonts w:hint="eastAsia"/>
                <w:color w:val="auto"/>
                <w:highlight w:val="none"/>
              </w:rPr>
              <w:t>4.根据《关于促进残疾人就业政府采购政策的通知》（财库〔2017〕141号）文件规定，本项目支持残疾人福利性单位参与政府采购活动。符合条件的残疾人福利性单位参加本项目采购时，应当提供本通知规定的《残疾人福利性单位声明函》，并对声明的真实性负责，视同小型、微型企业，享受评标中价格扣除等政府采购促进中小企业发展的政府采购政策，残疾人福利性单位属于小型、微型企业的，不重复享受政策；</w:t>
            </w:r>
          </w:p>
        </w:tc>
      </w:tr>
      <w:tr w14:paraId="26590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jc w:val="center"/>
        </w:trPr>
        <w:tc>
          <w:tcPr>
            <w:tcW w:w="1152" w:type="dxa"/>
            <w:vAlign w:val="center"/>
          </w:tcPr>
          <w:p w14:paraId="45F5A8D1">
            <w:pPr>
              <w:jc w:val="center"/>
              <w:rPr>
                <w:color w:val="auto"/>
                <w:highlight w:val="none"/>
              </w:rPr>
            </w:pPr>
            <w:r>
              <w:rPr>
                <w:rFonts w:hint="eastAsia"/>
                <w:color w:val="auto"/>
                <w:highlight w:val="none"/>
              </w:rPr>
              <w:t>10.4</w:t>
            </w:r>
          </w:p>
        </w:tc>
        <w:tc>
          <w:tcPr>
            <w:tcW w:w="1947" w:type="dxa"/>
            <w:vAlign w:val="center"/>
          </w:tcPr>
          <w:p w14:paraId="21CBDA53">
            <w:pPr>
              <w:jc w:val="center"/>
              <w:rPr>
                <w:color w:val="auto"/>
                <w:highlight w:val="none"/>
              </w:rPr>
            </w:pPr>
            <w:r>
              <w:rPr>
                <w:rFonts w:hint="eastAsia"/>
                <w:color w:val="auto"/>
                <w:highlight w:val="none"/>
              </w:rPr>
              <w:t>质疑联系方式</w:t>
            </w:r>
          </w:p>
        </w:tc>
        <w:tc>
          <w:tcPr>
            <w:tcW w:w="6580" w:type="dxa"/>
          </w:tcPr>
          <w:p w14:paraId="5A5E8C5F">
            <w:pPr>
              <w:spacing w:line="360" w:lineRule="auto"/>
              <w:rPr>
                <w:color w:val="auto"/>
                <w:highlight w:val="none"/>
              </w:rPr>
            </w:pPr>
            <w:r>
              <w:rPr>
                <w:rFonts w:hint="eastAsia"/>
                <w:color w:val="auto"/>
                <w:highlight w:val="none"/>
              </w:rPr>
              <w:t>本项目接受质疑规定：</w:t>
            </w:r>
          </w:p>
          <w:p w14:paraId="7E996FD0">
            <w:pPr>
              <w:spacing w:line="360" w:lineRule="auto"/>
              <w:rPr>
                <w:color w:val="auto"/>
                <w:highlight w:val="none"/>
              </w:rPr>
            </w:pPr>
            <w:r>
              <w:rPr>
                <w:rFonts w:hint="eastAsia"/>
                <w:color w:val="auto"/>
                <w:highlight w:val="none"/>
                <w:lang w:val="en-US"/>
              </w:rPr>
              <w:t>1.</w:t>
            </w:r>
            <w:r>
              <w:rPr>
                <w:rFonts w:hint="eastAsia"/>
                <w:color w:val="auto"/>
                <w:highlight w:val="none"/>
              </w:rPr>
              <w:t>质疑方式：以书面形式递交；</w:t>
            </w:r>
          </w:p>
          <w:p w14:paraId="7CE5B4CD">
            <w:pPr>
              <w:spacing w:line="360" w:lineRule="auto"/>
              <w:rPr>
                <w:color w:val="auto"/>
                <w:highlight w:val="none"/>
              </w:rPr>
            </w:pPr>
            <w:r>
              <w:rPr>
                <w:rFonts w:hint="eastAsia"/>
                <w:color w:val="auto"/>
                <w:highlight w:val="none"/>
                <w:lang w:val="en-US"/>
              </w:rPr>
              <w:t>2.</w:t>
            </w:r>
            <w:r>
              <w:rPr>
                <w:rFonts w:hint="eastAsia"/>
                <w:color w:val="auto"/>
                <w:highlight w:val="none"/>
              </w:rPr>
              <w:t>质疑函内容按照《中华人民共和国财政部第94号令》第十二条规定编制；</w:t>
            </w:r>
          </w:p>
          <w:p w14:paraId="55BB6707">
            <w:pPr>
              <w:spacing w:line="360" w:lineRule="auto"/>
              <w:rPr>
                <w:color w:val="auto"/>
                <w:highlight w:val="none"/>
              </w:rPr>
            </w:pPr>
            <w:r>
              <w:rPr>
                <w:rFonts w:hint="eastAsia"/>
                <w:color w:val="auto"/>
                <w:highlight w:val="none"/>
                <w:lang w:val="en-US"/>
              </w:rPr>
              <w:t>3.</w:t>
            </w:r>
            <w:r>
              <w:rPr>
                <w:rFonts w:hint="eastAsia"/>
                <w:color w:val="auto"/>
                <w:highlight w:val="none"/>
              </w:rPr>
              <w:t>采购人联系部门：郑州师范学院</w:t>
            </w:r>
          </w:p>
          <w:p w14:paraId="20A0ED31">
            <w:pPr>
              <w:spacing w:line="360" w:lineRule="auto"/>
              <w:rPr>
                <w:color w:val="auto"/>
                <w:highlight w:val="none"/>
              </w:rPr>
            </w:pPr>
            <w:r>
              <w:rPr>
                <w:rFonts w:hint="eastAsia"/>
                <w:color w:val="auto"/>
                <w:highlight w:val="none"/>
              </w:rPr>
              <w:t>地址：郑州市惠济区英才街6号</w:t>
            </w:r>
          </w:p>
          <w:p w14:paraId="07D7CD2A">
            <w:pPr>
              <w:spacing w:line="360" w:lineRule="auto"/>
              <w:rPr>
                <w:color w:val="auto"/>
                <w:highlight w:val="none"/>
                <w:lang w:val="en-US"/>
              </w:rPr>
            </w:pPr>
            <w:r>
              <w:rPr>
                <w:rFonts w:hint="eastAsia"/>
                <w:color w:val="auto"/>
                <w:highlight w:val="none"/>
              </w:rPr>
              <w:t>联系电话：0371-665501617</w:t>
            </w:r>
          </w:p>
          <w:p w14:paraId="4408D19D">
            <w:pPr>
              <w:spacing w:line="360" w:lineRule="auto"/>
              <w:rPr>
                <w:color w:val="auto"/>
                <w:highlight w:val="none"/>
              </w:rPr>
            </w:pPr>
            <w:r>
              <w:rPr>
                <w:rFonts w:hint="eastAsia"/>
                <w:color w:val="auto"/>
                <w:highlight w:val="none"/>
                <w:lang w:val="en-US"/>
              </w:rPr>
              <w:t>4.</w:t>
            </w:r>
            <w:r>
              <w:rPr>
                <w:rFonts w:hint="eastAsia"/>
                <w:color w:val="auto"/>
                <w:highlight w:val="none"/>
              </w:rPr>
              <w:t>采购代理机构联系部门：河南以牧全过程工程咨询有限公司</w:t>
            </w:r>
          </w:p>
          <w:p w14:paraId="468510E8">
            <w:pPr>
              <w:spacing w:line="360" w:lineRule="auto"/>
              <w:rPr>
                <w:color w:val="auto"/>
                <w:highlight w:val="none"/>
              </w:rPr>
            </w:pPr>
            <w:r>
              <w:rPr>
                <w:rFonts w:hint="eastAsia"/>
                <w:color w:val="auto"/>
                <w:highlight w:val="none"/>
              </w:rPr>
              <w:t>地址：郑州市林科路与中州大道交叉口橄榄花园小区办公楼16层</w:t>
            </w:r>
          </w:p>
          <w:p w14:paraId="225640A2">
            <w:pPr>
              <w:spacing w:line="360" w:lineRule="auto"/>
              <w:rPr>
                <w:color w:val="auto"/>
                <w:highlight w:val="none"/>
              </w:rPr>
            </w:pPr>
            <w:r>
              <w:rPr>
                <w:rFonts w:hint="eastAsia"/>
                <w:color w:val="auto"/>
                <w:highlight w:val="none"/>
              </w:rPr>
              <w:t>联系电话：0371-55676685</w:t>
            </w:r>
          </w:p>
        </w:tc>
      </w:tr>
      <w:tr w14:paraId="216DE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3" w:hRule="atLeast"/>
          <w:jc w:val="center"/>
        </w:trPr>
        <w:tc>
          <w:tcPr>
            <w:tcW w:w="1152" w:type="dxa"/>
            <w:vAlign w:val="center"/>
          </w:tcPr>
          <w:p w14:paraId="60964703">
            <w:pPr>
              <w:jc w:val="center"/>
              <w:rPr>
                <w:color w:val="auto"/>
                <w:highlight w:val="none"/>
              </w:rPr>
            </w:pPr>
            <w:r>
              <w:rPr>
                <w:rFonts w:hint="eastAsia"/>
                <w:color w:val="auto"/>
                <w:highlight w:val="none"/>
              </w:rPr>
              <w:t>10.5</w:t>
            </w:r>
          </w:p>
        </w:tc>
        <w:tc>
          <w:tcPr>
            <w:tcW w:w="1947" w:type="dxa"/>
            <w:vAlign w:val="center"/>
          </w:tcPr>
          <w:p w14:paraId="00AADB91">
            <w:pPr>
              <w:jc w:val="center"/>
              <w:rPr>
                <w:color w:val="auto"/>
                <w:highlight w:val="none"/>
              </w:rPr>
            </w:pPr>
            <w:r>
              <w:rPr>
                <w:rFonts w:hint="eastAsia"/>
                <w:color w:val="auto"/>
                <w:highlight w:val="none"/>
              </w:rPr>
              <w:t>其他</w:t>
            </w:r>
          </w:p>
        </w:tc>
        <w:tc>
          <w:tcPr>
            <w:tcW w:w="6580" w:type="dxa"/>
          </w:tcPr>
          <w:p w14:paraId="3832A454">
            <w:pPr>
              <w:spacing w:line="360" w:lineRule="auto"/>
              <w:rPr>
                <w:color w:val="auto"/>
                <w:highlight w:val="none"/>
              </w:rPr>
            </w:pPr>
            <w:r>
              <w:rPr>
                <w:rFonts w:hint="eastAsia"/>
                <w:color w:val="auto"/>
                <w:highlight w:val="none"/>
                <w:lang w:val="en-US"/>
              </w:rPr>
              <w:t>1.</w:t>
            </w:r>
            <w:r>
              <w:rPr>
                <w:rFonts w:hint="eastAsia"/>
                <w:color w:val="auto"/>
                <w:highlight w:val="none"/>
              </w:rPr>
              <w:t>各投标人应在投标截止时间前每日关注郑州市公共资源交易中心电子平台等相关网站是否刊登本项目招标文件澄清、修改文件，并自行下载，如由于投标人未看到澄清文件、修改文件而带来的风险，采购人不承担任何责任。</w:t>
            </w:r>
          </w:p>
          <w:p w14:paraId="0867B4E4">
            <w:pPr>
              <w:spacing w:line="360" w:lineRule="auto"/>
              <w:rPr>
                <w:color w:val="auto"/>
                <w:highlight w:val="none"/>
              </w:rPr>
            </w:pPr>
            <w:r>
              <w:rPr>
                <w:rFonts w:hint="eastAsia"/>
                <w:color w:val="auto"/>
                <w:highlight w:val="none"/>
                <w:lang w:val="en-US"/>
              </w:rPr>
              <w:t>2</w:t>
            </w:r>
            <w:r>
              <w:rPr>
                <w:rFonts w:hint="eastAsia"/>
                <w:color w:val="auto"/>
                <w:highlight w:val="none"/>
              </w:rPr>
              <w:t>.同义词：构成招标文件组成部分的等章节中出现的措辞“委托方”、“招标人”和“受托方”、“投标人”，在招标投标阶段应当分别按“采购人”和“供应商”进行理解。</w:t>
            </w:r>
          </w:p>
          <w:p w14:paraId="4F3B2AEF">
            <w:pPr>
              <w:spacing w:line="360" w:lineRule="auto"/>
              <w:rPr>
                <w:color w:val="auto"/>
                <w:highlight w:val="none"/>
              </w:rPr>
            </w:pPr>
            <w:r>
              <w:rPr>
                <w:rFonts w:hint="eastAsia"/>
                <w:color w:val="auto"/>
                <w:highlight w:val="none"/>
                <w:lang w:val="en-US"/>
              </w:rPr>
              <w:t>3</w:t>
            </w:r>
            <w:r>
              <w:rPr>
                <w:rFonts w:hint="eastAsia"/>
                <w:color w:val="auto"/>
                <w:highlight w:val="none"/>
              </w:rPr>
              <w:t>.招标文件的最终解释权归采购人，其它未尽事宜，按国家有关法律、法规执行。</w:t>
            </w:r>
          </w:p>
        </w:tc>
      </w:tr>
    </w:tbl>
    <w:p w14:paraId="55C46992">
      <w:pPr>
        <w:rPr>
          <w:color w:val="auto"/>
          <w:sz w:val="21"/>
          <w:highlight w:val="none"/>
        </w:rPr>
      </w:pPr>
      <w:bookmarkStart w:id="20" w:name="1.说明"/>
      <w:bookmarkEnd w:id="20"/>
      <w:r>
        <w:rPr>
          <w:color w:val="auto"/>
          <w:sz w:val="21"/>
          <w:highlight w:val="none"/>
        </w:rPr>
        <w:br w:type="page"/>
      </w:r>
    </w:p>
    <w:p w14:paraId="635D71AD">
      <w:pPr>
        <w:spacing w:line="360" w:lineRule="auto"/>
        <w:ind w:firstLine="442" w:firstLineChars="200"/>
        <w:rPr>
          <w:b/>
          <w:bCs/>
          <w:color w:val="auto"/>
          <w:highlight w:val="none"/>
        </w:rPr>
      </w:pPr>
      <w:bookmarkStart w:id="21" w:name="_bookmark3"/>
      <w:bookmarkEnd w:id="21"/>
      <w:r>
        <w:rPr>
          <w:rFonts w:hint="eastAsia"/>
          <w:b/>
          <w:bCs/>
          <w:color w:val="auto"/>
          <w:highlight w:val="none"/>
          <w:lang w:val="en-US"/>
        </w:rPr>
        <w:t>1.</w:t>
      </w:r>
      <w:r>
        <w:rPr>
          <w:rFonts w:hint="eastAsia"/>
          <w:b/>
          <w:bCs/>
          <w:color w:val="auto"/>
          <w:highlight w:val="none"/>
        </w:rPr>
        <w:t>说明</w:t>
      </w:r>
    </w:p>
    <w:p w14:paraId="2BAC9394">
      <w:pPr>
        <w:spacing w:line="360" w:lineRule="auto"/>
        <w:ind w:firstLine="442" w:firstLineChars="200"/>
        <w:rPr>
          <w:b/>
          <w:bCs/>
          <w:color w:val="auto"/>
          <w:highlight w:val="none"/>
        </w:rPr>
      </w:pPr>
      <w:bookmarkStart w:id="22" w:name="1.1适用范围"/>
      <w:bookmarkEnd w:id="22"/>
      <w:r>
        <w:rPr>
          <w:rFonts w:hint="eastAsia"/>
          <w:b/>
          <w:bCs/>
          <w:color w:val="auto"/>
          <w:highlight w:val="none"/>
          <w:lang w:val="en-US"/>
        </w:rPr>
        <w:t>1.1</w:t>
      </w:r>
      <w:r>
        <w:rPr>
          <w:rFonts w:hint="eastAsia"/>
          <w:b/>
          <w:bCs/>
          <w:color w:val="auto"/>
          <w:highlight w:val="none"/>
        </w:rPr>
        <w:t>适用范围</w:t>
      </w:r>
    </w:p>
    <w:p w14:paraId="28E4E385">
      <w:pPr>
        <w:spacing w:line="360" w:lineRule="auto"/>
        <w:ind w:firstLine="440" w:firstLineChars="200"/>
        <w:rPr>
          <w:color w:val="auto"/>
          <w:highlight w:val="none"/>
        </w:rPr>
      </w:pPr>
      <w:r>
        <w:rPr>
          <w:rFonts w:hint="eastAsia"/>
          <w:color w:val="auto"/>
          <w:highlight w:val="none"/>
        </w:rPr>
        <w:t>本招标文件仅适用于政府采购公开招标的货物服务。</w:t>
      </w:r>
    </w:p>
    <w:p w14:paraId="198D456E">
      <w:pPr>
        <w:spacing w:line="360" w:lineRule="auto"/>
        <w:ind w:firstLine="442" w:firstLineChars="200"/>
        <w:rPr>
          <w:b/>
          <w:bCs/>
          <w:color w:val="auto"/>
          <w:highlight w:val="none"/>
        </w:rPr>
      </w:pPr>
      <w:bookmarkStart w:id="23" w:name="1.2定义"/>
      <w:bookmarkEnd w:id="23"/>
      <w:r>
        <w:rPr>
          <w:rFonts w:hint="eastAsia"/>
          <w:b/>
          <w:bCs/>
          <w:color w:val="auto"/>
          <w:highlight w:val="none"/>
          <w:lang w:val="en-US"/>
        </w:rPr>
        <w:t>1.2</w:t>
      </w:r>
      <w:r>
        <w:rPr>
          <w:rFonts w:hint="eastAsia"/>
          <w:b/>
          <w:bCs/>
          <w:color w:val="auto"/>
          <w:highlight w:val="none"/>
        </w:rPr>
        <w:t>定义</w:t>
      </w:r>
    </w:p>
    <w:p w14:paraId="2BD97C84">
      <w:pPr>
        <w:spacing w:line="360" w:lineRule="auto"/>
        <w:ind w:firstLine="440" w:firstLineChars="200"/>
        <w:rPr>
          <w:color w:val="auto"/>
          <w:highlight w:val="none"/>
        </w:rPr>
      </w:pPr>
      <w:r>
        <w:rPr>
          <w:rFonts w:hint="eastAsia"/>
          <w:color w:val="auto"/>
          <w:highlight w:val="none"/>
          <w:lang w:val="en-US"/>
        </w:rPr>
        <w:t>1.2.1</w:t>
      </w:r>
      <w:r>
        <w:rPr>
          <w:rFonts w:hint="eastAsia"/>
          <w:color w:val="auto"/>
          <w:highlight w:val="none"/>
        </w:rPr>
        <w:t>采购人:是指依法进行政府采购的国家机关、事业单位、团体组织。</w:t>
      </w:r>
    </w:p>
    <w:p w14:paraId="393055A3">
      <w:pPr>
        <w:spacing w:line="360" w:lineRule="auto"/>
        <w:ind w:firstLine="440" w:firstLineChars="200"/>
        <w:rPr>
          <w:color w:val="auto"/>
          <w:highlight w:val="none"/>
        </w:rPr>
      </w:pPr>
      <w:r>
        <w:rPr>
          <w:rFonts w:hint="eastAsia"/>
          <w:color w:val="auto"/>
          <w:highlight w:val="none"/>
          <w:lang w:val="en-US"/>
        </w:rPr>
        <w:t>1.2.2</w:t>
      </w:r>
      <w:r>
        <w:rPr>
          <w:rFonts w:hint="eastAsia"/>
          <w:color w:val="auto"/>
          <w:highlight w:val="none"/>
        </w:rPr>
        <w:t>采购代理机构：是指在采购人的委托范围内办理政府采购事宜。</w:t>
      </w:r>
    </w:p>
    <w:p w14:paraId="625758A5">
      <w:pPr>
        <w:spacing w:line="360" w:lineRule="auto"/>
        <w:ind w:firstLine="440" w:firstLineChars="200"/>
        <w:rPr>
          <w:color w:val="auto"/>
          <w:highlight w:val="none"/>
        </w:rPr>
      </w:pPr>
      <w:r>
        <w:rPr>
          <w:rFonts w:hint="eastAsia"/>
          <w:color w:val="auto"/>
          <w:highlight w:val="none"/>
          <w:lang w:val="en-US"/>
        </w:rPr>
        <w:t>1.2.3</w:t>
      </w:r>
      <w:r>
        <w:rPr>
          <w:rFonts w:hint="eastAsia"/>
          <w:color w:val="auto"/>
          <w:highlight w:val="none"/>
        </w:rPr>
        <w:t>投标人：是指向采购人提供货物、工程或者服务的法人、其他组织或者自然人。</w:t>
      </w:r>
    </w:p>
    <w:p w14:paraId="47C46350">
      <w:pPr>
        <w:spacing w:line="360" w:lineRule="auto"/>
        <w:ind w:firstLine="440" w:firstLineChars="200"/>
        <w:rPr>
          <w:color w:val="auto"/>
          <w:highlight w:val="none"/>
        </w:rPr>
      </w:pPr>
      <w:r>
        <w:rPr>
          <w:rFonts w:hint="eastAsia"/>
          <w:color w:val="auto"/>
          <w:highlight w:val="none"/>
          <w:lang w:val="en-US"/>
        </w:rPr>
        <w:t>1.2.4</w:t>
      </w:r>
      <w:r>
        <w:rPr>
          <w:rFonts w:hint="eastAsia"/>
          <w:color w:val="auto"/>
          <w:highlight w:val="none"/>
        </w:rPr>
        <w:t>合格的投标人应具备以下条件：</w:t>
      </w:r>
    </w:p>
    <w:p w14:paraId="3ED6FB9B">
      <w:pPr>
        <w:spacing w:line="360" w:lineRule="auto"/>
        <w:ind w:firstLine="440" w:firstLineChars="200"/>
        <w:rPr>
          <w:color w:val="auto"/>
          <w:highlight w:val="none"/>
        </w:rPr>
      </w:pPr>
      <w:r>
        <w:rPr>
          <w:rFonts w:hint="eastAsia"/>
          <w:color w:val="auto"/>
          <w:highlight w:val="none"/>
          <w:lang w:val="en-US"/>
        </w:rPr>
        <w:t>（1）</w:t>
      </w:r>
      <w:r>
        <w:rPr>
          <w:rFonts w:hint="eastAsia"/>
          <w:color w:val="auto"/>
          <w:highlight w:val="none"/>
        </w:rPr>
        <w:t>本招标文件规定的投标人资格条件</w:t>
      </w:r>
    </w:p>
    <w:p w14:paraId="18919409">
      <w:pPr>
        <w:spacing w:line="360" w:lineRule="auto"/>
        <w:ind w:firstLine="440" w:firstLineChars="200"/>
        <w:rPr>
          <w:color w:val="auto"/>
          <w:highlight w:val="none"/>
        </w:rPr>
      </w:pPr>
      <w:r>
        <w:rPr>
          <w:rFonts w:hint="eastAsia"/>
          <w:color w:val="auto"/>
          <w:highlight w:val="none"/>
          <w:lang w:val="en-US"/>
        </w:rPr>
        <w:t>（2）</w:t>
      </w:r>
      <w:r>
        <w:rPr>
          <w:rFonts w:hint="eastAsia"/>
          <w:color w:val="auto"/>
          <w:highlight w:val="none"/>
        </w:rPr>
        <w:t>遵守国家有关的法律、法规、规章和其他政策制度</w:t>
      </w:r>
    </w:p>
    <w:p w14:paraId="43642404">
      <w:pPr>
        <w:spacing w:line="360" w:lineRule="auto"/>
        <w:ind w:firstLine="440" w:firstLineChars="200"/>
        <w:rPr>
          <w:color w:val="auto"/>
          <w:highlight w:val="none"/>
        </w:rPr>
      </w:pPr>
      <w:r>
        <w:rPr>
          <w:rFonts w:hint="eastAsia"/>
          <w:color w:val="auto"/>
          <w:highlight w:val="none"/>
          <w:lang w:val="en-US"/>
        </w:rPr>
        <w:t>（3）</w:t>
      </w:r>
      <w:r>
        <w:rPr>
          <w:rFonts w:hint="eastAsia"/>
          <w:color w:val="auto"/>
          <w:highlight w:val="none"/>
        </w:rPr>
        <w:t>已获取了本项目招标文件</w:t>
      </w:r>
    </w:p>
    <w:p w14:paraId="4DBFDC06">
      <w:pPr>
        <w:spacing w:line="360" w:lineRule="auto"/>
        <w:ind w:firstLine="440" w:firstLineChars="200"/>
        <w:rPr>
          <w:color w:val="auto"/>
          <w:highlight w:val="none"/>
        </w:rPr>
      </w:pPr>
      <w:r>
        <w:rPr>
          <w:rFonts w:hint="eastAsia"/>
          <w:color w:val="auto"/>
          <w:highlight w:val="none"/>
          <w:lang w:val="en-US"/>
        </w:rPr>
        <w:t>1.2.5</w:t>
      </w:r>
      <w:r>
        <w:rPr>
          <w:rFonts w:hint="eastAsia"/>
          <w:color w:val="auto"/>
          <w:highlight w:val="none"/>
        </w:rPr>
        <w:t>中标人：接到并接受中标通知，最终被授予合同的投标人。</w:t>
      </w:r>
    </w:p>
    <w:p w14:paraId="1E61493E">
      <w:pPr>
        <w:spacing w:line="360" w:lineRule="auto"/>
        <w:ind w:firstLine="440" w:firstLineChars="200"/>
        <w:rPr>
          <w:color w:val="auto"/>
          <w:highlight w:val="none"/>
        </w:rPr>
      </w:pPr>
      <w:r>
        <w:rPr>
          <w:rFonts w:hint="eastAsia"/>
          <w:color w:val="auto"/>
          <w:highlight w:val="none"/>
          <w:lang w:val="en-US"/>
        </w:rPr>
        <w:t>1.2.6</w:t>
      </w:r>
      <w:r>
        <w:rPr>
          <w:rFonts w:hint="eastAsia"/>
          <w:color w:val="auto"/>
          <w:highlight w:val="none"/>
        </w:rPr>
        <w:t>投标文件：指投标人根据招标文件提交的所有文件。</w:t>
      </w:r>
    </w:p>
    <w:p w14:paraId="5B1A6380">
      <w:pPr>
        <w:spacing w:line="360" w:lineRule="auto"/>
        <w:ind w:firstLine="440" w:firstLineChars="200"/>
        <w:rPr>
          <w:color w:val="auto"/>
          <w:highlight w:val="none"/>
        </w:rPr>
      </w:pPr>
      <w:r>
        <w:rPr>
          <w:rFonts w:hint="eastAsia"/>
          <w:color w:val="auto"/>
          <w:highlight w:val="none"/>
          <w:lang w:val="en-US"/>
        </w:rPr>
        <w:t>1.2.7</w:t>
      </w:r>
      <w:r>
        <w:rPr>
          <w:rFonts w:hint="eastAsia"/>
          <w:color w:val="auto"/>
          <w:highlight w:val="none"/>
        </w:rPr>
        <w:t>货物：指除了咨询服务以外的所有的物品、货物、装置和/或包括附件、备品备件、图纸、技术文件、用于运输和安装的包装、培训、维修和其他类似服务的供应。</w:t>
      </w:r>
    </w:p>
    <w:p w14:paraId="6B681C7A">
      <w:pPr>
        <w:spacing w:line="360" w:lineRule="auto"/>
        <w:ind w:firstLine="440" w:firstLineChars="200"/>
        <w:rPr>
          <w:color w:val="auto"/>
          <w:highlight w:val="none"/>
        </w:rPr>
      </w:pPr>
      <w:r>
        <w:rPr>
          <w:rFonts w:hint="eastAsia"/>
          <w:color w:val="auto"/>
          <w:highlight w:val="none"/>
          <w:lang w:val="en-US"/>
        </w:rPr>
        <w:t>1.2.8</w:t>
      </w:r>
      <w:r>
        <w:rPr>
          <w:rFonts w:hint="eastAsia"/>
          <w:color w:val="auto"/>
          <w:highlight w:val="none"/>
        </w:rPr>
        <w:t>服务：是指除货物和工程以外的其他政府采购对象，详见《政府采购品目分类目录》(财库[2013]189 号)。</w:t>
      </w:r>
    </w:p>
    <w:p w14:paraId="66A1B23A">
      <w:pPr>
        <w:spacing w:line="360" w:lineRule="auto"/>
        <w:ind w:firstLine="440" w:firstLineChars="200"/>
        <w:rPr>
          <w:color w:val="auto"/>
          <w:highlight w:val="none"/>
        </w:rPr>
      </w:pPr>
      <w:r>
        <w:rPr>
          <w:rFonts w:hint="eastAsia"/>
          <w:color w:val="auto"/>
          <w:highlight w:val="none"/>
          <w:lang w:val="en-US"/>
        </w:rPr>
        <w:t>1.2.9</w:t>
      </w:r>
      <w:r>
        <w:rPr>
          <w:rFonts w:hint="eastAsia"/>
          <w:color w:val="auto"/>
          <w:highlight w:val="none"/>
        </w:rPr>
        <w:t>进口产品：是指通过中国海关报关验放进入中国境内且产自关境外的产品。本招标文件中如有“进口货物”的描述，是指采购人已按照财政部《政府采购进口产品管理办法》的通知财库[2007]119号、财政部办公厅《关于政府采购进口产品管理有关问题的通知》财办库[2008]248号文件要求的程序办理过报批手续。</w:t>
      </w:r>
    </w:p>
    <w:p w14:paraId="07721C75">
      <w:pPr>
        <w:spacing w:line="360" w:lineRule="auto"/>
        <w:ind w:firstLine="440" w:firstLineChars="200"/>
        <w:rPr>
          <w:color w:val="auto"/>
          <w:highlight w:val="none"/>
          <w:lang w:val="en-US"/>
        </w:rPr>
      </w:pPr>
      <w:r>
        <w:rPr>
          <w:rFonts w:hint="eastAsia"/>
          <w:color w:val="auto"/>
          <w:highlight w:val="none"/>
          <w:lang w:val="en-US"/>
        </w:rPr>
        <w:t>1.2.10本项目不接受联合体投标。</w:t>
      </w:r>
    </w:p>
    <w:p w14:paraId="7545BCA9">
      <w:pPr>
        <w:spacing w:line="360" w:lineRule="auto"/>
        <w:ind w:firstLine="442" w:firstLineChars="200"/>
        <w:rPr>
          <w:b/>
          <w:bCs/>
          <w:color w:val="auto"/>
          <w:highlight w:val="none"/>
        </w:rPr>
      </w:pPr>
      <w:bookmarkStart w:id="24" w:name="1.3项目名称、资金来源和落实情况"/>
      <w:bookmarkEnd w:id="24"/>
      <w:r>
        <w:rPr>
          <w:rFonts w:hint="eastAsia"/>
          <w:b/>
          <w:bCs/>
          <w:color w:val="auto"/>
          <w:highlight w:val="none"/>
          <w:lang w:val="en-US"/>
        </w:rPr>
        <w:t>1.3</w:t>
      </w:r>
      <w:r>
        <w:rPr>
          <w:rFonts w:hint="eastAsia"/>
          <w:b/>
          <w:bCs/>
          <w:color w:val="auto"/>
          <w:highlight w:val="none"/>
        </w:rPr>
        <w:t>项目名称、资金来源和落实情况</w:t>
      </w:r>
    </w:p>
    <w:p w14:paraId="6D63D084">
      <w:pPr>
        <w:spacing w:line="360" w:lineRule="auto"/>
        <w:ind w:firstLine="440" w:firstLineChars="200"/>
        <w:rPr>
          <w:color w:val="auto"/>
          <w:highlight w:val="none"/>
        </w:rPr>
      </w:pPr>
      <w:r>
        <w:rPr>
          <w:rFonts w:hint="eastAsia"/>
          <w:color w:val="auto"/>
          <w:highlight w:val="none"/>
          <w:lang w:val="en-US"/>
        </w:rPr>
        <w:t>1.3.1</w:t>
      </w:r>
      <w:r>
        <w:rPr>
          <w:rFonts w:hint="eastAsia"/>
          <w:color w:val="auto"/>
          <w:highlight w:val="none"/>
        </w:rPr>
        <w:t>项目名称：见投标人须知前附表。</w:t>
      </w:r>
    </w:p>
    <w:p w14:paraId="19C96DDD">
      <w:pPr>
        <w:spacing w:line="360" w:lineRule="auto"/>
        <w:ind w:firstLine="440" w:firstLineChars="200"/>
        <w:rPr>
          <w:color w:val="auto"/>
          <w:highlight w:val="none"/>
        </w:rPr>
      </w:pPr>
      <w:r>
        <w:rPr>
          <w:rFonts w:hint="eastAsia"/>
          <w:color w:val="auto"/>
          <w:highlight w:val="none"/>
          <w:lang w:val="en-US"/>
        </w:rPr>
        <w:t>1.3.2</w:t>
      </w:r>
      <w:r>
        <w:rPr>
          <w:rFonts w:hint="eastAsia"/>
          <w:color w:val="auto"/>
          <w:highlight w:val="none"/>
        </w:rPr>
        <w:t>资金来源：见投标人须知前附表。</w:t>
      </w:r>
    </w:p>
    <w:p w14:paraId="764C55C0">
      <w:pPr>
        <w:spacing w:line="360" w:lineRule="auto"/>
        <w:ind w:firstLine="440" w:firstLineChars="200"/>
        <w:rPr>
          <w:color w:val="auto"/>
          <w:highlight w:val="none"/>
        </w:rPr>
      </w:pPr>
      <w:r>
        <w:rPr>
          <w:rFonts w:hint="eastAsia"/>
          <w:color w:val="auto"/>
          <w:highlight w:val="none"/>
          <w:lang w:val="en-US"/>
        </w:rPr>
        <w:t>1.3.3</w:t>
      </w:r>
      <w:r>
        <w:rPr>
          <w:rFonts w:hint="eastAsia"/>
          <w:color w:val="auto"/>
          <w:highlight w:val="none"/>
        </w:rPr>
        <w:t>资金落实情况：见投标人须知前附表。</w:t>
      </w:r>
    </w:p>
    <w:p w14:paraId="7A3DA252">
      <w:pPr>
        <w:spacing w:line="360" w:lineRule="auto"/>
        <w:ind w:firstLine="442" w:firstLineChars="200"/>
        <w:rPr>
          <w:b/>
          <w:bCs/>
          <w:color w:val="auto"/>
          <w:highlight w:val="none"/>
        </w:rPr>
      </w:pPr>
      <w:bookmarkStart w:id="25" w:name="1.4采购内容、质量要求、交货期等"/>
      <w:bookmarkEnd w:id="25"/>
      <w:r>
        <w:rPr>
          <w:rFonts w:hint="eastAsia"/>
          <w:b/>
          <w:bCs/>
          <w:color w:val="auto"/>
          <w:highlight w:val="none"/>
          <w:lang w:val="en-US"/>
        </w:rPr>
        <w:t>1.4</w:t>
      </w:r>
      <w:r>
        <w:rPr>
          <w:rFonts w:hint="eastAsia"/>
          <w:b/>
          <w:bCs/>
          <w:color w:val="auto"/>
          <w:highlight w:val="none"/>
        </w:rPr>
        <w:t>采购内容、质量要求、</w:t>
      </w:r>
      <w:r>
        <w:rPr>
          <w:rFonts w:hint="eastAsia"/>
          <w:b/>
          <w:bCs/>
          <w:color w:val="auto"/>
          <w:highlight w:val="none"/>
          <w:lang w:val="en-US"/>
        </w:rPr>
        <w:t>交货期、</w:t>
      </w:r>
      <w:r>
        <w:rPr>
          <w:rFonts w:hint="eastAsia"/>
          <w:b/>
          <w:bCs/>
          <w:color w:val="auto"/>
          <w:highlight w:val="none"/>
        </w:rPr>
        <w:t>质保期等</w:t>
      </w:r>
    </w:p>
    <w:p w14:paraId="452941AF">
      <w:pPr>
        <w:spacing w:line="360" w:lineRule="auto"/>
        <w:ind w:firstLine="440" w:firstLineChars="200"/>
        <w:rPr>
          <w:color w:val="auto"/>
          <w:highlight w:val="none"/>
        </w:rPr>
      </w:pPr>
      <w:r>
        <w:rPr>
          <w:rFonts w:hint="eastAsia"/>
          <w:color w:val="auto"/>
          <w:highlight w:val="none"/>
          <w:lang w:val="en-US"/>
        </w:rPr>
        <w:t>1.4.1</w:t>
      </w:r>
      <w:r>
        <w:rPr>
          <w:rFonts w:hint="eastAsia"/>
          <w:color w:val="auto"/>
          <w:highlight w:val="none"/>
        </w:rPr>
        <w:t>采购内容：见投标人须知前附表。</w:t>
      </w:r>
    </w:p>
    <w:p w14:paraId="576558A9">
      <w:pPr>
        <w:spacing w:line="360" w:lineRule="auto"/>
        <w:ind w:firstLine="440" w:firstLineChars="200"/>
        <w:rPr>
          <w:color w:val="auto"/>
          <w:highlight w:val="none"/>
        </w:rPr>
      </w:pPr>
      <w:r>
        <w:rPr>
          <w:rFonts w:hint="eastAsia"/>
          <w:color w:val="auto"/>
          <w:highlight w:val="none"/>
          <w:lang w:val="en-US"/>
        </w:rPr>
        <w:t>1.4.2</w:t>
      </w:r>
      <w:r>
        <w:rPr>
          <w:rFonts w:hint="eastAsia"/>
          <w:color w:val="auto"/>
          <w:highlight w:val="none"/>
        </w:rPr>
        <w:t>质量要求：见投标人须知前附表。</w:t>
      </w:r>
    </w:p>
    <w:p w14:paraId="27C31223">
      <w:pPr>
        <w:spacing w:line="360" w:lineRule="auto"/>
        <w:ind w:firstLine="440" w:firstLineChars="200"/>
        <w:rPr>
          <w:color w:val="auto"/>
          <w:highlight w:val="none"/>
          <w:lang w:val="en-US"/>
        </w:rPr>
      </w:pPr>
      <w:r>
        <w:rPr>
          <w:rFonts w:hint="eastAsia"/>
          <w:color w:val="auto"/>
          <w:highlight w:val="none"/>
          <w:lang w:val="en-US"/>
        </w:rPr>
        <w:t>1.4.3交货期：</w:t>
      </w:r>
      <w:r>
        <w:rPr>
          <w:rFonts w:hint="eastAsia"/>
          <w:color w:val="auto"/>
          <w:highlight w:val="none"/>
        </w:rPr>
        <w:t>见投标人须知前附表。</w:t>
      </w:r>
    </w:p>
    <w:p w14:paraId="7F4FFA3F">
      <w:pPr>
        <w:spacing w:line="360" w:lineRule="auto"/>
        <w:ind w:firstLine="440" w:firstLineChars="200"/>
        <w:rPr>
          <w:color w:val="auto"/>
          <w:highlight w:val="none"/>
        </w:rPr>
      </w:pPr>
      <w:r>
        <w:rPr>
          <w:rFonts w:hint="eastAsia"/>
          <w:color w:val="auto"/>
          <w:highlight w:val="none"/>
          <w:lang w:val="en-US"/>
        </w:rPr>
        <w:t>1.4.4</w:t>
      </w:r>
      <w:r>
        <w:rPr>
          <w:rFonts w:hint="eastAsia"/>
          <w:color w:val="auto"/>
          <w:highlight w:val="none"/>
        </w:rPr>
        <w:t>质保期：见投标人须知前附表。</w:t>
      </w:r>
    </w:p>
    <w:p w14:paraId="1EF31088">
      <w:pPr>
        <w:spacing w:line="360" w:lineRule="auto"/>
        <w:ind w:firstLine="442" w:firstLineChars="200"/>
        <w:rPr>
          <w:b/>
          <w:bCs/>
          <w:color w:val="auto"/>
          <w:highlight w:val="none"/>
        </w:rPr>
      </w:pPr>
      <w:bookmarkStart w:id="26" w:name="1.5投标费用"/>
      <w:bookmarkEnd w:id="26"/>
      <w:r>
        <w:rPr>
          <w:rFonts w:hint="eastAsia"/>
          <w:b/>
          <w:bCs/>
          <w:color w:val="auto"/>
          <w:highlight w:val="none"/>
          <w:lang w:val="en-US"/>
        </w:rPr>
        <w:t>1.5</w:t>
      </w:r>
      <w:r>
        <w:rPr>
          <w:rFonts w:hint="eastAsia"/>
          <w:b/>
          <w:bCs/>
          <w:color w:val="auto"/>
          <w:highlight w:val="none"/>
        </w:rPr>
        <w:t>投标费用</w:t>
      </w:r>
    </w:p>
    <w:p w14:paraId="40CCF499">
      <w:pPr>
        <w:spacing w:line="360" w:lineRule="auto"/>
        <w:ind w:firstLine="440" w:firstLineChars="200"/>
        <w:rPr>
          <w:color w:val="auto"/>
          <w:highlight w:val="none"/>
        </w:rPr>
      </w:pPr>
      <w:r>
        <w:rPr>
          <w:rFonts w:hint="eastAsia"/>
          <w:color w:val="auto"/>
          <w:highlight w:val="none"/>
        </w:rPr>
        <w:t>无论投标过程中的作法和结果如何,投标人应自行承担所有与参加投标有关的全部费用，采购人和采购代理机构在任何情况下均无义务和责任承担上述费用。</w:t>
      </w:r>
    </w:p>
    <w:p w14:paraId="6E34DADC">
      <w:pPr>
        <w:spacing w:line="360" w:lineRule="auto"/>
        <w:ind w:firstLine="442" w:firstLineChars="200"/>
        <w:rPr>
          <w:b/>
          <w:bCs/>
          <w:color w:val="auto"/>
          <w:highlight w:val="none"/>
        </w:rPr>
      </w:pPr>
      <w:bookmarkStart w:id="27" w:name="1.6现场考察"/>
      <w:bookmarkEnd w:id="27"/>
      <w:r>
        <w:rPr>
          <w:rFonts w:hint="eastAsia"/>
          <w:b/>
          <w:bCs/>
          <w:color w:val="auto"/>
          <w:highlight w:val="none"/>
          <w:lang w:val="en-US"/>
        </w:rPr>
        <w:t>1.6</w:t>
      </w:r>
      <w:r>
        <w:rPr>
          <w:rFonts w:hint="eastAsia"/>
          <w:b/>
          <w:bCs/>
          <w:color w:val="auto"/>
          <w:highlight w:val="none"/>
        </w:rPr>
        <w:t>现场考察</w:t>
      </w:r>
    </w:p>
    <w:p w14:paraId="06A0AAA3">
      <w:pPr>
        <w:spacing w:line="360" w:lineRule="auto"/>
        <w:ind w:firstLine="440" w:firstLineChars="200"/>
        <w:rPr>
          <w:color w:val="auto"/>
          <w:highlight w:val="none"/>
        </w:rPr>
      </w:pPr>
      <w:r>
        <w:rPr>
          <w:rFonts w:hint="eastAsia"/>
          <w:color w:val="auto"/>
          <w:highlight w:val="none"/>
        </w:rPr>
        <w:t>现场考察：不组织。</w:t>
      </w:r>
    </w:p>
    <w:p w14:paraId="36F87BED">
      <w:pPr>
        <w:spacing w:line="360" w:lineRule="auto"/>
        <w:ind w:firstLine="442" w:firstLineChars="200"/>
        <w:rPr>
          <w:b/>
          <w:bCs/>
          <w:color w:val="auto"/>
          <w:highlight w:val="none"/>
        </w:rPr>
      </w:pPr>
      <w:bookmarkStart w:id="28" w:name="1.7分包"/>
      <w:bookmarkEnd w:id="28"/>
      <w:r>
        <w:rPr>
          <w:rFonts w:hint="eastAsia"/>
          <w:b/>
          <w:bCs/>
          <w:color w:val="auto"/>
          <w:highlight w:val="none"/>
          <w:lang w:val="en-US"/>
        </w:rPr>
        <w:t>1.7</w:t>
      </w:r>
      <w:r>
        <w:rPr>
          <w:rFonts w:hint="eastAsia"/>
          <w:b/>
          <w:bCs/>
          <w:color w:val="auto"/>
          <w:highlight w:val="none"/>
        </w:rPr>
        <w:t>分包</w:t>
      </w:r>
    </w:p>
    <w:p w14:paraId="7CAFAAE1">
      <w:pPr>
        <w:spacing w:line="360" w:lineRule="auto"/>
        <w:ind w:firstLine="440" w:firstLineChars="200"/>
        <w:rPr>
          <w:color w:val="auto"/>
          <w:highlight w:val="none"/>
        </w:rPr>
      </w:pPr>
      <w:r>
        <w:rPr>
          <w:rFonts w:hint="eastAsia"/>
          <w:color w:val="auto"/>
          <w:highlight w:val="none"/>
        </w:rPr>
        <w:t>本项目不允许分包。</w:t>
      </w:r>
    </w:p>
    <w:p w14:paraId="6B7A31AC">
      <w:pPr>
        <w:spacing w:line="360" w:lineRule="auto"/>
        <w:ind w:firstLine="442" w:firstLineChars="200"/>
        <w:rPr>
          <w:b/>
          <w:bCs/>
          <w:color w:val="auto"/>
          <w:highlight w:val="none"/>
        </w:rPr>
      </w:pPr>
      <w:bookmarkStart w:id="29" w:name="1.8投标签章_"/>
      <w:bookmarkEnd w:id="29"/>
      <w:r>
        <w:rPr>
          <w:rFonts w:hint="eastAsia"/>
          <w:b/>
          <w:bCs/>
          <w:color w:val="auto"/>
          <w:highlight w:val="none"/>
          <w:lang w:val="en-US"/>
        </w:rPr>
        <w:t>1.8</w:t>
      </w:r>
      <w:r>
        <w:rPr>
          <w:rFonts w:hint="eastAsia"/>
          <w:b/>
          <w:bCs/>
          <w:color w:val="auto"/>
          <w:highlight w:val="none"/>
        </w:rPr>
        <w:t>投标签章</w:t>
      </w:r>
    </w:p>
    <w:p w14:paraId="001ABF37">
      <w:pPr>
        <w:spacing w:line="360" w:lineRule="auto"/>
        <w:ind w:firstLine="440" w:firstLineChars="200"/>
        <w:rPr>
          <w:color w:val="auto"/>
          <w:highlight w:val="none"/>
        </w:rPr>
      </w:pPr>
      <w:r>
        <w:rPr>
          <w:rFonts w:hint="eastAsia"/>
          <w:color w:val="auto"/>
          <w:highlight w:val="none"/>
        </w:rPr>
        <w:t>按招标文件要求，需要法定代表人或其</w:t>
      </w:r>
      <w:r>
        <w:rPr>
          <w:rFonts w:hint="eastAsia"/>
          <w:color w:val="auto"/>
          <w:highlight w:val="none"/>
          <w:lang w:eastAsia="zh-CN"/>
        </w:rPr>
        <w:t>授权委托</w:t>
      </w:r>
      <w:r>
        <w:rPr>
          <w:rFonts w:hint="eastAsia"/>
          <w:color w:val="auto"/>
          <w:highlight w:val="none"/>
        </w:rPr>
        <w:t>人签字或盖章的地方以法定代表人 CA 密钥进行电子签章为准；需要投标人盖章的地方以企业CA密钥进行电子签章为准；需要除投标人以外第三方签字或盖章的内容，需要先对纸质文件进行实物盖章或签字后再进行扫描插入到电子投标文件中。</w:t>
      </w:r>
    </w:p>
    <w:p w14:paraId="0411C789">
      <w:pPr>
        <w:spacing w:line="360" w:lineRule="auto"/>
        <w:ind w:firstLine="442" w:firstLineChars="200"/>
        <w:rPr>
          <w:b/>
          <w:bCs/>
          <w:color w:val="auto"/>
          <w:highlight w:val="none"/>
        </w:rPr>
      </w:pPr>
      <w:bookmarkStart w:id="30" w:name="1.9响应和偏差"/>
      <w:bookmarkEnd w:id="30"/>
      <w:r>
        <w:rPr>
          <w:rFonts w:hint="eastAsia"/>
          <w:b/>
          <w:bCs/>
          <w:color w:val="auto"/>
          <w:highlight w:val="none"/>
          <w:lang w:val="en-US"/>
        </w:rPr>
        <w:t>1.9</w:t>
      </w:r>
      <w:r>
        <w:rPr>
          <w:rFonts w:hint="eastAsia"/>
          <w:b/>
          <w:bCs/>
          <w:color w:val="auto"/>
          <w:highlight w:val="none"/>
        </w:rPr>
        <w:t>响应和偏差</w:t>
      </w:r>
    </w:p>
    <w:p w14:paraId="65A12E26">
      <w:pPr>
        <w:spacing w:line="360" w:lineRule="auto"/>
        <w:ind w:firstLine="440" w:firstLineChars="200"/>
        <w:rPr>
          <w:color w:val="auto"/>
          <w:highlight w:val="none"/>
        </w:rPr>
      </w:pPr>
      <w:r>
        <w:rPr>
          <w:rFonts w:hint="eastAsia"/>
          <w:color w:val="auto"/>
          <w:highlight w:val="none"/>
          <w:lang w:val="en-US"/>
        </w:rPr>
        <w:t>1.9.1</w:t>
      </w:r>
      <w:r>
        <w:rPr>
          <w:rFonts w:hint="eastAsia"/>
          <w:color w:val="auto"/>
          <w:highlight w:val="none"/>
        </w:rPr>
        <w:t>投标文件应当对招标文件的实质性要求和条件作出满足或更有利于采购人的响应，否则，投标人的响应文件将被否决。实质性要求和条件见投标人须知前附表。</w:t>
      </w:r>
    </w:p>
    <w:p w14:paraId="5254FF5D">
      <w:pPr>
        <w:spacing w:line="360" w:lineRule="auto"/>
        <w:ind w:firstLine="440" w:firstLineChars="200"/>
        <w:rPr>
          <w:color w:val="auto"/>
          <w:highlight w:val="none"/>
        </w:rPr>
      </w:pPr>
      <w:r>
        <w:rPr>
          <w:rFonts w:hint="eastAsia"/>
          <w:color w:val="auto"/>
          <w:highlight w:val="none"/>
          <w:lang w:val="en-US"/>
        </w:rPr>
        <w:t>1.9.2</w:t>
      </w:r>
      <w:r>
        <w:rPr>
          <w:rFonts w:hint="eastAsia"/>
          <w:color w:val="auto"/>
          <w:highlight w:val="none"/>
        </w:rPr>
        <w:t>投标人须知前附表规定了可以偏差的范围和最高偏差项数的，偏差应当符合投标人须知前附表规定的偏差范围和最高项数，超出偏差范围和最高偏差项数的响应文件将被否决。</w:t>
      </w:r>
    </w:p>
    <w:p w14:paraId="24693D68">
      <w:pPr>
        <w:spacing w:line="360" w:lineRule="auto"/>
        <w:ind w:firstLine="440" w:firstLineChars="200"/>
        <w:rPr>
          <w:color w:val="auto"/>
          <w:highlight w:val="none"/>
        </w:rPr>
      </w:pPr>
      <w:r>
        <w:rPr>
          <w:rFonts w:hint="eastAsia"/>
          <w:color w:val="auto"/>
          <w:highlight w:val="none"/>
          <w:lang w:val="en-US"/>
        </w:rPr>
        <w:t>1.9.3</w:t>
      </w:r>
      <w:r>
        <w:rPr>
          <w:rFonts w:hint="eastAsia"/>
          <w:color w:val="auto"/>
          <w:highlight w:val="none"/>
        </w:rPr>
        <w:t>投标文件对招标文件的全部偏差，均应在响应文件的商务和技术偏差表中列明，除列明的内容外，视为投标人响应招标文件的全部要求。</w:t>
      </w:r>
    </w:p>
    <w:p w14:paraId="7F277E78">
      <w:pPr>
        <w:spacing w:line="360" w:lineRule="auto"/>
        <w:ind w:firstLine="442" w:firstLineChars="200"/>
        <w:rPr>
          <w:b/>
          <w:bCs/>
          <w:color w:val="auto"/>
          <w:highlight w:val="none"/>
        </w:rPr>
      </w:pPr>
      <w:bookmarkStart w:id="31" w:name="2.招标文件"/>
      <w:bookmarkEnd w:id="31"/>
      <w:bookmarkStart w:id="32" w:name="_bookmark4"/>
      <w:bookmarkEnd w:id="32"/>
      <w:r>
        <w:rPr>
          <w:rFonts w:hint="eastAsia"/>
          <w:b/>
          <w:bCs/>
          <w:color w:val="auto"/>
          <w:highlight w:val="none"/>
          <w:lang w:val="en-US"/>
        </w:rPr>
        <w:t>2.</w:t>
      </w:r>
      <w:r>
        <w:rPr>
          <w:rFonts w:hint="eastAsia"/>
          <w:b/>
          <w:bCs/>
          <w:color w:val="auto"/>
          <w:highlight w:val="none"/>
        </w:rPr>
        <w:t>招标文件</w:t>
      </w:r>
    </w:p>
    <w:p w14:paraId="24122935">
      <w:pPr>
        <w:spacing w:line="360" w:lineRule="auto"/>
        <w:ind w:firstLine="442" w:firstLineChars="200"/>
        <w:rPr>
          <w:b/>
          <w:bCs/>
          <w:color w:val="auto"/>
          <w:highlight w:val="none"/>
        </w:rPr>
      </w:pPr>
      <w:bookmarkStart w:id="33" w:name="2.1招标文件的构成"/>
      <w:bookmarkEnd w:id="33"/>
      <w:r>
        <w:rPr>
          <w:rFonts w:hint="eastAsia"/>
          <w:b/>
          <w:bCs/>
          <w:color w:val="auto"/>
          <w:highlight w:val="none"/>
          <w:lang w:val="en-US"/>
        </w:rPr>
        <w:t>2.1</w:t>
      </w:r>
      <w:r>
        <w:rPr>
          <w:rFonts w:hint="eastAsia"/>
          <w:b/>
          <w:bCs/>
          <w:color w:val="auto"/>
          <w:highlight w:val="none"/>
        </w:rPr>
        <w:t>招标文件的构成</w:t>
      </w:r>
    </w:p>
    <w:p w14:paraId="06072324">
      <w:pPr>
        <w:spacing w:line="360" w:lineRule="auto"/>
        <w:ind w:firstLine="440" w:firstLineChars="200"/>
        <w:rPr>
          <w:color w:val="auto"/>
          <w:highlight w:val="none"/>
        </w:rPr>
      </w:pPr>
      <w:r>
        <w:rPr>
          <w:rFonts w:hint="eastAsia"/>
          <w:color w:val="auto"/>
          <w:highlight w:val="none"/>
          <w:lang w:val="en-US"/>
        </w:rPr>
        <w:t>2.1.1</w:t>
      </w:r>
      <w:r>
        <w:rPr>
          <w:rFonts w:hint="eastAsia"/>
          <w:color w:val="auto"/>
          <w:highlight w:val="none"/>
        </w:rPr>
        <w:t>招标文件用以阐明本次招标的服务要求、采购程序和合同条件。招标文件由下述部分组成：</w:t>
      </w:r>
    </w:p>
    <w:p w14:paraId="399EAE5B">
      <w:pPr>
        <w:spacing w:line="360" w:lineRule="auto"/>
        <w:ind w:firstLine="440" w:firstLineChars="200"/>
        <w:rPr>
          <w:color w:val="auto"/>
          <w:highlight w:val="none"/>
        </w:rPr>
      </w:pPr>
      <w:r>
        <w:rPr>
          <w:rFonts w:hint="eastAsia"/>
          <w:color w:val="auto"/>
          <w:highlight w:val="none"/>
        </w:rPr>
        <w:t>第一章 招标公告</w:t>
      </w:r>
    </w:p>
    <w:p w14:paraId="23DF134D">
      <w:pPr>
        <w:spacing w:line="360" w:lineRule="auto"/>
        <w:ind w:firstLine="440" w:firstLineChars="200"/>
        <w:rPr>
          <w:color w:val="auto"/>
          <w:highlight w:val="none"/>
        </w:rPr>
      </w:pPr>
      <w:r>
        <w:rPr>
          <w:rFonts w:hint="eastAsia"/>
          <w:color w:val="auto"/>
          <w:highlight w:val="none"/>
        </w:rPr>
        <w:t>第二章 投标人须知</w:t>
      </w:r>
    </w:p>
    <w:p w14:paraId="3617C5D0">
      <w:pPr>
        <w:spacing w:line="360" w:lineRule="auto"/>
        <w:ind w:firstLine="440" w:firstLineChars="200"/>
        <w:rPr>
          <w:color w:val="auto"/>
          <w:highlight w:val="none"/>
        </w:rPr>
      </w:pPr>
      <w:r>
        <w:rPr>
          <w:rFonts w:hint="eastAsia"/>
          <w:color w:val="auto"/>
          <w:highlight w:val="none"/>
        </w:rPr>
        <w:t>第三章 合同条款及格式</w:t>
      </w:r>
    </w:p>
    <w:p w14:paraId="074CE9A2">
      <w:pPr>
        <w:spacing w:line="360" w:lineRule="auto"/>
        <w:ind w:firstLine="440" w:firstLineChars="200"/>
        <w:rPr>
          <w:color w:val="auto"/>
          <w:highlight w:val="none"/>
        </w:rPr>
      </w:pPr>
      <w:r>
        <w:rPr>
          <w:rFonts w:hint="eastAsia"/>
          <w:color w:val="auto"/>
          <w:highlight w:val="none"/>
        </w:rPr>
        <w:t>第四章 投标文件格式</w:t>
      </w:r>
    </w:p>
    <w:p w14:paraId="4A3D00C2">
      <w:pPr>
        <w:spacing w:line="360" w:lineRule="auto"/>
        <w:ind w:firstLine="440" w:firstLineChars="200"/>
        <w:rPr>
          <w:color w:val="auto"/>
          <w:highlight w:val="none"/>
        </w:rPr>
      </w:pPr>
      <w:r>
        <w:rPr>
          <w:rFonts w:hint="eastAsia"/>
          <w:color w:val="auto"/>
          <w:highlight w:val="none"/>
        </w:rPr>
        <w:t>第五章 采购需求及技术规格要求</w:t>
      </w:r>
    </w:p>
    <w:p w14:paraId="3360C8D1">
      <w:pPr>
        <w:spacing w:line="360" w:lineRule="auto"/>
        <w:ind w:firstLine="440" w:firstLineChars="200"/>
        <w:rPr>
          <w:color w:val="auto"/>
          <w:highlight w:val="none"/>
        </w:rPr>
      </w:pPr>
      <w:r>
        <w:rPr>
          <w:rFonts w:hint="eastAsia"/>
          <w:color w:val="auto"/>
          <w:highlight w:val="none"/>
        </w:rPr>
        <w:t>第六章 评标标准和评标方法</w:t>
      </w:r>
    </w:p>
    <w:p w14:paraId="4C1C0783">
      <w:pPr>
        <w:spacing w:line="360" w:lineRule="auto"/>
        <w:ind w:firstLine="440" w:firstLineChars="200"/>
        <w:rPr>
          <w:color w:val="auto"/>
          <w:highlight w:val="none"/>
        </w:rPr>
      </w:pPr>
      <w:r>
        <w:rPr>
          <w:rFonts w:hint="eastAsia"/>
          <w:color w:val="auto"/>
          <w:highlight w:val="none"/>
          <w:lang w:val="en-US"/>
        </w:rPr>
        <w:t>2.1.2</w:t>
      </w:r>
      <w:r>
        <w:rPr>
          <w:rFonts w:hint="eastAsia"/>
          <w:color w:val="auto"/>
          <w:highlight w:val="none"/>
        </w:rPr>
        <w:t>投标人应仔细阅读招标文件中投标人须知、合同条款的所有事项、格式要求和技术规范，按招标文件的要求提供投标文件，并保证所提供的全部资料的真实性，以使其投标对招标文件做出实质性响应，否则，将承担其投标被拒绝或废标的风险。</w:t>
      </w:r>
    </w:p>
    <w:p w14:paraId="576344D1">
      <w:pPr>
        <w:spacing w:line="360" w:lineRule="auto"/>
        <w:ind w:firstLine="442" w:firstLineChars="200"/>
        <w:rPr>
          <w:b/>
          <w:bCs/>
          <w:color w:val="auto"/>
          <w:highlight w:val="none"/>
        </w:rPr>
      </w:pPr>
      <w:bookmarkStart w:id="34" w:name="2.2招标文件的澄清或修改"/>
      <w:bookmarkEnd w:id="34"/>
      <w:r>
        <w:rPr>
          <w:rFonts w:hint="eastAsia"/>
          <w:b/>
          <w:bCs/>
          <w:color w:val="auto"/>
          <w:highlight w:val="none"/>
          <w:lang w:val="en-US"/>
        </w:rPr>
        <w:t>2.2</w:t>
      </w:r>
      <w:r>
        <w:rPr>
          <w:rFonts w:hint="eastAsia"/>
          <w:b/>
          <w:bCs/>
          <w:color w:val="auto"/>
          <w:highlight w:val="none"/>
        </w:rPr>
        <w:t>招标文件的澄清或修改</w:t>
      </w:r>
    </w:p>
    <w:p w14:paraId="2324E803">
      <w:pPr>
        <w:spacing w:line="360" w:lineRule="auto"/>
        <w:ind w:firstLine="440" w:firstLineChars="200"/>
        <w:rPr>
          <w:color w:val="auto"/>
          <w:highlight w:val="none"/>
        </w:rPr>
      </w:pPr>
      <w:r>
        <w:rPr>
          <w:rFonts w:hint="eastAsia"/>
          <w:color w:val="auto"/>
          <w:highlight w:val="none"/>
          <w:lang w:val="en-US"/>
        </w:rPr>
        <w:t>2.2.1</w:t>
      </w:r>
      <w:r>
        <w:rPr>
          <w:rFonts w:hint="eastAsia"/>
          <w:color w:val="auto"/>
          <w:highlight w:val="none"/>
        </w:rPr>
        <w:t>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58EC9DF">
      <w:pPr>
        <w:spacing w:line="360" w:lineRule="auto"/>
        <w:ind w:firstLine="440" w:firstLineChars="200"/>
        <w:rPr>
          <w:color w:val="auto"/>
          <w:highlight w:val="none"/>
        </w:rPr>
      </w:pPr>
      <w:r>
        <w:rPr>
          <w:rFonts w:hint="eastAsia"/>
          <w:color w:val="auto"/>
          <w:highlight w:val="none"/>
          <w:lang w:val="en-US"/>
        </w:rPr>
        <w:t>2.2.2</w:t>
      </w:r>
      <w:r>
        <w:rPr>
          <w:rFonts w:hint="eastAsia"/>
          <w:color w:val="auto"/>
          <w:highlight w:val="none"/>
        </w:rPr>
        <w:t>澄清或者修改的内容可能影响投标文件编制的，采购人或者采购代理机构应当在投标截止时间至少15日前，登录郑州市公共资源交易中心网站（http：//</w:t>
      </w:r>
      <w:r>
        <w:rPr>
          <w:color w:val="auto"/>
          <w:highlight w:val="none"/>
        </w:rPr>
        <w:fldChar w:fldCharType="begin"/>
      </w:r>
      <w:r>
        <w:rPr>
          <w:color w:val="auto"/>
          <w:highlight w:val="none"/>
        </w:rPr>
        <w:instrText xml:space="preserve"> HYPERLINK "http://www.zzsggzy.com/" \h </w:instrText>
      </w:r>
      <w:r>
        <w:rPr>
          <w:color w:val="auto"/>
          <w:highlight w:val="none"/>
        </w:rPr>
        <w:fldChar w:fldCharType="separate"/>
      </w:r>
      <w:r>
        <w:rPr>
          <w:rFonts w:hint="eastAsia"/>
          <w:color w:val="auto"/>
          <w:highlight w:val="none"/>
        </w:rPr>
        <w:t>www.zzsggzy.com/</w:t>
      </w:r>
      <w:r>
        <w:rPr>
          <w:rFonts w:hint="eastAsia"/>
          <w:color w:val="auto"/>
          <w:highlight w:val="none"/>
        </w:rPr>
        <w:fldChar w:fldCharType="end"/>
      </w:r>
      <w:r>
        <w:rPr>
          <w:rFonts w:hint="eastAsia"/>
          <w:color w:val="auto"/>
          <w:highlight w:val="none"/>
        </w:rPr>
        <w:t>）交易平台通知所有获取招标文件的潜在投标人；不足15日的，采购人或者采购代理机构应当顺延提交投标文件的截止时间；下载过招标文件的各投标人应在投标截止时间前每日关注郑州市公共资源交易中心电子平台是否刊登本项目招标文件澄清、修改文件，并自行下载，如由于投标人未看到澄清文件、修改文件而带来的风险，招标人不承担任何责任。）。</w:t>
      </w:r>
    </w:p>
    <w:p w14:paraId="50B5F91D">
      <w:pPr>
        <w:spacing w:line="360" w:lineRule="auto"/>
        <w:ind w:firstLine="440" w:firstLineChars="200"/>
        <w:rPr>
          <w:color w:val="auto"/>
          <w:highlight w:val="none"/>
        </w:rPr>
      </w:pPr>
      <w:r>
        <w:rPr>
          <w:rFonts w:hint="eastAsia"/>
          <w:color w:val="auto"/>
          <w:highlight w:val="none"/>
          <w:lang w:val="en-US"/>
        </w:rPr>
        <w:t>2.2.3</w:t>
      </w:r>
      <w:r>
        <w:rPr>
          <w:rFonts w:hint="eastAsia"/>
          <w:color w:val="auto"/>
          <w:highlight w:val="none"/>
        </w:rPr>
        <w:t>潜在投标人已依法获取招标文件的，可以对招标文件提出质疑。对招标文件提出质疑的，应当在获取招标文件或者招标公告期限届满之日起7个工作日内可登录郑州市公共资源交易中心网站（http：//</w:t>
      </w:r>
      <w:r>
        <w:rPr>
          <w:color w:val="auto"/>
          <w:highlight w:val="none"/>
        </w:rPr>
        <w:fldChar w:fldCharType="begin"/>
      </w:r>
      <w:r>
        <w:rPr>
          <w:color w:val="auto"/>
          <w:highlight w:val="none"/>
        </w:rPr>
        <w:instrText xml:space="preserve"> HYPERLINK "http://www.zzsggzy.com/" \h </w:instrText>
      </w:r>
      <w:r>
        <w:rPr>
          <w:color w:val="auto"/>
          <w:highlight w:val="none"/>
        </w:rPr>
        <w:fldChar w:fldCharType="separate"/>
      </w:r>
      <w:r>
        <w:rPr>
          <w:rFonts w:hint="eastAsia"/>
          <w:color w:val="auto"/>
          <w:highlight w:val="none"/>
        </w:rPr>
        <w:t>www.zzsggzy.com/</w:t>
      </w:r>
      <w:r>
        <w:rPr>
          <w:rFonts w:hint="eastAsia"/>
          <w:color w:val="auto"/>
          <w:highlight w:val="none"/>
        </w:rPr>
        <w:fldChar w:fldCharType="end"/>
      </w:r>
      <w:r>
        <w:rPr>
          <w:rFonts w:hint="eastAsia"/>
          <w:color w:val="auto"/>
          <w:highlight w:val="none"/>
        </w:rPr>
        <w:t>）交易平台，凭企业身份CA锁进入网上业务系统按照《中华人民共和国财政部第94号令》规定提出并通知采购代理机构</w:t>
      </w:r>
    </w:p>
    <w:p w14:paraId="5DC27665">
      <w:pPr>
        <w:spacing w:line="360" w:lineRule="auto"/>
        <w:ind w:firstLine="442" w:firstLineChars="200"/>
        <w:rPr>
          <w:b/>
          <w:bCs/>
          <w:color w:val="auto"/>
          <w:highlight w:val="none"/>
        </w:rPr>
      </w:pPr>
      <w:bookmarkStart w:id="35" w:name="_bookmark5"/>
      <w:bookmarkEnd w:id="35"/>
      <w:bookmarkStart w:id="36" w:name="3.投标文件的编写"/>
      <w:bookmarkEnd w:id="36"/>
      <w:r>
        <w:rPr>
          <w:rFonts w:hint="eastAsia"/>
          <w:b/>
          <w:bCs/>
          <w:color w:val="auto"/>
          <w:highlight w:val="none"/>
          <w:lang w:val="en-US"/>
        </w:rPr>
        <w:t>3.</w:t>
      </w:r>
      <w:r>
        <w:rPr>
          <w:rFonts w:hint="eastAsia"/>
          <w:b/>
          <w:bCs/>
          <w:color w:val="auto"/>
          <w:highlight w:val="none"/>
        </w:rPr>
        <w:t>投标文件的编写</w:t>
      </w:r>
    </w:p>
    <w:p w14:paraId="13EE30A0">
      <w:pPr>
        <w:spacing w:line="360" w:lineRule="auto"/>
        <w:ind w:firstLine="442" w:firstLineChars="200"/>
        <w:rPr>
          <w:b/>
          <w:bCs/>
          <w:color w:val="auto"/>
          <w:highlight w:val="none"/>
        </w:rPr>
      </w:pPr>
      <w:bookmarkStart w:id="37" w:name="3.1投标语言"/>
      <w:bookmarkEnd w:id="37"/>
      <w:r>
        <w:rPr>
          <w:rFonts w:hint="eastAsia"/>
          <w:b/>
          <w:bCs/>
          <w:color w:val="auto"/>
          <w:highlight w:val="none"/>
          <w:lang w:val="en-US"/>
        </w:rPr>
        <w:t>3.1</w:t>
      </w:r>
      <w:r>
        <w:rPr>
          <w:rFonts w:hint="eastAsia"/>
          <w:b/>
          <w:bCs/>
          <w:color w:val="auto"/>
          <w:highlight w:val="none"/>
        </w:rPr>
        <w:t>投标语言</w:t>
      </w:r>
    </w:p>
    <w:p w14:paraId="777D6F8F">
      <w:pPr>
        <w:spacing w:line="360" w:lineRule="auto"/>
        <w:ind w:firstLine="440" w:firstLineChars="200"/>
        <w:rPr>
          <w:color w:val="auto"/>
          <w:highlight w:val="none"/>
        </w:rPr>
      </w:pPr>
      <w:r>
        <w:rPr>
          <w:rFonts w:hint="eastAsia"/>
          <w:color w:val="auto"/>
          <w:highlight w:val="none"/>
        </w:rPr>
        <w:t>投标文件以及投标人所有与采购人及采购代理机构就投标来往的函电均使用中文。投标人提供的外文资料应附有相应的中文译本，并以中文译本为准。</w:t>
      </w:r>
    </w:p>
    <w:p w14:paraId="67C52060">
      <w:pPr>
        <w:spacing w:line="360" w:lineRule="auto"/>
        <w:ind w:firstLine="442" w:firstLineChars="200"/>
        <w:rPr>
          <w:b/>
          <w:bCs/>
          <w:color w:val="auto"/>
          <w:highlight w:val="none"/>
        </w:rPr>
      </w:pPr>
      <w:bookmarkStart w:id="38" w:name="3.2投标文件计量单位"/>
      <w:bookmarkEnd w:id="38"/>
      <w:r>
        <w:rPr>
          <w:rFonts w:hint="eastAsia"/>
          <w:b/>
          <w:bCs/>
          <w:color w:val="auto"/>
          <w:highlight w:val="none"/>
          <w:lang w:val="en-US"/>
        </w:rPr>
        <w:t>3.2</w:t>
      </w:r>
      <w:r>
        <w:rPr>
          <w:rFonts w:hint="eastAsia"/>
          <w:b/>
          <w:bCs/>
          <w:color w:val="auto"/>
          <w:highlight w:val="none"/>
        </w:rPr>
        <w:t>投标文件计量单位</w:t>
      </w:r>
    </w:p>
    <w:p w14:paraId="47E49AF8">
      <w:pPr>
        <w:spacing w:line="360" w:lineRule="auto"/>
        <w:ind w:firstLine="440" w:firstLineChars="200"/>
        <w:rPr>
          <w:color w:val="auto"/>
          <w:highlight w:val="none"/>
        </w:rPr>
      </w:pPr>
      <w:r>
        <w:rPr>
          <w:rFonts w:hint="eastAsia"/>
          <w:color w:val="auto"/>
          <w:highlight w:val="none"/>
        </w:rPr>
        <w:t>除在招标文件的技术文件中另有规定外，计量单位均使用公制计量单位。</w:t>
      </w:r>
    </w:p>
    <w:p w14:paraId="1115B08B">
      <w:pPr>
        <w:spacing w:line="360" w:lineRule="auto"/>
        <w:ind w:firstLine="442" w:firstLineChars="200"/>
        <w:rPr>
          <w:b/>
          <w:bCs/>
          <w:color w:val="auto"/>
          <w:highlight w:val="none"/>
        </w:rPr>
      </w:pPr>
      <w:bookmarkStart w:id="39" w:name="3.3投标文件的组成"/>
      <w:bookmarkEnd w:id="39"/>
      <w:r>
        <w:rPr>
          <w:rFonts w:hint="eastAsia"/>
          <w:b/>
          <w:bCs/>
          <w:color w:val="auto"/>
          <w:highlight w:val="none"/>
          <w:lang w:val="en-US"/>
        </w:rPr>
        <w:t>3.3</w:t>
      </w:r>
      <w:r>
        <w:rPr>
          <w:rFonts w:hint="eastAsia"/>
          <w:b/>
          <w:bCs/>
          <w:color w:val="auto"/>
          <w:highlight w:val="none"/>
        </w:rPr>
        <w:t>投标文件的组成</w:t>
      </w:r>
    </w:p>
    <w:p w14:paraId="1B1177D6">
      <w:pPr>
        <w:spacing w:line="360" w:lineRule="auto"/>
        <w:ind w:firstLine="440" w:firstLineChars="200"/>
        <w:rPr>
          <w:color w:val="auto"/>
          <w:highlight w:val="none"/>
        </w:rPr>
      </w:pPr>
      <w:r>
        <w:rPr>
          <w:rFonts w:hint="eastAsia"/>
          <w:color w:val="auto"/>
          <w:highlight w:val="none"/>
        </w:rPr>
        <w:t>投标文件包括下列部分：</w:t>
      </w:r>
    </w:p>
    <w:p w14:paraId="3DB55594">
      <w:pPr>
        <w:spacing w:line="360" w:lineRule="auto"/>
        <w:ind w:firstLine="440" w:firstLineChars="200"/>
        <w:rPr>
          <w:color w:val="auto"/>
          <w:highlight w:val="none"/>
        </w:rPr>
      </w:pPr>
      <w:r>
        <w:rPr>
          <w:rFonts w:hint="eastAsia"/>
          <w:color w:val="auto"/>
          <w:highlight w:val="none"/>
          <w:lang w:val="en-US"/>
        </w:rPr>
        <w:t>（1）</w:t>
      </w:r>
      <w:r>
        <w:rPr>
          <w:rFonts w:hint="eastAsia"/>
          <w:color w:val="auto"/>
          <w:highlight w:val="none"/>
        </w:rPr>
        <w:t>资格审查资料</w:t>
      </w:r>
    </w:p>
    <w:p w14:paraId="4C1D1535">
      <w:pPr>
        <w:spacing w:line="360" w:lineRule="auto"/>
        <w:ind w:firstLine="440" w:firstLineChars="200"/>
        <w:rPr>
          <w:color w:val="auto"/>
          <w:highlight w:val="none"/>
        </w:rPr>
      </w:pPr>
      <w:r>
        <w:rPr>
          <w:rFonts w:hint="eastAsia"/>
          <w:color w:val="auto"/>
          <w:highlight w:val="none"/>
          <w:lang w:val="en-US"/>
        </w:rPr>
        <w:t>（2）</w:t>
      </w:r>
      <w:r>
        <w:rPr>
          <w:rFonts w:hint="eastAsia"/>
          <w:color w:val="auto"/>
          <w:highlight w:val="none"/>
        </w:rPr>
        <w:t>投标函及报价表</w:t>
      </w:r>
    </w:p>
    <w:p w14:paraId="2DEC7A95">
      <w:pPr>
        <w:spacing w:line="360" w:lineRule="auto"/>
        <w:ind w:firstLine="440" w:firstLineChars="200"/>
        <w:rPr>
          <w:color w:val="auto"/>
          <w:highlight w:val="none"/>
        </w:rPr>
      </w:pPr>
      <w:r>
        <w:rPr>
          <w:rFonts w:hint="eastAsia"/>
          <w:color w:val="auto"/>
          <w:highlight w:val="none"/>
          <w:lang w:val="en-US"/>
        </w:rPr>
        <w:t>（3）</w:t>
      </w:r>
      <w:r>
        <w:rPr>
          <w:rFonts w:hint="eastAsia"/>
          <w:color w:val="auto"/>
          <w:highlight w:val="none"/>
        </w:rPr>
        <w:t>承诺函</w:t>
      </w:r>
    </w:p>
    <w:p w14:paraId="7CAE7B29">
      <w:pPr>
        <w:spacing w:line="360" w:lineRule="auto"/>
        <w:ind w:firstLine="440" w:firstLineChars="200"/>
        <w:rPr>
          <w:color w:val="auto"/>
          <w:highlight w:val="none"/>
        </w:rPr>
      </w:pPr>
      <w:r>
        <w:rPr>
          <w:rFonts w:hint="eastAsia"/>
          <w:color w:val="auto"/>
          <w:highlight w:val="none"/>
          <w:lang w:val="en-US"/>
        </w:rPr>
        <w:t>（4）</w:t>
      </w:r>
      <w:r>
        <w:rPr>
          <w:rFonts w:hint="eastAsia"/>
          <w:color w:val="auto"/>
          <w:highlight w:val="none"/>
        </w:rPr>
        <w:t>法定代表人身份证明及法定代表人授权书</w:t>
      </w:r>
    </w:p>
    <w:p w14:paraId="546AA3D1">
      <w:pPr>
        <w:spacing w:line="360" w:lineRule="auto"/>
        <w:ind w:firstLine="440" w:firstLineChars="200"/>
        <w:rPr>
          <w:color w:val="auto"/>
          <w:highlight w:val="none"/>
        </w:rPr>
      </w:pPr>
      <w:r>
        <w:rPr>
          <w:rFonts w:hint="eastAsia"/>
          <w:color w:val="auto"/>
          <w:highlight w:val="none"/>
          <w:lang w:val="en-US"/>
        </w:rPr>
        <w:t>（5）</w:t>
      </w:r>
      <w:r>
        <w:rPr>
          <w:rFonts w:hint="eastAsia"/>
          <w:color w:val="auto"/>
          <w:highlight w:val="none"/>
        </w:rPr>
        <w:t>商务条款/技术规格偏差一览表</w:t>
      </w:r>
    </w:p>
    <w:p w14:paraId="7AEB673F">
      <w:pPr>
        <w:spacing w:line="360" w:lineRule="auto"/>
        <w:ind w:firstLine="440" w:firstLineChars="200"/>
        <w:rPr>
          <w:color w:val="auto"/>
          <w:highlight w:val="none"/>
        </w:rPr>
      </w:pPr>
      <w:r>
        <w:rPr>
          <w:rFonts w:hint="eastAsia"/>
          <w:color w:val="auto"/>
          <w:highlight w:val="none"/>
          <w:lang w:val="en-US"/>
        </w:rPr>
        <w:t>（6）商务技术及服务响应</w:t>
      </w:r>
    </w:p>
    <w:p w14:paraId="17EC00FC">
      <w:pPr>
        <w:spacing w:line="360" w:lineRule="auto"/>
        <w:ind w:firstLine="440" w:firstLineChars="200"/>
        <w:rPr>
          <w:color w:val="auto"/>
          <w:highlight w:val="none"/>
        </w:rPr>
      </w:pPr>
      <w:r>
        <w:rPr>
          <w:rFonts w:hint="eastAsia"/>
          <w:color w:val="auto"/>
          <w:highlight w:val="none"/>
          <w:lang w:val="en-US"/>
        </w:rPr>
        <w:t>（7）</w:t>
      </w:r>
      <w:r>
        <w:rPr>
          <w:rFonts w:hint="eastAsia"/>
          <w:color w:val="auto"/>
          <w:highlight w:val="none"/>
        </w:rPr>
        <w:t>项目团队</w:t>
      </w:r>
    </w:p>
    <w:p w14:paraId="5C6FC7A4">
      <w:pPr>
        <w:spacing w:line="360" w:lineRule="auto"/>
        <w:ind w:firstLine="440" w:firstLineChars="200"/>
        <w:rPr>
          <w:color w:val="auto"/>
          <w:highlight w:val="none"/>
        </w:rPr>
      </w:pPr>
      <w:r>
        <w:rPr>
          <w:rFonts w:hint="eastAsia"/>
          <w:color w:val="auto"/>
          <w:highlight w:val="none"/>
          <w:lang w:val="en-US"/>
        </w:rPr>
        <w:t>（8）声明函</w:t>
      </w:r>
    </w:p>
    <w:p w14:paraId="15E39812">
      <w:pPr>
        <w:spacing w:line="360" w:lineRule="auto"/>
        <w:ind w:firstLine="440" w:firstLineChars="200"/>
        <w:rPr>
          <w:color w:val="auto"/>
          <w:highlight w:val="none"/>
          <w:lang w:val="en-US"/>
        </w:rPr>
      </w:pPr>
      <w:r>
        <w:rPr>
          <w:rFonts w:hint="eastAsia"/>
          <w:color w:val="auto"/>
          <w:highlight w:val="none"/>
          <w:lang w:val="en-US"/>
        </w:rPr>
        <w:t>（9）</w:t>
      </w:r>
      <w:r>
        <w:rPr>
          <w:rFonts w:hint="eastAsia"/>
          <w:color w:val="auto"/>
          <w:highlight w:val="none"/>
        </w:rPr>
        <w:t>其他资料</w:t>
      </w:r>
    </w:p>
    <w:p w14:paraId="7FF3751F">
      <w:pPr>
        <w:spacing w:line="360" w:lineRule="auto"/>
        <w:ind w:firstLine="442" w:firstLineChars="200"/>
        <w:rPr>
          <w:b/>
          <w:bCs/>
          <w:color w:val="auto"/>
          <w:highlight w:val="none"/>
        </w:rPr>
      </w:pPr>
      <w:bookmarkStart w:id="40" w:name="3.4投标格式"/>
      <w:bookmarkEnd w:id="40"/>
      <w:r>
        <w:rPr>
          <w:rFonts w:hint="eastAsia"/>
          <w:b/>
          <w:bCs/>
          <w:color w:val="auto"/>
          <w:highlight w:val="none"/>
          <w:lang w:val="en-US"/>
        </w:rPr>
        <w:t>3.4</w:t>
      </w:r>
      <w:r>
        <w:rPr>
          <w:rFonts w:hint="eastAsia"/>
          <w:b/>
          <w:bCs/>
          <w:color w:val="auto"/>
          <w:highlight w:val="none"/>
        </w:rPr>
        <w:t>投标格式</w:t>
      </w:r>
    </w:p>
    <w:p w14:paraId="38D98E12">
      <w:pPr>
        <w:spacing w:line="360" w:lineRule="auto"/>
        <w:ind w:firstLine="440" w:firstLineChars="200"/>
        <w:rPr>
          <w:color w:val="auto"/>
          <w:highlight w:val="none"/>
        </w:rPr>
      </w:pPr>
      <w:r>
        <w:rPr>
          <w:rFonts w:hint="eastAsia"/>
          <w:color w:val="auto"/>
          <w:highlight w:val="none"/>
        </w:rPr>
        <w:t>投标人应按照招标文件中提供的格式要求如实填写投标函、投标报价表、商务条款/技术规格偏差一览表。</w:t>
      </w:r>
    </w:p>
    <w:p w14:paraId="39916141">
      <w:pPr>
        <w:spacing w:line="360" w:lineRule="auto"/>
        <w:ind w:firstLine="442" w:firstLineChars="200"/>
        <w:rPr>
          <w:b/>
          <w:bCs/>
          <w:color w:val="auto"/>
          <w:highlight w:val="none"/>
        </w:rPr>
      </w:pPr>
      <w:bookmarkStart w:id="41" w:name="3.5投标报价"/>
      <w:bookmarkEnd w:id="41"/>
      <w:r>
        <w:rPr>
          <w:rFonts w:hint="eastAsia"/>
          <w:b/>
          <w:bCs/>
          <w:color w:val="auto"/>
          <w:highlight w:val="none"/>
          <w:lang w:val="en-US"/>
        </w:rPr>
        <w:t>3.5</w:t>
      </w:r>
      <w:r>
        <w:rPr>
          <w:rFonts w:hint="eastAsia"/>
          <w:b/>
          <w:bCs/>
          <w:color w:val="auto"/>
          <w:highlight w:val="none"/>
        </w:rPr>
        <w:t>投标报价</w:t>
      </w:r>
    </w:p>
    <w:p w14:paraId="41F12BAB">
      <w:pPr>
        <w:spacing w:line="360" w:lineRule="auto"/>
        <w:ind w:firstLine="440" w:firstLineChars="200"/>
        <w:rPr>
          <w:color w:val="auto"/>
          <w:highlight w:val="none"/>
        </w:rPr>
      </w:pPr>
      <w:r>
        <w:rPr>
          <w:rFonts w:hint="eastAsia"/>
          <w:color w:val="auto"/>
          <w:highlight w:val="none"/>
          <w:lang w:val="en-US"/>
        </w:rPr>
        <w:t>3.5.1</w:t>
      </w:r>
      <w:r>
        <w:rPr>
          <w:rFonts w:hint="eastAsia"/>
          <w:color w:val="auto"/>
          <w:highlight w:val="none"/>
        </w:rPr>
        <w:t>报价应包括国家规定的税金。投标人应按第四章“投标文件格式”的要求在投标函及投标函附录进行报价。</w:t>
      </w:r>
    </w:p>
    <w:p w14:paraId="62687122">
      <w:pPr>
        <w:spacing w:line="360" w:lineRule="auto"/>
        <w:ind w:firstLine="440" w:firstLineChars="200"/>
        <w:rPr>
          <w:color w:val="auto"/>
          <w:highlight w:val="none"/>
        </w:rPr>
      </w:pPr>
      <w:r>
        <w:rPr>
          <w:rFonts w:hint="eastAsia"/>
          <w:color w:val="auto"/>
          <w:highlight w:val="none"/>
          <w:lang w:val="en-US"/>
        </w:rPr>
        <w:t>3.5.2</w:t>
      </w:r>
      <w:r>
        <w:rPr>
          <w:rFonts w:hint="eastAsia"/>
          <w:color w:val="auto"/>
          <w:highlight w:val="none"/>
        </w:rPr>
        <w:t>投标人应充分了解该项目的总体情况以及影响报价的其他要素。</w:t>
      </w:r>
    </w:p>
    <w:p w14:paraId="4886F8B6">
      <w:pPr>
        <w:spacing w:line="360" w:lineRule="auto"/>
        <w:ind w:firstLine="440" w:firstLineChars="200"/>
        <w:rPr>
          <w:color w:val="auto"/>
          <w:highlight w:val="none"/>
        </w:rPr>
      </w:pPr>
      <w:r>
        <w:rPr>
          <w:rFonts w:hint="eastAsia"/>
          <w:color w:val="auto"/>
          <w:highlight w:val="none"/>
          <w:lang w:val="en-US"/>
        </w:rPr>
        <w:t>3.5.3</w:t>
      </w:r>
      <w:r>
        <w:rPr>
          <w:rFonts w:hint="eastAsia"/>
          <w:color w:val="auto"/>
          <w:highlight w:val="none"/>
        </w:rPr>
        <w:t>投标总报价应是</w:t>
      </w:r>
      <w:r>
        <w:rPr>
          <w:rFonts w:hint="eastAsia"/>
          <w:color w:val="auto"/>
          <w:highlight w:val="none"/>
          <w:lang w:val="en-US"/>
        </w:rPr>
        <w:t>包括货物设计、材料、制造、包装、运输、安装、调试、检测、验收合格交付使用之前及保修期内保修服务与备用物件等所有其他有关各项的含税费用</w:t>
      </w:r>
      <w:r>
        <w:rPr>
          <w:rFonts w:hint="eastAsia"/>
          <w:color w:val="auto"/>
          <w:highlight w:val="none"/>
        </w:rPr>
        <w:t>。</w:t>
      </w:r>
    </w:p>
    <w:p w14:paraId="7D0F7864">
      <w:pPr>
        <w:spacing w:line="360" w:lineRule="auto"/>
        <w:ind w:firstLine="440" w:firstLineChars="200"/>
        <w:rPr>
          <w:color w:val="auto"/>
          <w:highlight w:val="none"/>
        </w:rPr>
      </w:pPr>
      <w:r>
        <w:rPr>
          <w:rFonts w:hint="eastAsia"/>
          <w:color w:val="auto"/>
          <w:highlight w:val="none"/>
          <w:lang w:val="en-US"/>
        </w:rPr>
        <w:t>3.5.4</w:t>
      </w:r>
      <w:r>
        <w:rPr>
          <w:rFonts w:hint="eastAsia"/>
          <w:color w:val="auto"/>
          <w:highlight w:val="none"/>
        </w:rPr>
        <w:t>报价的其他要求见投标人须知前附表。</w:t>
      </w:r>
    </w:p>
    <w:p w14:paraId="413642F2">
      <w:pPr>
        <w:spacing w:line="360" w:lineRule="auto"/>
        <w:ind w:firstLine="442" w:firstLineChars="200"/>
        <w:rPr>
          <w:b/>
          <w:bCs/>
          <w:color w:val="auto"/>
          <w:highlight w:val="none"/>
        </w:rPr>
      </w:pPr>
      <w:bookmarkStart w:id="42" w:name="3.6投标人资格的证明文件"/>
      <w:bookmarkEnd w:id="42"/>
      <w:r>
        <w:rPr>
          <w:rFonts w:hint="eastAsia"/>
          <w:b/>
          <w:bCs/>
          <w:color w:val="auto"/>
          <w:highlight w:val="none"/>
          <w:lang w:val="en-US"/>
        </w:rPr>
        <w:t>3.6</w:t>
      </w:r>
      <w:r>
        <w:rPr>
          <w:rFonts w:hint="eastAsia"/>
          <w:b/>
          <w:bCs/>
          <w:color w:val="auto"/>
          <w:highlight w:val="none"/>
        </w:rPr>
        <w:t>投标人资格的证明文件</w:t>
      </w:r>
    </w:p>
    <w:p w14:paraId="343DE02B">
      <w:pPr>
        <w:spacing w:line="360" w:lineRule="auto"/>
        <w:ind w:firstLine="440" w:firstLineChars="200"/>
        <w:rPr>
          <w:color w:val="auto"/>
          <w:highlight w:val="none"/>
        </w:rPr>
      </w:pPr>
      <w:r>
        <w:rPr>
          <w:rFonts w:hint="eastAsia"/>
          <w:color w:val="auto"/>
          <w:highlight w:val="none"/>
        </w:rPr>
        <w:t>依据第二章“投标人须知前附表”中的要求提交相应的资格证明文件，作为投标文件的一部分，以证明其有资格进行投标和有能力履行合同。</w:t>
      </w:r>
    </w:p>
    <w:p w14:paraId="01720232">
      <w:pPr>
        <w:spacing w:line="360" w:lineRule="auto"/>
        <w:ind w:firstLine="442" w:firstLineChars="200"/>
        <w:rPr>
          <w:b/>
          <w:bCs/>
          <w:color w:val="auto"/>
          <w:highlight w:val="none"/>
        </w:rPr>
      </w:pPr>
      <w:bookmarkStart w:id="43" w:name="3.7证明拟提供服务符合采购文件技术要求的文件"/>
      <w:bookmarkEnd w:id="43"/>
      <w:r>
        <w:rPr>
          <w:rFonts w:hint="eastAsia"/>
          <w:b/>
          <w:bCs/>
          <w:color w:val="auto"/>
          <w:highlight w:val="none"/>
          <w:lang w:val="en-US"/>
        </w:rPr>
        <w:t>3.7</w:t>
      </w:r>
      <w:r>
        <w:rPr>
          <w:rFonts w:hint="eastAsia"/>
          <w:b/>
          <w:bCs/>
          <w:color w:val="auto"/>
          <w:highlight w:val="none"/>
        </w:rPr>
        <w:t>证明拟提供服务符合采购文件技术要求的文件</w:t>
      </w:r>
    </w:p>
    <w:p w14:paraId="666C7900">
      <w:pPr>
        <w:spacing w:line="360" w:lineRule="auto"/>
        <w:ind w:firstLine="440" w:firstLineChars="200"/>
        <w:rPr>
          <w:color w:val="auto"/>
          <w:highlight w:val="none"/>
        </w:rPr>
      </w:pPr>
      <w:r>
        <w:rPr>
          <w:rFonts w:hint="eastAsia"/>
          <w:color w:val="auto"/>
          <w:highlight w:val="none"/>
          <w:lang w:val="en-US"/>
        </w:rPr>
        <w:t>3.7.1</w:t>
      </w:r>
      <w:r>
        <w:rPr>
          <w:rFonts w:hint="eastAsia"/>
          <w:color w:val="auto"/>
          <w:highlight w:val="none"/>
        </w:rPr>
        <w:t>投标人应提交证明其拟供服务符合采购文件规定的技术响应文件，作为投标文件的一部分。</w:t>
      </w:r>
    </w:p>
    <w:p w14:paraId="67A13520">
      <w:pPr>
        <w:spacing w:line="360" w:lineRule="auto"/>
        <w:ind w:firstLine="440" w:firstLineChars="200"/>
        <w:rPr>
          <w:color w:val="auto"/>
          <w:highlight w:val="none"/>
        </w:rPr>
      </w:pPr>
      <w:r>
        <w:rPr>
          <w:rFonts w:hint="eastAsia"/>
          <w:color w:val="auto"/>
          <w:highlight w:val="none"/>
          <w:lang w:val="en-US"/>
        </w:rPr>
        <w:t>3.7.2</w:t>
      </w:r>
      <w:r>
        <w:rPr>
          <w:rFonts w:hint="eastAsia"/>
          <w:color w:val="auto"/>
          <w:highlight w:val="none"/>
        </w:rPr>
        <w:t>投标人应对招标文件技术要求逐条应答，并标明与招标文件条文的偏差和例外。</w:t>
      </w:r>
    </w:p>
    <w:p w14:paraId="6C58DE2D">
      <w:pPr>
        <w:spacing w:line="360" w:lineRule="auto"/>
        <w:ind w:firstLine="442" w:firstLineChars="200"/>
        <w:rPr>
          <w:b/>
          <w:bCs/>
          <w:color w:val="auto"/>
          <w:highlight w:val="none"/>
        </w:rPr>
      </w:pPr>
      <w:bookmarkStart w:id="44" w:name="3.8投标保证金"/>
      <w:bookmarkEnd w:id="44"/>
      <w:r>
        <w:rPr>
          <w:rFonts w:hint="eastAsia"/>
          <w:b/>
          <w:bCs/>
          <w:color w:val="auto"/>
          <w:highlight w:val="none"/>
          <w:lang w:val="en-US"/>
        </w:rPr>
        <w:t>3.8</w:t>
      </w:r>
      <w:r>
        <w:rPr>
          <w:rFonts w:hint="eastAsia"/>
          <w:b/>
          <w:bCs/>
          <w:color w:val="auto"/>
          <w:highlight w:val="none"/>
        </w:rPr>
        <w:t>投标保证金</w:t>
      </w:r>
    </w:p>
    <w:p w14:paraId="3F32F707">
      <w:pPr>
        <w:spacing w:line="360" w:lineRule="auto"/>
        <w:ind w:firstLine="440" w:firstLineChars="200"/>
        <w:rPr>
          <w:color w:val="auto"/>
          <w:highlight w:val="none"/>
        </w:rPr>
      </w:pPr>
      <w:r>
        <w:rPr>
          <w:rFonts w:hint="eastAsia"/>
          <w:color w:val="auto"/>
          <w:highlight w:val="none"/>
        </w:rPr>
        <w:t>按第二章“投标人须知前附表”中规定。</w:t>
      </w:r>
    </w:p>
    <w:p w14:paraId="521ADE36">
      <w:pPr>
        <w:spacing w:line="360" w:lineRule="auto"/>
        <w:ind w:firstLine="442" w:firstLineChars="200"/>
        <w:rPr>
          <w:b/>
          <w:bCs/>
          <w:color w:val="auto"/>
          <w:highlight w:val="none"/>
        </w:rPr>
      </w:pPr>
      <w:bookmarkStart w:id="45" w:name="3.9投标有效期"/>
      <w:bookmarkEnd w:id="45"/>
      <w:r>
        <w:rPr>
          <w:rFonts w:hint="eastAsia"/>
          <w:b/>
          <w:bCs/>
          <w:color w:val="auto"/>
          <w:highlight w:val="none"/>
          <w:lang w:val="en-US"/>
        </w:rPr>
        <w:t>3.9</w:t>
      </w:r>
      <w:r>
        <w:rPr>
          <w:rFonts w:hint="eastAsia"/>
          <w:b/>
          <w:bCs/>
          <w:color w:val="auto"/>
          <w:highlight w:val="none"/>
        </w:rPr>
        <w:t>投标有效期</w:t>
      </w:r>
    </w:p>
    <w:p w14:paraId="26B3434D">
      <w:pPr>
        <w:spacing w:line="360" w:lineRule="auto"/>
        <w:ind w:firstLine="440" w:firstLineChars="200"/>
        <w:rPr>
          <w:color w:val="auto"/>
          <w:highlight w:val="none"/>
        </w:rPr>
      </w:pPr>
      <w:r>
        <w:rPr>
          <w:rFonts w:hint="eastAsia"/>
          <w:color w:val="auto"/>
          <w:highlight w:val="none"/>
          <w:lang w:val="en-US"/>
        </w:rPr>
        <w:t>3.9.1</w:t>
      </w:r>
      <w:r>
        <w:rPr>
          <w:rFonts w:hint="eastAsia"/>
          <w:color w:val="auto"/>
          <w:highlight w:val="none"/>
        </w:rPr>
        <w:t>投标有效期是保障投标、开标、评标、定标以及签订合同全过程时效要求，是招标、投标体现法律效力的前提条件。</w:t>
      </w:r>
    </w:p>
    <w:p w14:paraId="4AA4B9DC">
      <w:pPr>
        <w:spacing w:line="360" w:lineRule="auto"/>
        <w:ind w:firstLine="440" w:firstLineChars="200"/>
        <w:rPr>
          <w:color w:val="auto"/>
          <w:highlight w:val="none"/>
        </w:rPr>
      </w:pPr>
      <w:r>
        <w:rPr>
          <w:rFonts w:hint="eastAsia"/>
          <w:color w:val="auto"/>
          <w:highlight w:val="none"/>
          <w:lang w:val="en-US"/>
        </w:rPr>
        <w:t>3.9.2</w:t>
      </w:r>
      <w:r>
        <w:rPr>
          <w:rFonts w:hint="eastAsia"/>
          <w:color w:val="auto"/>
          <w:highlight w:val="none"/>
        </w:rPr>
        <w:t>投标文件应自投标规定的开标日起，在第二章“投标人须知前附表”规定的时间内保持有效。</w:t>
      </w:r>
    </w:p>
    <w:p w14:paraId="15DB5438">
      <w:pPr>
        <w:spacing w:line="360" w:lineRule="auto"/>
        <w:ind w:firstLine="440" w:firstLineChars="200"/>
        <w:rPr>
          <w:color w:val="auto"/>
          <w:highlight w:val="none"/>
        </w:rPr>
      </w:pPr>
      <w:r>
        <w:rPr>
          <w:rFonts w:hint="eastAsia"/>
          <w:color w:val="auto"/>
          <w:highlight w:val="none"/>
          <w:lang w:val="en-US"/>
        </w:rPr>
        <w:t>3.9.3</w:t>
      </w:r>
      <w:r>
        <w:rPr>
          <w:rFonts w:hint="eastAsia"/>
          <w:color w:val="auto"/>
          <w:highlight w:val="none"/>
        </w:rPr>
        <w:t>在特殊情况下，采购人和采购代理机构可征求投标人同意延长投标有效期。这种要求与答复均应以书面形式提交。</w:t>
      </w:r>
    </w:p>
    <w:p w14:paraId="26562A28">
      <w:pPr>
        <w:spacing w:line="360" w:lineRule="auto"/>
        <w:ind w:firstLine="442" w:firstLineChars="200"/>
        <w:rPr>
          <w:b/>
          <w:bCs/>
          <w:color w:val="auto"/>
          <w:highlight w:val="none"/>
        </w:rPr>
      </w:pPr>
      <w:bookmarkStart w:id="46" w:name="3.10_投标文件的编制"/>
      <w:bookmarkEnd w:id="46"/>
      <w:r>
        <w:rPr>
          <w:rFonts w:hint="eastAsia"/>
          <w:b/>
          <w:bCs/>
          <w:color w:val="auto"/>
          <w:highlight w:val="none"/>
          <w:lang w:val="en-US"/>
        </w:rPr>
        <w:t>3.10</w:t>
      </w:r>
      <w:r>
        <w:rPr>
          <w:rFonts w:hint="eastAsia"/>
          <w:b/>
          <w:bCs/>
          <w:color w:val="auto"/>
          <w:highlight w:val="none"/>
        </w:rPr>
        <w:t>投标文件的编制</w:t>
      </w:r>
    </w:p>
    <w:p w14:paraId="13A5CFE1">
      <w:pPr>
        <w:spacing w:line="360" w:lineRule="auto"/>
        <w:ind w:firstLine="440" w:firstLineChars="200"/>
        <w:rPr>
          <w:color w:val="auto"/>
          <w:highlight w:val="none"/>
        </w:rPr>
      </w:pPr>
      <w:r>
        <w:rPr>
          <w:rFonts w:hint="eastAsia"/>
          <w:color w:val="auto"/>
          <w:highlight w:val="none"/>
          <w:lang w:val="en-US"/>
        </w:rPr>
        <w:t>3.10.1</w:t>
      </w:r>
      <w:r>
        <w:rPr>
          <w:rFonts w:hint="eastAsia"/>
          <w:color w:val="auto"/>
          <w:highlight w:val="none"/>
        </w:rPr>
        <w:t>投标文件应按第四章“投标文件格式”进行编写，如有必要，可以增加附页，作为投标文件的组成部分。</w:t>
      </w:r>
    </w:p>
    <w:p w14:paraId="00909A75">
      <w:pPr>
        <w:spacing w:line="360" w:lineRule="auto"/>
        <w:ind w:firstLine="440" w:firstLineChars="200"/>
        <w:rPr>
          <w:color w:val="auto"/>
          <w:highlight w:val="none"/>
        </w:rPr>
      </w:pPr>
      <w:r>
        <w:rPr>
          <w:rFonts w:hint="eastAsia"/>
          <w:color w:val="auto"/>
          <w:highlight w:val="none"/>
          <w:lang w:val="en-US"/>
        </w:rPr>
        <w:t>3.10.2</w:t>
      </w:r>
      <w:r>
        <w:rPr>
          <w:rFonts w:hint="eastAsia"/>
          <w:color w:val="auto"/>
          <w:highlight w:val="none"/>
        </w:rPr>
        <w:t>投标文件应当对招标文件有关质保期、投标有效期、采购内容等实质性内容作出响应。投标文件在满足招标文件实质性要求的基础上，可以提出比招标文件要求更有利于采购人的承诺。</w:t>
      </w:r>
    </w:p>
    <w:p w14:paraId="223658A2">
      <w:pPr>
        <w:spacing w:line="360" w:lineRule="auto"/>
        <w:ind w:firstLine="440" w:firstLineChars="200"/>
        <w:rPr>
          <w:color w:val="auto"/>
          <w:highlight w:val="none"/>
        </w:rPr>
      </w:pPr>
      <w:r>
        <w:rPr>
          <w:rFonts w:hint="eastAsia"/>
          <w:color w:val="auto"/>
          <w:highlight w:val="none"/>
          <w:lang w:val="en-US"/>
        </w:rPr>
        <w:t>3.10.3</w:t>
      </w:r>
      <w:r>
        <w:rPr>
          <w:rFonts w:hint="eastAsia"/>
          <w:color w:val="auto"/>
          <w:highlight w:val="none"/>
        </w:rPr>
        <w:t>按招标文件要求，需要法定代表人或其</w:t>
      </w:r>
      <w:r>
        <w:rPr>
          <w:rFonts w:hint="eastAsia"/>
          <w:color w:val="auto"/>
          <w:highlight w:val="none"/>
          <w:lang w:eastAsia="zh-CN"/>
        </w:rPr>
        <w:t>授权委托</w:t>
      </w:r>
      <w:r>
        <w:rPr>
          <w:rFonts w:hint="eastAsia"/>
          <w:color w:val="auto"/>
          <w:highlight w:val="none"/>
        </w:rPr>
        <w:t>人签字或盖章的地方以法定代表人 CA 密钥进行电子签章为准；需要投标人盖章的地方以企业 CA 密钥进行电子签章为准；需要除投标人以外第三方签字或盖章的内容，需要先对纸质文件进行实物盖章或签字后再进行扫描插入到电子投标文件中。</w:t>
      </w:r>
    </w:p>
    <w:p w14:paraId="5F281880">
      <w:pPr>
        <w:spacing w:line="360" w:lineRule="auto"/>
        <w:ind w:firstLine="442" w:firstLineChars="200"/>
        <w:rPr>
          <w:b/>
          <w:bCs/>
          <w:color w:val="auto"/>
          <w:highlight w:val="none"/>
        </w:rPr>
      </w:pPr>
      <w:bookmarkStart w:id="47" w:name="_bookmark6"/>
      <w:bookmarkEnd w:id="47"/>
      <w:bookmarkStart w:id="48" w:name="4.投标文件的递交"/>
      <w:bookmarkEnd w:id="48"/>
      <w:r>
        <w:rPr>
          <w:rFonts w:hint="eastAsia"/>
          <w:b/>
          <w:bCs/>
          <w:color w:val="auto"/>
          <w:highlight w:val="none"/>
          <w:lang w:val="en-US"/>
        </w:rPr>
        <w:t>4.</w:t>
      </w:r>
      <w:r>
        <w:rPr>
          <w:rFonts w:hint="eastAsia"/>
          <w:b/>
          <w:bCs/>
          <w:color w:val="auto"/>
          <w:highlight w:val="none"/>
        </w:rPr>
        <w:t>投标文件的递交</w:t>
      </w:r>
    </w:p>
    <w:p w14:paraId="1FA41758">
      <w:pPr>
        <w:spacing w:line="360" w:lineRule="auto"/>
        <w:ind w:firstLine="442" w:firstLineChars="200"/>
        <w:rPr>
          <w:b/>
          <w:bCs/>
          <w:color w:val="auto"/>
          <w:highlight w:val="none"/>
        </w:rPr>
      </w:pPr>
      <w:bookmarkStart w:id="49" w:name="4.1投标文件的递交"/>
      <w:bookmarkEnd w:id="49"/>
      <w:r>
        <w:rPr>
          <w:rFonts w:hint="eastAsia"/>
          <w:b/>
          <w:bCs/>
          <w:color w:val="auto"/>
          <w:highlight w:val="none"/>
          <w:lang w:val="en-US"/>
        </w:rPr>
        <w:t>4.1</w:t>
      </w:r>
      <w:r>
        <w:rPr>
          <w:rFonts w:hint="eastAsia"/>
          <w:b/>
          <w:bCs/>
          <w:color w:val="auto"/>
          <w:highlight w:val="none"/>
        </w:rPr>
        <w:t>投标文件的递交</w:t>
      </w:r>
    </w:p>
    <w:p w14:paraId="4C5E8514">
      <w:pPr>
        <w:spacing w:line="360" w:lineRule="auto"/>
        <w:ind w:firstLine="440" w:firstLineChars="200"/>
        <w:rPr>
          <w:color w:val="auto"/>
          <w:highlight w:val="none"/>
        </w:rPr>
      </w:pPr>
      <w:r>
        <w:rPr>
          <w:rFonts w:hint="eastAsia"/>
          <w:color w:val="auto"/>
          <w:highlight w:val="none"/>
        </w:rPr>
        <w:t>投标人递交投标文件的地点：见投标人须知前附表。</w:t>
      </w:r>
    </w:p>
    <w:p w14:paraId="1E5F5121">
      <w:pPr>
        <w:spacing w:line="360" w:lineRule="auto"/>
        <w:ind w:firstLine="442" w:firstLineChars="200"/>
        <w:rPr>
          <w:b/>
          <w:bCs/>
          <w:color w:val="auto"/>
          <w:highlight w:val="none"/>
        </w:rPr>
      </w:pPr>
      <w:bookmarkStart w:id="50" w:name="4.2投标文件的上传"/>
      <w:bookmarkEnd w:id="50"/>
      <w:r>
        <w:rPr>
          <w:rFonts w:hint="eastAsia"/>
          <w:b/>
          <w:bCs/>
          <w:color w:val="auto"/>
          <w:highlight w:val="none"/>
          <w:lang w:val="en-US"/>
        </w:rPr>
        <w:t>4.2</w:t>
      </w:r>
      <w:r>
        <w:rPr>
          <w:rFonts w:hint="eastAsia"/>
          <w:b/>
          <w:bCs/>
          <w:color w:val="auto"/>
          <w:highlight w:val="none"/>
        </w:rPr>
        <w:t>投标文件的上传</w:t>
      </w:r>
    </w:p>
    <w:p w14:paraId="5667D850">
      <w:pPr>
        <w:spacing w:line="360" w:lineRule="auto"/>
        <w:ind w:firstLine="440" w:firstLineChars="200"/>
        <w:rPr>
          <w:color w:val="auto"/>
          <w:highlight w:val="none"/>
        </w:rPr>
      </w:pPr>
      <w:r>
        <w:rPr>
          <w:rFonts w:hint="eastAsia"/>
          <w:color w:val="auto"/>
          <w:highlight w:val="none"/>
          <w:lang w:val="en-US"/>
        </w:rPr>
        <w:t>4.2.1</w:t>
      </w:r>
      <w:r>
        <w:rPr>
          <w:rFonts w:hint="eastAsia"/>
          <w:color w:val="auto"/>
          <w:highlight w:val="none"/>
        </w:rPr>
        <w:t xml:space="preserve">加密投标文件（.ZZTF 格式）应于投标文件递交截止时间前上传到郑州市公共资源交易中心电子交易平台（ </w:t>
      </w:r>
      <w:r>
        <w:rPr>
          <w:color w:val="auto"/>
          <w:highlight w:val="none"/>
        </w:rPr>
        <w:fldChar w:fldCharType="begin"/>
      </w:r>
      <w:r>
        <w:rPr>
          <w:color w:val="auto"/>
          <w:highlight w:val="none"/>
        </w:rPr>
        <w:instrText xml:space="preserve"> HYPERLINK "http://www.zzsggzy.com/" \h </w:instrText>
      </w:r>
      <w:r>
        <w:rPr>
          <w:color w:val="auto"/>
          <w:highlight w:val="none"/>
        </w:rPr>
        <w:fldChar w:fldCharType="separate"/>
      </w:r>
      <w:r>
        <w:rPr>
          <w:rFonts w:hint="eastAsia"/>
          <w:color w:val="auto"/>
          <w:highlight w:val="none"/>
        </w:rPr>
        <w:t xml:space="preserve">http://www.zzsggzy.com/ </w:t>
      </w:r>
      <w:r>
        <w:rPr>
          <w:rFonts w:hint="eastAsia"/>
          <w:color w:val="auto"/>
          <w:highlight w:val="none"/>
        </w:rPr>
        <w:fldChar w:fldCharType="end"/>
      </w:r>
      <w:r>
        <w:rPr>
          <w:rFonts w:hint="eastAsia"/>
          <w:color w:val="auto"/>
          <w:highlight w:val="none"/>
        </w:rPr>
        <w:t>）上传投标文件菜单中。</w:t>
      </w:r>
    </w:p>
    <w:p w14:paraId="3AAA3598">
      <w:pPr>
        <w:spacing w:line="360" w:lineRule="auto"/>
        <w:ind w:firstLine="440" w:firstLineChars="200"/>
        <w:rPr>
          <w:color w:val="auto"/>
          <w:highlight w:val="none"/>
        </w:rPr>
      </w:pPr>
      <w:r>
        <w:rPr>
          <w:rFonts w:hint="eastAsia"/>
          <w:color w:val="auto"/>
          <w:highlight w:val="none"/>
          <w:lang w:val="en-US"/>
        </w:rPr>
        <w:t>4.2.2</w:t>
      </w:r>
      <w:r>
        <w:rPr>
          <w:rFonts w:hint="eastAsia"/>
          <w:color w:val="auto"/>
          <w:highlight w:val="none"/>
        </w:rPr>
        <w:t>电子投标文件应在招标文件规定的投标文件提交截止时间前成功上传至郑州市公共资源交易系统指定位置。投标人应充分考虑并预留技术处理和上传数据所需时间。加密电子投标文件逾期上传的或者未上传指定地点，采购人不予受理。</w:t>
      </w:r>
    </w:p>
    <w:p w14:paraId="768E0B42">
      <w:pPr>
        <w:spacing w:line="360" w:lineRule="auto"/>
        <w:ind w:firstLine="440" w:firstLineChars="200"/>
        <w:rPr>
          <w:color w:val="auto"/>
          <w:highlight w:val="none"/>
        </w:rPr>
      </w:pPr>
      <w:r>
        <w:rPr>
          <w:rFonts w:hint="eastAsia"/>
          <w:color w:val="auto"/>
          <w:highlight w:val="none"/>
          <w:lang w:val="en-US"/>
        </w:rPr>
        <w:t>4.2.3</w:t>
      </w:r>
      <w:r>
        <w:rPr>
          <w:rFonts w:hint="eastAsia"/>
          <w:color w:val="auto"/>
          <w:highlight w:val="none"/>
        </w:rPr>
        <w:t>投标人应清楚招标文件必须在郑州市公共资源交易中心平台上下载，未经下载仅根据复制的招标文件编制的投标文件，或投标人名称与领取（下载）招标文件时登记的名称不一致的投标文件，均将做否决投标处理。</w:t>
      </w:r>
    </w:p>
    <w:p w14:paraId="0C9B6CB5">
      <w:pPr>
        <w:spacing w:line="360" w:lineRule="auto"/>
        <w:ind w:firstLine="440" w:firstLineChars="200"/>
        <w:rPr>
          <w:color w:val="auto"/>
          <w:highlight w:val="none"/>
        </w:rPr>
      </w:pPr>
      <w:r>
        <w:rPr>
          <w:rFonts w:hint="eastAsia"/>
          <w:color w:val="auto"/>
          <w:highlight w:val="none"/>
          <w:lang w:val="en-US"/>
        </w:rPr>
        <w:t>4.2.4</w:t>
      </w:r>
      <w:r>
        <w:rPr>
          <w:rFonts w:hint="eastAsia"/>
          <w:color w:val="auto"/>
          <w:highlight w:val="none"/>
        </w:rPr>
        <w:t>在投标截止日期之后，投标人不得对其投标做任何实质性条款修改。</w:t>
      </w:r>
    </w:p>
    <w:p w14:paraId="46CB875E">
      <w:pPr>
        <w:spacing w:line="360" w:lineRule="auto"/>
        <w:ind w:firstLine="442" w:firstLineChars="200"/>
        <w:rPr>
          <w:b/>
          <w:bCs/>
          <w:color w:val="auto"/>
          <w:highlight w:val="none"/>
        </w:rPr>
      </w:pPr>
      <w:bookmarkStart w:id="51" w:name="_bookmark7"/>
      <w:bookmarkEnd w:id="51"/>
      <w:bookmarkStart w:id="52" w:name="5.开标"/>
      <w:bookmarkEnd w:id="52"/>
      <w:r>
        <w:rPr>
          <w:rFonts w:hint="eastAsia"/>
          <w:b/>
          <w:bCs/>
          <w:color w:val="auto"/>
          <w:highlight w:val="none"/>
          <w:lang w:val="en-US"/>
        </w:rPr>
        <w:t>5.</w:t>
      </w:r>
      <w:r>
        <w:rPr>
          <w:rFonts w:hint="eastAsia"/>
          <w:b/>
          <w:bCs/>
          <w:color w:val="auto"/>
          <w:highlight w:val="none"/>
        </w:rPr>
        <w:t>开标</w:t>
      </w:r>
    </w:p>
    <w:p w14:paraId="776D10CF">
      <w:pPr>
        <w:spacing w:line="360" w:lineRule="auto"/>
        <w:ind w:firstLine="440" w:firstLineChars="200"/>
        <w:rPr>
          <w:color w:val="auto"/>
          <w:highlight w:val="none"/>
        </w:rPr>
      </w:pPr>
      <w:bookmarkStart w:id="53" w:name="5.1开标"/>
      <w:bookmarkEnd w:id="53"/>
      <w:r>
        <w:rPr>
          <w:rFonts w:hint="eastAsia"/>
          <w:color w:val="auto"/>
          <w:highlight w:val="none"/>
          <w:lang w:val="en-US"/>
        </w:rPr>
        <w:t>5.1</w:t>
      </w:r>
      <w:r>
        <w:rPr>
          <w:rFonts w:hint="eastAsia"/>
          <w:color w:val="auto"/>
          <w:highlight w:val="none"/>
        </w:rPr>
        <w:t>开标时间和地点：见“投标人须知前附表”。</w:t>
      </w:r>
    </w:p>
    <w:p w14:paraId="731BCA3E">
      <w:pPr>
        <w:spacing w:line="360" w:lineRule="auto"/>
        <w:ind w:firstLine="440" w:firstLineChars="200"/>
        <w:rPr>
          <w:color w:val="auto"/>
          <w:highlight w:val="none"/>
        </w:rPr>
      </w:pPr>
      <w:r>
        <w:rPr>
          <w:rFonts w:hint="eastAsia"/>
          <w:color w:val="auto"/>
          <w:highlight w:val="none"/>
          <w:lang w:val="en-US"/>
        </w:rPr>
        <w:t>5.2</w:t>
      </w:r>
      <w:r>
        <w:rPr>
          <w:rFonts w:hint="eastAsia"/>
          <w:color w:val="auto"/>
          <w:highlight w:val="none"/>
        </w:rPr>
        <w:t>开标程序：见“投标人须知前附表”。</w:t>
      </w:r>
    </w:p>
    <w:p w14:paraId="7FC8EC47">
      <w:pPr>
        <w:spacing w:line="360" w:lineRule="auto"/>
        <w:ind w:firstLine="442" w:firstLineChars="200"/>
        <w:rPr>
          <w:b/>
          <w:bCs/>
          <w:color w:val="auto"/>
          <w:highlight w:val="none"/>
        </w:rPr>
      </w:pPr>
      <w:bookmarkStart w:id="54" w:name="6.评标"/>
      <w:bookmarkEnd w:id="54"/>
      <w:bookmarkStart w:id="55" w:name="_bookmark8"/>
      <w:bookmarkEnd w:id="55"/>
      <w:r>
        <w:rPr>
          <w:rFonts w:hint="eastAsia"/>
          <w:b/>
          <w:bCs/>
          <w:color w:val="auto"/>
          <w:highlight w:val="none"/>
          <w:lang w:val="en-US"/>
        </w:rPr>
        <w:t>6.</w:t>
      </w:r>
      <w:r>
        <w:rPr>
          <w:rFonts w:hint="eastAsia"/>
          <w:b/>
          <w:bCs/>
          <w:color w:val="auto"/>
          <w:highlight w:val="none"/>
        </w:rPr>
        <w:t>评标</w:t>
      </w:r>
    </w:p>
    <w:p w14:paraId="09129E4B">
      <w:pPr>
        <w:spacing w:line="360" w:lineRule="auto"/>
        <w:ind w:firstLine="442" w:firstLineChars="200"/>
        <w:rPr>
          <w:b/>
          <w:bCs/>
          <w:color w:val="auto"/>
          <w:highlight w:val="none"/>
        </w:rPr>
      </w:pPr>
      <w:r>
        <w:rPr>
          <w:rFonts w:hint="eastAsia"/>
          <w:b/>
          <w:bCs/>
          <w:color w:val="auto"/>
          <w:highlight w:val="none"/>
          <w:lang w:val="en-US"/>
        </w:rPr>
        <w:t>6.1</w:t>
      </w:r>
      <w:r>
        <w:rPr>
          <w:rFonts w:hint="eastAsia"/>
          <w:b/>
          <w:bCs/>
          <w:color w:val="auto"/>
          <w:highlight w:val="none"/>
        </w:rPr>
        <w:t>评标工作</w:t>
      </w:r>
    </w:p>
    <w:p w14:paraId="5F2001D0">
      <w:pPr>
        <w:spacing w:line="360" w:lineRule="auto"/>
        <w:ind w:firstLine="440" w:firstLineChars="200"/>
        <w:rPr>
          <w:color w:val="auto"/>
          <w:highlight w:val="none"/>
        </w:rPr>
      </w:pPr>
      <w:r>
        <w:rPr>
          <w:rFonts w:hint="eastAsia"/>
          <w:color w:val="auto"/>
          <w:highlight w:val="none"/>
          <w:lang w:val="en-US"/>
        </w:rPr>
        <w:t>6.1.1</w:t>
      </w:r>
      <w:r>
        <w:rPr>
          <w:rFonts w:hint="eastAsia"/>
          <w:color w:val="auto"/>
          <w:highlight w:val="none"/>
        </w:rPr>
        <w:t>评标委员会由采购人代表和评审专家组成，成员人数应当为 5 人以上单数，其中评审专家不得少于成员总数的三分之二，根据《中华人民共和国政府采购法及实施条例》、《政府采购评审专家管理办法》（财库[2003]119 号）、《河南省政府采购专家管理操作规程》从从财政部门专家库中随机抽取。</w:t>
      </w:r>
    </w:p>
    <w:p w14:paraId="7C14B803">
      <w:pPr>
        <w:spacing w:line="360" w:lineRule="auto"/>
        <w:ind w:firstLine="440" w:firstLineChars="200"/>
        <w:rPr>
          <w:color w:val="auto"/>
          <w:highlight w:val="none"/>
        </w:rPr>
      </w:pPr>
      <w:r>
        <w:rPr>
          <w:rFonts w:hint="eastAsia"/>
          <w:color w:val="auto"/>
          <w:highlight w:val="none"/>
          <w:lang w:val="en-US"/>
        </w:rPr>
        <w:t>6.1.2</w:t>
      </w:r>
      <w:r>
        <w:rPr>
          <w:rFonts w:hint="eastAsia"/>
          <w:color w:val="auto"/>
          <w:highlight w:val="none"/>
        </w:rPr>
        <w:t>评标工作由评标委员会（下称评委会）主持，对所有投标人的投标文件进行审评，并依评分由高到低的顺序推荐出 1-3 名中标候选人。</w:t>
      </w:r>
    </w:p>
    <w:p w14:paraId="387370BF">
      <w:pPr>
        <w:spacing w:line="360" w:lineRule="auto"/>
        <w:ind w:firstLine="440" w:firstLineChars="200"/>
        <w:rPr>
          <w:color w:val="auto"/>
          <w:highlight w:val="none"/>
        </w:rPr>
      </w:pPr>
      <w:r>
        <w:rPr>
          <w:rFonts w:hint="eastAsia"/>
          <w:color w:val="auto"/>
          <w:highlight w:val="none"/>
          <w:lang w:val="en-US"/>
        </w:rPr>
        <w:t>6.1.3</w:t>
      </w:r>
      <w:r>
        <w:rPr>
          <w:rFonts w:hint="eastAsia"/>
          <w:color w:val="auto"/>
          <w:highlight w:val="none"/>
        </w:rPr>
        <w:t>依据《政府采购货物和服务招标投标管理办法》(财政部令 87 号)四十四条“公开招标采购项目开标结束后，采购人应当依法对投标人的资格进行审查。”</w:t>
      </w:r>
    </w:p>
    <w:p w14:paraId="31D68201">
      <w:pPr>
        <w:spacing w:line="360" w:lineRule="auto"/>
        <w:ind w:firstLine="442" w:firstLineChars="200"/>
        <w:rPr>
          <w:b/>
          <w:bCs/>
          <w:color w:val="auto"/>
          <w:highlight w:val="none"/>
        </w:rPr>
      </w:pPr>
      <w:r>
        <w:rPr>
          <w:rFonts w:hint="eastAsia"/>
          <w:b/>
          <w:bCs/>
          <w:color w:val="auto"/>
          <w:highlight w:val="none"/>
          <w:lang w:val="en-US"/>
        </w:rPr>
        <w:t>6.2</w:t>
      </w:r>
      <w:r>
        <w:rPr>
          <w:rFonts w:hint="eastAsia"/>
          <w:b/>
          <w:bCs/>
          <w:color w:val="auto"/>
          <w:highlight w:val="none"/>
        </w:rPr>
        <w:t>投标文件的澄清</w:t>
      </w:r>
    </w:p>
    <w:p w14:paraId="7811AFB3">
      <w:pPr>
        <w:spacing w:line="360" w:lineRule="auto"/>
        <w:ind w:firstLine="440" w:firstLineChars="200"/>
        <w:rPr>
          <w:color w:val="auto"/>
          <w:highlight w:val="none"/>
        </w:rPr>
      </w:pPr>
      <w:r>
        <w:rPr>
          <w:rFonts w:hint="eastAsia"/>
          <w:color w:val="auto"/>
          <w:highlight w:val="none"/>
          <w:lang w:val="en-US"/>
        </w:rPr>
        <w:t>6.2.1</w:t>
      </w:r>
      <w:r>
        <w:rPr>
          <w:rFonts w:hint="eastAsia"/>
          <w:color w:val="auto"/>
          <w:highlight w:val="none"/>
        </w:rPr>
        <w:t>在评标过程中，对于投标文件中含义不明确、同类问题表述不一致或者有明显文字和计算错误的内容，评标委员会应当以书面形式要求投标人作出必要的澄清、说明或者补正。</w:t>
      </w:r>
    </w:p>
    <w:p w14:paraId="15B81D76">
      <w:pPr>
        <w:spacing w:line="360" w:lineRule="auto"/>
        <w:ind w:firstLine="440" w:firstLineChars="200"/>
        <w:rPr>
          <w:color w:val="auto"/>
          <w:highlight w:val="none"/>
        </w:rPr>
      </w:pPr>
      <w:r>
        <w:rPr>
          <w:rFonts w:hint="eastAsia"/>
          <w:color w:val="auto"/>
          <w:highlight w:val="none"/>
          <w:lang w:val="en-US"/>
        </w:rPr>
        <w:t>6.2.2</w:t>
      </w:r>
      <w:r>
        <w:rPr>
          <w:rFonts w:hint="eastAsia"/>
          <w:color w:val="auto"/>
          <w:highlight w:val="none"/>
        </w:rPr>
        <w:t>投标人的澄清、说明或者补正应当采用书面形式，并加盖公章，或者由法定代表人或其授权的代表签字。投标人的澄清、说明或者补正不得超出投标文件的范围或者改变投标文件的实质性内容。</w:t>
      </w:r>
    </w:p>
    <w:p w14:paraId="56A0F932">
      <w:pPr>
        <w:spacing w:line="360" w:lineRule="auto"/>
        <w:ind w:firstLine="442" w:firstLineChars="200"/>
        <w:rPr>
          <w:b/>
          <w:bCs/>
          <w:color w:val="auto"/>
          <w:highlight w:val="none"/>
        </w:rPr>
      </w:pPr>
      <w:r>
        <w:rPr>
          <w:rFonts w:hint="eastAsia"/>
          <w:b/>
          <w:bCs/>
          <w:color w:val="auto"/>
          <w:highlight w:val="none"/>
          <w:lang w:val="en-US"/>
        </w:rPr>
        <w:t>6.3</w:t>
      </w:r>
      <w:r>
        <w:rPr>
          <w:rFonts w:hint="eastAsia"/>
          <w:b/>
          <w:bCs/>
          <w:color w:val="auto"/>
          <w:highlight w:val="none"/>
        </w:rPr>
        <w:t>投标文件的初审</w:t>
      </w:r>
    </w:p>
    <w:p w14:paraId="2CC1E0DC">
      <w:pPr>
        <w:spacing w:line="360" w:lineRule="auto"/>
        <w:ind w:firstLine="440" w:firstLineChars="200"/>
        <w:rPr>
          <w:color w:val="auto"/>
          <w:highlight w:val="none"/>
        </w:rPr>
      </w:pPr>
      <w:r>
        <w:rPr>
          <w:rFonts w:hint="eastAsia"/>
          <w:color w:val="auto"/>
          <w:highlight w:val="none"/>
          <w:lang w:val="en-US"/>
        </w:rPr>
        <w:t>6.3.1</w:t>
      </w:r>
      <w:r>
        <w:rPr>
          <w:rFonts w:hint="eastAsia"/>
          <w:color w:val="auto"/>
          <w:highlight w:val="none"/>
        </w:rPr>
        <w:t>评委会将审查投标文件是否完整、总体编排是否有序、文件签署是否合格、有无计算上的错误等。</w:t>
      </w:r>
    </w:p>
    <w:p w14:paraId="4117A3F8">
      <w:pPr>
        <w:spacing w:line="360" w:lineRule="auto"/>
        <w:ind w:firstLine="440" w:firstLineChars="200"/>
        <w:rPr>
          <w:color w:val="auto"/>
          <w:highlight w:val="none"/>
        </w:rPr>
      </w:pPr>
      <w:r>
        <w:rPr>
          <w:rFonts w:hint="eastAsia"/>
          <w:color w:val="auto"/>
          <w:highlight w:val="none"/>
          <w:lang w:val="en-US"/>
        </w:rPr>
        <w:t>6.3.2</w:t>
      </w:r>
      <w:r>
        <w:rPr>
          <w:rFonts w:hint="eastAsia"/>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1139574C">
      <w:pPr>
        <w:spacing w:line="360" w:lineRule="auto"/>
        <w:ind w:firstLine="440" w:firstLineChars="200"/>
        <w:rPr>
          <w:color w:val="auto"/>
          <w:highlight w:val="none"/>
        </w:rPr>
      </w:pPr>
      <w:r>
        <w:rPr>
          <w:rFonts w:hint="eastAsia"/>
          <w:color w:val="auto"/>
          <w:highlight w:val="none"/>
          <w:lang w:val="en-US"/>
        </w:rPr>
        <w:t>6.3.3</w:t>
      </w:r>
      <w:r>
        <w:rPr>
          <w:rFonts w:hint="eastAsia"/>
          <w:color w:val="auto"/>
          <w:highlight w:val="none"/>
        </w:rPr>
        <w:t>允许修正投标文件中不构成重大偏离的、微小的、非正规的、不一致或不规则的地方。</w:t>
      </w:r>
    </w:p>
    <w:p w14:paraId="7CE88B46">
      <w:pPr>
        <w:spacing w:line="360" w:lineRule="auto"/>
        <w:ind w:firstLine="440" w:firstLineChars="200"/>
        <w:rPr>
          <w:color w:val="auto"/>
          <w:highlight w:val="none"/>
        </w:rPr>
      </w:pPr>
      <w:r>
        <w:rPr>
          <w:rFonts w:hint="eastAsia"/>
          <w:color w:val="auto"/>
          <w:highlight w:val="none"/>
          <w:lang w:val="en-US"/>
        </w:rPr>
        <w:t>6.3.4</w:t>
      </w:r>
      <w:r>
        <w:rPr>
          <w:rFonts w:hint="eastAsia"/>
          <w:color w:val="auto"/>
          <w:highlight w:val="none"/>
        </w:rPr>
        <w:t>在对投标文件进行详细评审之前，评委会将确定每一投标是否对招标文件的要求做出了实质性的响应，而没有重大偏离。实质性响应的投标是指投标符合招标文件的所有条款、条件和规定且没有重大偏离和保留。重大偏离和保留是指对招标文件规定的范围、质量和性能产生重大或不可接受的偏差，或限制了采购代理机构、采购人的权力和投标人的义务的规定，而纠正这些偏离将影响到其它提交实质性响应投标的投标人的公平竞争地位。</w:t>
      </w:r>
    </w:p>
    <w:p w14:paraId="5069D13A">
      <w:pPr>
        <w:spacing w:line="360" w:lineRule="auto"/>
        <w:ind w:firstLine="440" w:firstLineChars="200"/>
        <w:rPr>
          <w:color w:val="auto"/>
          <w:highlight w:val="none"/>
        </w:rPr>
      </w:pPr>
      <w:r>
        <w:rPr>
          <w:rFonts w:hint="eastAsia"/>
          <w:color w:val="auto"/>
          <w:highlight w:val="none"/>
          <w:lang w:val="en-US"/>
        </w:rPr>
        <w:t>6.3.5</w:t>
      </w:r>
      <w:r>
        <w:rPr>
          <w:rFonts w:hint="eastAsia"/>
          <w:color w:val="auto"/>
          <w:highlight w:val="none"/>
        </w:rPr>
        <w:t>评委会判断投标文件的响应性仅基于投标文件本身内容而不靠外部证据。</w:t>
      </w:r>
    </w:p>
    <w:p w14:paraId="54F72CF1">
      <w:pPr>
        <w:spacing w:line="360" w:lineRule="auto"/>
        <w:ind w:firstLine="440" w:firstLineChars="200"/>
        <w:rPr>
          <w:color w:val="auto"/>
          <w:highlight w:val="none"/>
        </w:rPr>
      </w:pPr>
      <w:r>
        <w:rPr>
          <w:rFonts w:hint="eastAsia"/>
          <w:color w:val="auto"/>
          <w:highlight w:val="none"/>
          <w:lang w:val="en-US"/>
        </w:rPr>
        <w:t>6.3.6</w:t>
      </w:r>
      <w:r>
        <w:rPr>
          <w:rFonts w:hint="eastAsia"/>
          <w:color w:val="auto"/>
          <w:highlight w:val="none"/>
        </w:rPr>
        <w:t>评委会将依据投标人提供的资格证明文件审查投标人能力。</w:t>
      </w:r>
    </w:p>
    <w:p w14:paraId="029A505B">
      <w:pPr>
        <w:spacing w:line="360" w:lineRule="auto"/>
        <w:ind w:firstLine="442" w:firstLineChars="200"/>
        <w:rPr>
          <w:b/>
          <w:bCs/>
          <w:color w:val="auto"/>
          <w:highlight w:val="none"/>
        </w:rPr>
      </w:pPr>
      <w:r>
        <w:rPr>
          <w:rFonts w:hint="eastAsia"/>
          <w:b/>
          <w:bCs/>
          <w:color w:val="auto"/>
          <w:highlight w:val="none"/>
          <w:lang w:val="en-US"/>
        </w:rPr>
        <w:t>6.4</w:t>
      </w:r>
      <w:r>
        <w:rPr>
          <w:rFonts w:hint="eastAsia"/>
          <w:b/>
          <w:bCs/>
          <w:color w:val="auto"/>
          <w:highlight w:val="none"/>
        </w:rPr>
        <w:t>评标原则</w:t>
      </w:r>
    </w:p>
    <w:p w14:paraId="7ECFF32D">
      <w:pPr>
        <w:spacing w:line="360" w:lineRule="auto"/>
        <w:ind w:firstLine="440" w:firstLineChars="200"/>
        <w:rPr>
          <w:color w:val="auto"/>
          <w:highlight w:val="none"/>
        </w:rPr>
      </w:pPr>
      <w:r>
        <w:rPr>
          <w:rFonts w:hint="eastAsia"/>
          <w:color w:val="auto"/>
          <w:highlight w:val="none"/>
          <w:lang w:val="en-US"/>
        </w:rPr>
        <w:t>（1）</w:t>
      </w:r>
      <w:r>
        <w:rPr>
          <w:rFonts w:hint="eastAsia"/>
          <w:color w:val="auto"/>
          <w:highlight w:val="none"/>
        </w:rPr>
        <w:t>按照“公正、公平”的原则对待所有投标人。</w:t>
      </w:r>
    </w:p>
    <w:p w14:paraId="090AB1FF">
      <w:pPr>
        <w:spacing w:line="360" w:lineRule="auto"/>
        <w:ind w:firstLine="440" w:firstLineChars="200"/>
        <w:rPr>
          <w:color w:val="auto"/>
          <w:highlight w:val="none"/>
        </w:rPr>
      </w:pPr>
      <w:r>
        <w:rPr>
          <w:rFonts w:hint="eastAsia"/>
          <w:color w:val="auto"/>
          <w:highlight w:val="none"/>
          <w:lang w:val="en-US"/>
        </w:rPr>
        <w:t>（2）</w:t>
      </w:r>
      <w:r>
        <w:rPr>
          <w:rFonts w:hint="eastAsia"/>
          <w:color w:val="auto"/>
          <w:highlight w:val="none"/>
        </w:rPr>
        <w:t>坚持招标文件的所有相关规定，公平评标。</w:t>
      </w:r>
    </w:p>
    <w:p w14:paraId="665C1ED3">
      <w:pPr>
        <w:spacing w:line="360" w:lineRule="auto"/>
        <w:ind w:firstLine="442" w:firstLineChars="200"/>
        <w:rPr>
          <w:b/>
          <w:bCs/>
          <w:color w:val="auto"/>
          <w:highlight w:val="none"/>
        </w:rPr>
      </w:pPr>
      <w:r>
        <w:rPr>
          <w:rFonts w:hint="eastAsia"/>
          <w:b/>
          <w:bCs/>
          <w:color w:val="auto"/>
          <w:highlight w:val="none"/>
          <w:lang w:val="en-US"/>
        </w:rPr>
        <w:t>6.5</w:t>
      </w:r>
      <w:r>
        <w:rPr>
          <w:rFonts w:hint="eastAsia"/>
          <w:b/>
          <w:bCs/>
          <w:color w:val="auto"/>
          <w:highlight w:val="none"/>
        </w:rPr>
        <w:t>评标标准</w:t>
      </w:r>
    </w:p>
    <w:p w14:paraId="633F7458">
      <w:pPr>
        <w:spacing w:line="360" w:lineRule="auto"/>
        <w:ind w:firstLine="440" w:firstLineChars="200"/>
        <w:rPr>
          <w:color w:val="auto"/>
          <w:highlight w:val="none"/>
        </w:rPr>
      </w:pPr>
      <w:r>
        <w:rPr>
          <w:rFonts w:hint="eastAsia"/>
          <w:color w:val="auto"/>
          <w:highlight w:val="none"/>
          <w:lang w:val="en-US"/>
        </w:rPr>
        <w:t>6.5.1</w:t>
      </w:r>
      <w:r>
        <w:rPr>
          <w:rFonts w:hint="eastAsia"/>
          <w:color w:val="auto"/>
          <w:highlight w:val="none"/>
        </w:rPr>
        <w:t>在招标采购中，出现下列情形之一的，应予废标：</w:t>
      </w:r>
    </w:p>
    <w:p w14:paraId="0B72C8A8">
      <w:pPr>
        <w:spacing w:line="360" w:lineRule="auto"/>
        <w:ind w:firstLine="440" w:firstLineChars="200"/>
        <w:rPr>
          <w:color w:val="auto"/>
          <w:highlight w:val="none"/>
        </w:rPr>
      </w:pPr>
      <w:r>
        <w:rPr>
          <w:rFonts w:hint="eastAsia"/>
          <w:color w:val="auto"/>
          <w:highlight w:val="none"/>
        </w:rPr>
        <w:t>（一）符合专业条件的投标人或者对招标文件作实质响应的投标人不足三家的</w:t>
      </w:r>
    </w:p>
    <w:p w14:paraId="2DDECB6D">
      <w:pPr>
        <w:spacing w:line="360" w:lineRule="auto"/>
        <w:ind w:firstLine="440" w:firstLineChars="200"/>
        <w:rPr>
          <w:color w:val="auto"/>
          <w:highlight w:val="none"/>
        </w:rPr>
      </w:pPr>
      <w:r>
        <w:rPr>
          <w:rFonts w:hint="eastAsia"/>
          <w:color w:val="auto"/>
          <w:highlight w:val="none"/>
        </w:rPr>
        <w:t>（二）出现影响采购公正的违法、违规行为的</w:t>
      </w:r>
    </w:p>
    <w:p w14:paraId="07B69AE6">
      <w:pPr>
        <w:spacing w:line="360" w:lineRule="auto"/>
        <w:ind w:firstLine="440" w:firstLineChars="200"/>
        <w:rPr>
          <w:color w:val="auto"/>
          <w:highlight w:val="none"/>
        </w:rPr>
      </w:pPr>
      <w:r>
        <w:rPr>
          <w:rFonts w:hint="eastAsia"/>
          <w:color w:val="auto"/>
          <w:highlight w:val="none"/>
        </w:rPr>
        <w:t>（三）投标人的报价均超过了采购预算，采购人不能支付的</w:t>
      </w:r>
    </w:p>
    <w:p w14:paraId="5D86FE7C">
      <w:pPr>
        <w:spacing w:line="360" w:lineRule="auto"/>
        <w:ind w:firstLine="440" w:firstLineChars="200"/>
        <w:rPr>
          <w:color w:val="auto"/>
          <w:highlight w:val="none"/>
        </w:rPr>
      </w:pPr>
      <w:r>
        <w:rPr>
          <w:rFonts w:hint="eastAsia"/>
          <w:color w:val="auto"/>
          <w:highlight w:val="none"/>
        </w:rPr>
        <w:t>（四）因重大变故，采购任务取消的</w:t>
      </w:r>
    </w:p>
    <w:p w14:paraId="28FF4422">
      <w:pPr>
        <w:spacing w:line="360" w:lineRule="auto"/>
        <w:ind w:firstLine="440" w:firstLineChars="200"/>
        <w:rPr>
          <w:color w:val="auto"/>
          <w:highlight w:val="none"/>
        </w:rPr>
      </w:pPr>
      <w:r>
        <w:rPr>
          <w:rFonts w:hint="eastAsia"/>
          <w:color w:val="auto"/>
          <w:highlight w:val="none"/>
          <w:lang w:val="en-US"/>
        </w:rPr>
        <w:t>6.5.2</w:t>
      </w:r>
      <w:r>
        <w:rPr>
          <w:rFonts w:hint="eastAsia"/>
          <w:color w:val="auto"/>
          <w:highlight w:val="none"/>
        </w:rPr>
        <w:t>投标人存在下列情况之一的，投标无效:</w:t>
      </w:r>
    </w:p>
    <w:p w14:paraId="35FFD3B0">
      <w:pPr>
        <w:spacing w:line="360" w:lineRule="auto"/>
        <w:ind w:firstLine="440" w:firstLineChars="200"/>
        <w:rPr>
          <w:color w:val="auto"/>
          <w:highlight w:val="none"/>
        </w:rPr>
      </w:pPr>
      <w:r>
        <w:rPr>
          <w:rFonts w:hint="eastAsia"/>
          <w:color w:val="auto"/>
          <w:highlight w:val="none"/>
        </w:rPr>
        <w:t>（一）投标文件未按招标文件要求签署、盖章的</w:t>
      </w:r>
    </w:p>
    <w:p w14:paraId="386C399E">
      <w:pPr>
        <w:spacing w:line="360" w:lineRule="auto"/>
        <w:ind w:firstLine="440" w:firstLineChars="200"/>
        <w:rPr>
          <w:color w:val="auto"/>
          <w:highlight w:val="none"/>
        </w:rPr>
      </w:pPr>
      <w:r>
        <w:rPr>
          <w:rFonts w:hint="eastAsia"/>
          <w:color w:val="auto"/>
          <w:highlight w:val="none"/>
        </w:rPr>
        <w:t>（二）不具备招标文件中规定的资格要求的</w:t>
      </w:r>
    </w:p>
    <w:p w14:paraId="20A6AC77">
      <w:pPr>
        <w:spacing w:line="360" w:lineRule="auto"/>
        <w:ind w:firstLine="440" w:firstLineChars="200"/>
        <w:rPr>
          <w:color w:val="auto"/>
          <w:highlight w:val="none"/>
        </w:rPr>
      </w:pPr>
      <w:r>
        <w:rPr>
          <w:rFonts w:hint="eastAsia"/>
          <w:color w:val="auto"/>
          <w:highlight w:val="none"/>
        </w:rPr>
        <w:t>（三）报价超过招标文件中规定的预算金额或者最高限价的</w:t>
      </w:r>
    </w:p>
    <w:p w14:paraId="376FDF6C">
      <w:pPr>
        <w:spacing w:line="360" w:lineRule="auto"/>
        <w:ind w:firstLine="440" w:firstLineChars="200"/>
        <w:rPr>
          <w:color w:val="auto"/>
          <w:highlight w:val="none"/>
        </w:rPr>
      </w:pPr>
      <w:r>
        <w:rPr>
          <w:rFonts w:hint="eastAsia"/>
          <w:color w:val="auto"/>
          <w:highlight w:val="none"/>
        </w:rPr>
        <w:t>（四）投标文件含有采购人不能接受的附加条件的</w:t>
      </w:r>
    </w:p>
    <w:p w14:paraId="3832F99C">
      <w:pPr>
        <w:spacing w:line="360" w:lineRule="auto"/>
        <w:ind w:firstLine="440" w:firstLineChars="200"/>
        <w:rPr>
          <w:color w:val="auto"/>
          <w:highlight w:val="none"/>
        </w:rPr>
      </w:pPr>
      <w:r>
        <w:rPr>
          <w:rFonts w:hint="eastAsia"/>
          <w:color w:val="auto"/>
          <w:highlight w:val="none"/>
        </w:rPr>
        <w:t>（五）法律、法规和招标文件规定的其他无效情形</w:t>
      </w:r>
    </w:p>
    <w:p w14:paraId="5CB4C0B3">
      <w:pPr>
        <w:spacing w:line="360" w:lineRule="auto"/>
        <w:ind w:firstLine="440" w:firstLineChars="200"/>
        <w:rPr>
          <w:color w:val="auto"/>
          <w:highlight w:val="none"/>
        </w:rPr>
      </w:pPr>
      <w:r>
        <w:rPr>
          <w:rFonts w:hint="eastAsia"/>
          <w:color w:val="auto"/>
          <w:highlight w:val="none"/>
          <w:lang w:val="en-US"/>
        </w:rPr>
        <w:t>6.5.3</w:t>
      </w:r>
      <w:r>
        <w:rPr>
          <w:rFonts w:hint="eastAsia"/>
          <w:color w:val="auto"/>
          <w:highlight w:val="none"/>
        </w:rPr>
        <w:t>有下列情形之一的，视为投标人串通投标，其投标无效：</w:t>
      </w:r>
    </w:p>
    <w:p w14:paraId="667CBB61">
      <w:pPr>
        <w:spacing w:line="360" w:lineRule="auto"/>
        <w:ind w:firstLine="440" w:firstLineChars="200"/>
        <w:rPr>
          <w:color w:val="auto"/>
          <w:highlight w:val="none"/>
        </w:rPr>
      </w:pPr>
      <w:r>
        <w:rPr>
          <w:rFonts w:hint="eastAsia"/>
          <w:color w:val="auto"/>
          <w:highlight w:val="none"/>
        </w:rPr>
        <w:t>（一）不同投标人的投标文件由同一单位或者个人编制</w:t>
      </w:r>
    </w:p>
    <w:p w14:paraId="38AA8D09">
      <w:pPr>
        <w:spacing w:line="360" w:lineRule="auto"/>
        <w:ind w:firstLine="440" w:firstLineChars="200"/>
        <w:rPr>
          <w:color w:val="auto"/>
          <w:highlight w:val="none"/>
        </w:rPr>
      </w:pPr>
      <w:r>
        <w:rPr>
          <w:rFonts w:hint="eastAsia"/>
          <w:color w:val="auto"/>
          <w:highlight w:val="none"/>
          <w:lang w:val="en-US"/>
        </w:rPr>
        <w:t>（二）</w:t>
      </w:r>
      <w:r>
        <w:rPr>
          <w:rFonts w:hint="eastAsia"/>
          <w:color w:val="auto"/>
          <w:highlight w:val="none"/>
        </w:rPr>
        <w:t>不同投标人委托同一单位或者个人办理投标事宜</w:t>
      </w:r>
    </w:p>
    <w:p w14:paraId="4D7B1416">
      <w:pPr>
        <w:spacing w:line="360" w:lineRule="auto"/>
        <w:ind w:firstLine="440" w:firstLineChars="200"/>
        <w:rPr>
          <w:color w:val="auto"/>
          <w:highlight w:val="none"/>
        </w:rPr>
      </w:pPr>
      <w:r>
        <w:rPr>
          <w:rFonts w:hint="eastAsia"/>
          <w:color w:val="auto"/>
          <w:highlight w:val="none"/>
        </w:rPr>
        <w:t>（三）不同投标人的投标文件载明的项目管理成员或者联系人员为同一人</w:t>
      </w:r>
    </w:p>
    <w:p w14:paraId="0D1CA34E">
      <w:pPr>
        <w:spacing w:line="360" w:lineRule="auto"/>
        <w:ind w:firstLine="440" w:firstLineChars="200"/>
        <w:rPr>
          <w:color w:val="auto"/>
          <w:highlight w:val="none"/>
        </w:rPr>
      </w:pPr>
      <w:r>
        <w:rPr>
          <w:rFonts w:hint="eastAsia"/>
          <w:color w:val="auto"/>
          <w:highlight w:val="none"/>
        </w:rPr>
        <w:t>（四）不同投标人的投标文件异常一致或者投标报价呈规律性差异</w:t>
      </w:r>
    </w:p>
    <w:p w14:paraId="31A06017">
      <w:pPr>
        <w:spacing w:line="360" w:lineRule="auto"/>
        <w:ind w:firstLine="440" w:firstLineChars="200"/>
        <w:rPr>
          <w:color w:val="auto"/>
          <w:highlight w:val="none"/>
        </w:rPr>
      </w:pPr>
      <w:r>
        <w:rPr>
          <w:rFonts w:hint="eastAsia"/>
          <w:color w:val="auto"/>
          <w:highlight w:val="none"/>
          <w:lang w:val="en-US"/>
        </w:rPr>
        <w:t>6.5.4</w:t>
      </w:r>
      <w:r>
        <w:rPr>
          <w:rFonts w:hint="eastAsia"/>
          <w:color w:val="auto"/>
          <w:highlight w:val="none"/>
        </w:rPr>
        <w:t>常用评标办法解释</w:t>
      </w:r>
    </w:p>
    <w:p w14:paraId="4442BE66">
      <w:pPr>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最低评标价法：《政府采购货物和服务招标投标管理办法》(财政部令87号)第五十四条的规定，“最低评标价法，是指投标文件满足招标文件全部实质性要求，且投标报价最低的投标人为中标候选人的评标方法”。</w:t>
      </w:r>
    </w:p>
    <w:p w14:paraId="467A0128">
      <w:pPr>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综合评分法:《政府采购货物和服务招标投标管理办法》(财政部令87号)五十五条的规定，“综合评分法，是指投标文件满足招标文件全部实质性要求，且按照评审因素的量化指标评审得分最高的投标人为中标候选人的评标方法”。</w:t>
      </w:r>
    </w:p>
    <w:p w14:paraId="296C8864">
      <w:pPr>
        <w:spacing w:line="360" w:lineRule="auto"/>
        <w:ind w:firstLine="440" w:firstLineChars="200"/>
        <w:rPr>
          <w:color w:val="auto"/>
          <w:highlight w:val="none"/>
        </w:rPr>
      </w:pPr>
      <w:r>
        <w:rPr>
          <w:rFonts w:hint="eastAsia"/>
          <w:color w:val="auto"/>
          <w:highlight w:val="none"/>
          <w:lang w:val="en-US"/>
        </w:rPr>
        <w:t>6.5.5</w:t>
      </w:r>
      <w:r>
        <w:rPr>
          <w:rFonts w:hint="eastAsia"/>
          <w:color w:val="auto"/>
          <w:highlight w:val="none"/>
        </w:rPr>
        <w:t>中标标准</w:t>
      </w:r>
    </w:p>
    <w:p w14:paraId="60E9ABC4">
      <w:pPr>
        <w:spacing w:line="360" w:lineRule="auto"/>
        <w:ind w:firstLine="440" w:firstLineChars="200"/>
        <w:rPr>
          <w:color w:val="auto"/>
          <w:highlight w:val="none"/>
        </w:rPr>
      </w:pPr>
      <w:r>
        <w:rPr>
          <w:rFonts w:hint="eastAsia"/>
          <w:color w:val="auto"/>
          <w:highlight w:val="none"/>
        </w:rPr>
        <w:t>采用综合评分法评标时，综合得分最高的投标人作为中标候选人或中标人。</w:t>
      </w:r>
    </w:p>
    <w:p w14:paraId="2B32E843">
      <w:pPr>
        <w:spacing w:line="360" w:lineRule="auto"/>
        <w:ind w:firstLine="440" w:firstLineChars="200"/>
        <w:rPr>
          <w:color w:val="auto"/>
          <w:highlight w:val="none"/>
        </w:rPr>
      </w:pPr>
      <w:r>
        <w:rPr>
          <w:rFonts w:hint="eastAsia"/>
          <w:color w:val="auto"/>
          <w:highlight w:val="none"/>
        </w:rPr>
        <w:t>评标结果汇总完成后，除下列情形外，任何人不得修改评标结果：</w:t>
      </w:r>
    </w:p>
    <w:p w14:paraId="1AAD175B">
      <w:pPr>
        <w:spacing w:line="360" w:lineRule="auto"/>
        <w:ind w:firstLine="440" w:firstLineChars="200"/>
        <w:rPr>
          <w:color w:val="auto"/>
          <w:highlight w:val="none"/>
        </w:rPr>
      </w:pPr>
      <w:r>
        <w:rPr>
          <w:rFonts w:hint="eastAsia"/>
          <w:color w:val="auto"/>
          <w:highlight w:val="none"/>
        </w:rPr>
        <w:t>（一）分值汇总计算错误的</w:t>
      </w:r>
    </w:p>
    <w:p w14:paraId="42CC66AB">
      <w:pPr>
        <w:spacing w:line="360" w:lineRule="auto"/>
        <w:ind w:firstLine="440" w:firstLineChars="200"/>
        <w:rPr>
          <w:color w:val="auto"/>
          <w:highlight w:val="none"/>
        </w:rPr>
      </w:pPr>
      <w:r>
        <w:rPr>
          <w:rFonts w:hint="eastAsia"/>
          <w:color w:val="auto"/>
          <w:highlight w:val="none"/>
        </w:rPr>
        <w:t>（二）分项评分超出评分标准范围的</w:t>
      </w:r>
    </w:p>
    <w:p w14:paraId="2CA8C7D3">
      <w:pPr>
        <w:spacing w:line="360" w:lineRule="auto"/>
        <w:ind w:firstLine="440" w:firstLineChars="200"/>
        <w:rPr>
          <w:color w:val="auto"/>
          <w:highlight w:val="none"/>
        </w:rPr>
      </w:pPr>
      <w:r>
        <w:rPr>
          <w:rFonts w:hint="eastAsia"/>
          <w:color w:val="auto"/>
          <w:highlight w:val="none"/>
        </w:rPr>
        <w:t>（三）评标委员会成员对客观评审因素评分不一致的</w:t>
      </w:r>
    </w:p>
    <w:p w14:paraId="5E92FA62">
      <w:pPr>
        <w:spacing w:line="360" w:lineRule="auto"/>
        <w:ind w:firstLine="440" w:firstLineChars="200"/>
        <w:rPr>
          <w:color w:val="auto"/>
          <w:highlight w:val="none"/>
        </w:rPr>
      </w:pPr>
      <w:r>
        <w:rPr>
          <w:rFonts w:hint="eastAsia"/>
          <w:color w:val="auto"/>
          <w:highlight w:val="none"/>
        </w:rPr>
        <w:t>（四）经评标委员会认定评分畸高、畸低的</w:t>
      </w:r>
    </w:p>
    <w:p w14:paraId="0B8F0EDE">
      <w:pPr>
        <w:spacing w:line="360" w:lineRule="auto"/>
        <w:ind w:firstLine="440" w:firstLineChars="200"/>
        <w:rPr>
          <w:color w:val="auto"/>
          <w:highlight w:val="none"/>
        </w:rPr>
      </w:pPr>
      <w:r>
        <w:rPr>
          <w:rFonts w:hint="eastAsia"/>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3F0D826">
      <w:pPr>
        <w:spacing w:line="360" w:lineRule="auto"/>
        <w:ind w:firstLine="440" w:firstLineChars="200"/>
        <w:rPr>
          <w:color w:val="auto"/>
          <w:highlight w:val="none"/>
        </w:rPr>
      </w:pPr>
      <w:r>
        <w:rPr>
          <w:rFonts w:hint="eastAsia"/>
          <w:color w:val="auto"/>
          <w:highlight w:val="none"/>
        </w:rPr>
        <w:t>投标人对本条第一款情形提出质疑的，采购人或者采购代理机构可以组织原评标委员会进行重新评审，重新评审改变评标结果的，应当书面报告本级财政部门。</w:t>
      </w:r>
    </w:p>
    <w:p w14:paraId="7AECC844">
      <w:pPr>
        <w:spacing w:line="360" w:lineRule="auto"/>
        <w:ind w:firstLine="442" w:firstLineChars="200"/>
        <w:rPr>
          <w:color w:val="auto"/>
          <w:highlight w:val="none"/>
        </w:rPr>
      </w:pPr>
      <w:r>
        <w:rPr>
          <w:rFonts w:hint="eastAsia"/>
          <w:b/>
          <w:bCs/>
          <w:color w:val="auto"/>
          <w:highlight w:val="none"/>
          <w:lang w:val="en-US"/>
        </w:rPr>
        <w:t>6.6</w:t>
      </w:r>
      <w:r>
        <w:rPr>
          <w:rFonts w:hint="eastAsia"/>
          <w:b/>
          <w:bCs/>
          <w:color w:val="auto"/>
          <w:highlight w:val="none"/>
        </w:rPr>
        <w:t>保密及其它注意事项</w:t>
      </w:r>
    </w:p>
    <w:p w14:paraId="67700DA8">
      <w:pPr>
        <w:spacing w:line="360" w:lineRule="auto"/>
        <w:ind w:firstLine="440" w:firstLineChars="200"/>
        <w:rPr>
          <w:color w:val="auto"/>
          <w:highlight w:val="none"/>
        </w:rPr>
      </w:pPr>
      <w:r>
        <w:rPr>
          <w:rFonts w:hint="eastAsia"/>
          <w:color w:val="auto"/>
          <w:highlight w:val="none"/>
          <w:lang w:val="en-US"/>
        </w:rPr>
        <w:t>6.6.1</w:t>
      </w:r>
      <w:r>
        <w:rPr>
          <w:rFonts w:hint="eastAsia"/>
          <w:color w:val="auto"/>
          <w:highlight w:val="none"/>
        </w:rPr>
        <w:t>评标是招标工作的重要环节，评标工作在评委会内独立进行。</w:t>
      </w:r>
    </w:p>
    <w:p w14:paraId="6408F787">
      <w:pPr>
        <w:spacing w:line="360" w:lineRule="auto"/>
        <w:ind w:firstLine="440" w:firstLineChars="200"/>
        <w:rPr>
          <w:color w:val="auto"/>
          <w:highlight w:val="none"/>
        </w:rPr>
      </w:pPr>
      <w:r>
        <w:rPr>
          <w:rFonts w:hint="eastAsia"/>
          <w:color w:val="auto"/>
          <w:highlight w:val="none"/>
          <w:lang w:val="en-US"/>
        </w:rPr>
        <w:t>6.6.2</w:t>
      </w:r>
      <w:r>
        <w:rPr>
          <w:rFonts w:hint="eastAsia"/>
          <w:color w:val="auto"/>
          <w:highlight w:val="none"/>
        </w:rPr>
        <w:t>评委会将遵照规定的评标方法，公正、平等地对待所有投标人。</w:t>
      </w:r>
    </w:p>
    <w:p w14:paraId="2B935811">
      <w:pPr>
        <w:spacing w:line="360" w:lineRule="auto"/>
        <w:ind w:firstLine="440" w:firstLineChars="200"/>
        <w:rPr>
          <w:color w:val="auto"/>
          <w:highlight w:val="none"/>
        </w:rPr>
      </w:pPr>
      <w:r>
        <w:rPr>
          <w:rFonts w:hint="eastAsia"/>
          <w:color w:val="auto"/>
          <w:highlight w:val="none"/>
          <w:lang w:val="en-US"/>
        </w:rPr>
        <w:t>6.6.3</w:t>
      </w:r>
      <w:r>
        <w:rPr>
          <w:rFonts w:hint="eastAsia"/>
          <w:color w:val="auto"/>
          <w:highlight w:val="none"/>
        </w:rPr>
        <w:t>在开标、评标期间，投标人不得向评委询问评标情况，不得进行旨在影响评标结果的活动，否则其投标可能被拒绝。</w:t>
      </w:r>
    </w:p>
    <w:p w14:paraId="1932CBA7">
      <w:pPr>
        <w:spacing w:line="360" w:lineRule="auto"/>
        <w:ind w:firstLine="440" w:firstLineChars="200"/>
        <w:rPr>
          <w:color w:val="auto"/>
          <w:highlight w:val="none"/>
        </w:rPr>
      </w:pPr>
      <w:r>
        <w:rPr>
          <w:rFonts w:hint="eastAsia"/>
          <w:color w:val="auto"/>
          <w:highlight w:val="none"/>
          <w:lang w:val="en-US"/>
        </w:rPr>
        <w:t>6.6.4</w:t>
      </w:r>
      <w:r>
        <w:rPr>
          <w:rFonts w:hint="eastAsia"/>
          <w:color w:val="auto"/>
          <w:highlight w:val="none"/>
        </w:rPr>
        <w:t>为保证评标的公正性，开标后直至授予投标人合同，评委不得与投标人私下交换意见。</w:t>
      </w:r>
    </w:p>
    <w:p w14:paraId="3A94A02D">
      <w:pPr>
        <w:spacing w:line="360" w:lineRule="auto"/>
        <w:ind w:firstLine="440" w:firstLineChars="200"/>
        <w:rPr>
          <w:color w:val="auto"/>
          <w:highlight w:val="none"/>
        </w:rPr>
      </w:pPr>
      <w:r>
        <w:rPr>
          <w:rFonts w:hint="eastAsia"/>
          <w:color w:val="auto"/>
          <w:highlight w:val="none"/>
          <w:lang w:val="en-US"/>
        </w:rPr>
        <w:t>6.6.5</w:t>
      </w:r>
      <w:r>
        <w:rPr>
          <w:rFonts w:hint="eastAsia"/>
          <w:color w:val="auto"/>
          <w:highlight w:val="none"/>
        </w:rPr>
        <w:t>采购人、采购代理机构应当采取必要措施，保证评标在严格保密的情况下进行。除采购人代表、评标现场组织人员外，采购人的其他工作人员以及与评标工作无关的人员不得进入评标现场。</w:t>
      </w:r>
    </w:p>
    <w:p w14:paraId="6C91B7B3">
      <w:pPr>
        <w:spacing w:line="360" w:lineRule="auto"/>
        <w:ind w:firstLine="440" w:firstLineChars="200"/>
        <w:rPr>
          <w:color w:val="auto"/>
          <w:highlight w:val="none"/>
        </w:rPr>
      </w:pPr>
      <w:r>
        <w:rPr>
          <w:rFonts w:hint="eastAsia"/>
          <w:color w:val="auto"/>
          <w:highlight w:val="none"/>
          <w:lang w:val="en-US"/>
        </w:rPr>
        <w:t>6.6.6</w:t>
      </w:r>
      <w:r>
        <w:rPr>
          <w:rFonts w:hint="eastAsia"/>
          <w:color w:val="auto"/>
          <w:highlight w:val="none"/>
        </w:rPr>
        <w:t>有关人员对评标情况以及在评标过程中获悉的国家秘密、商业秘密负有保密责任。</w:t>
      </w:r>
    </w:p>
    <w:p w14:paraId="2B3A2DDF">
      <w:pPr>
        <w:spacing w:line="360" w:lineRule="auto"/>
        <w:ind w:firstLine="442" w:firstLineChars="200"/>
        <w:rPr>
          <w:b/>
          <w:bCs/>
          <w:color w:val="auto"/>
          <w:highlight w:val="none"/>
        </w:rPr>
      </w:pPr>
      <w:bookmarkStart w:id="56" w:name="7.授予合同"/>
      <w:bookmarkEnd w:id="56"/>
      <w:bookmarkStart w:id="57" w:name="_bookmark9"/>
      <w:bookmarkEnd w:id="57"/>
      <w:r>
        <w:rPr>
          <w:rFonts w:hint="eastAsia"/>
          <w:b/>
          <w:bCs/>
          <w:color w:val="auto"/>
          <w:highlight w:val="none"/>
          <w:lang w:val="en-US"/>
        </w:rPr>
        <w:t>7.</w:t>
      </w:r>
      <w:r>
        <w:rPr>
          <w:rFonts w:hint="eastAsia"/>
          <w:b/>
          <w:bCs/>
          <w:color w:val="auto"/>
          <w:highlight w:val="none"/>
        </w:rPr>
        <w:t>授予合同</w:t>
      </w:r>
    </w:p>
    <w:p w14:paraId="7F4884B0">
      <w:pPr>
        <w:spacing w:line="360" w:lineRule="auto"/>
        <w:ind w:firstLine="442" w:firstLineChars="200"/>
        <w:rPr>
          <w:b/>
          <w:bCs/>
          <w:color w:val="auto"/>
          <w:highlight w:val="none"/>
        </w:rPr>
      </w:pPr>
      <w:bookmarkStart w:id="58" w:name="7.1合同授予标准"/>
      <w:bookmarkEnd w:id="58"/>
      <w:r>
        <w:rPr>
          <w:rFonts w:hint="eastAsia"/>
          <w:b/>
          <w:bCs/>
          <w:color w:val="auto"/>
          <w:highlight w:val="none"/>
          <w:lang w:val="en-US"/>
        </w:rPr>
        <w:t>7.1</w:t>
      </w:r>
      <w:r>
        <w:rPr>
          <w:rFonts w:hint="eastAsia"/>
          <w:b/>
          <w:bCs/>
          <w:color w:val="auto"/>
          <w:highlight w:val="none"/>
        </w:rPr>
        <w:t>合同授予标准</w:t>
      </w:r>
    </w:p>
    <w:p w14:paraId="54B0B90A">
      <w:pPr>
        <w:spacing w:line="360" w:lineRule="auto"/>
        <w:ind w:firstLine="440" w:firstLineChars="200"/>
        <w:rPr>
          <w:color w:val="auto"/>
          <w:highlight w:val="none"/>
        </w:rPr>
      </w:pPr>
      <w:r>
        <w:rPr>
          <w:rFonts w:hint="eastAsia"/>
          <w:color w:val="auto"/>
          <w:highlight w:val="none"/>
        </w:rPr>
        <w:t>除招标文件另有规定之外，采购人将把合同授予被确定为实质上响应招标文件要求，并有履行合同能力的评标价最低或评分最高的投标人作为中标人。</w:t>
      </w:r>
    </w:p>
    <w:p w14:paraId="1598E0A2">
      <w:pPr>
        <w:spacing w:line="360" w:lineRule="auto"/>
        <w:ind w:firstLine="442" w:firstLineChars="200"/>
        <w:rPr>
          <w:b/>
          <w:bCs/>
          <w:color w:val="auto"/>
          <w:highlight w:val="none"/>
        </w:rPr>
      </w:pPr>
      <w:bookmarkStart w:id="59" w:name="7.2授标时更改采购货物数量的权力（本项目不适用）"/>
      <w:bookmarkEnd w:id="59"/>
      <w:r>
        <w:rPr>
          <w:rFonts w:hint="eastAsia"/>
          <w:b/>
          <w:bCs/>
          <w:color w:val="auto"/>
          <w:highlight w:val="none"/>
          <w:lang w:val="en-US"/>
        </w:rPr>
        <w:t>7.2</w:t>
      </w:r>
      <w:r>
        <w:rPr>
          <w:rFonts w:hint="eastAsia"/>
          <w:b/>
          <w:bCs/>
          <w:color w:val="auto"/>
          <w:highlight w:val="none"/>
        </w:rPr>
        <w:t>授标时更改采购货物数量的权力（本项目不适用）</w:t>
      </w:r>
    </w:p>
    <w:p w14:paraId="76479DA7">
      <w:pPr>
        <w:spacing w:line="360" w:lineRule="auto"/>
        <w:ind w:firstLine="440" w:firstLineChars="200"/>
        <w:rPr>
          <w:color w:val="auto"/>
          <w:highlight w:val="none"/>
        </w:rPr>
      </w:pPr>
      <w:r>
        <w:rPr>
          <w:rFonts w:hint="eastAsia"/>
          <w:color w:val="auto"/>
          <w:highlight w:val="none"/>
        </w:rPr>
        <w:t>采购人在授予合同时有权在第二章“投标人须知前附表”规定的范围内，对第五章“项目采购需求”中规定的货物和服务的数量予以增加或减少，但不得对货物、单价或其它的条款和条件做任何改变。</w:t>
      </w:r>
    </w:p>
    <w:p w14:paraId="3136EC14">
      <w:pPr>
        <w:spacing w:line="360" w:lineRule="auto"/>
        <w:ind w:firstLine="442" w:firstLineChars="200"/>
        <w:rPr>
          <w:b/>
          <w:bCs/>
          <w:color w:val="auto"/>
          <w:highlight w:val="none"/>
        </w:rPr>
      </w:pPr>
      <w:bookmarkStart w:id="60" w:name="7.3中标结果"/>
      <w:bookmarkEnd w:id="60"/>
      <w:r>
        <w:rPr>
          <w:rFonts w:hint="eastAsia"/>
          <w:b/>
          <w:bCs/>
          <w:color w:val="auto"/>
          <w:highlight w:val="none"/>
          <w:lang w:val="en-US"/>
        </w:rPr>
        <w:t>7.3</w:t>
      </w:r>
      <w:r>
        <w:rPr>
          <w:rFonts w:hint="eastAsia"/>
          <w:b/>
          <w:bCs/>
          <w:color w:val="auto"/>
          <w:highlight w:val="none"/>
        </w:rPr>
        <w:t>中标结果</w:t>
      </w:r>
    </w:p>
    <w:p w14:paraId="20E35CA5">
      <w:pPr>
        <w:spacing w:line="360" w:lineRule="auto"/>
        <w:ind w:firstLine="440" w:firstLineChars="200"/>
        <w:rPr>
          <w:color w:val="auto"/>
          <w:highlight w:val="none"/>
        </w:rPr>
      </w:pPr>
      <w:r>
        <w:rPr>
          <w:rFonts w:hint="eastAsia"/>
          <w:color w:val="auto"/>
          <w:highlight w:val="none"/>
          <w:lang w:val="en-US"/>
        </w:rPr>
        <w:t>7.3.1</w:t>
      </w:r>
      <w:r>
        <w:rPr>
          <w:rFonts w:hint="eastAsia"/>
          <w:color w:val="auto"/>
          <w:highlight w:val="none"/>
        </w:rPr>
        <w:t>采购代理机构应当在评标结束后2个工作日内将评标报告送采购人。</w:t>
      </w:r>
    </w:p>
    <w:p w14:paraId="647CEDCE">
      <w:pPr>
        <w:spacing w:line="360" w:lineRule="auto"/>
        <w:ind w:firstLine="440" w:firstLineChars="200"/>
        <w:rPr>
          <w:color w:val="auto"/>
          <w:highlight w:val="none"/>
        </w:rPr>
      </w:pPr>
      <w:r>
        <w:rPr>
          <w:rFonts w:hint="eastAsia"/>
          <w:color w:val="auto"/>
          <w:highlight w:val="none"/>
          <w:lang w:val="en-US"/>
        </w:rPr>
        <w:t>7.3.2</w:t>
      </w:r>
      <w:r>
        <w:rPr>
          <w:rFonts w:hint="eastAsia"/>
          <w:color w:val="auto"/>
          <w:highlight w:val="none"/>
        </w:rPr>
        <w:t>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如因其他特殊原因不能在收到评标报告后</w:t>
      </w:r>
      <w:r>
        <w:rPr>
          <w:rFonts w:hint="eastAsia"/>
          <w:color w:val="auto"/>
          <w:highlight w:val="none"/>
          <w:lang w:val="en-US"/>
        </w:rPr>
        <w:t>5</w:t>
      </w:r>
      <w:r>
        <w:rPr>
          <w:rFonts w:hint="eastAsia"/>
          <w:color w:val="auto"/>
          <w:highlight w:val="none"/>
        </w:rPr>
        <w:t>个工作日内，确定中标投标人的，确认结果时间可以适当延长，但最常期限不得超过第一中标候选人的投标有效期。</w:t>
      </w:r>
    </w:p>
    <w:p w14:paraId="6C30B4D5">
      <w:pPr>
        <w:spacing w:line="360" w:lineRule="auto"/>
        <w:ind w:firstLine="440" w:firstLineChars="200"/>
        <w:rPr>
          <w:color w:val="auto"/>
          <w:highlight w:val="none"/>
        </w:rPr>
      </w:pPr>
      <w:r>
        <w:rPr>
          <w:rFonts w:hint="eastAsia"/>
          <w:color w:val="auto"/>
          <w:highlight w:val="none"/>
          <w:lang w:val="en-US"/>
        </w:rPr>
        <w:t>7.3.3</w:t>
      </w:r>
      <w:r>
        <w:rPr>
          <w:rFonts w:hint="eastAsia"/>
          <w:color w:val="auto"/>
          <w:highlight w:val="none"/>
        </w:rPr>
        <w:t>采购人在收到评标报告5个工作日内未按评标报告推荐的中标候选人顺序确定中标人，又不能说明合法理由的，视同按评标报告推荐的顺序确定排名第一的中标候选人为中标人。</w:t>
      </w:r>
    </w:p>
    <w:p w14:paraId="3BA02B05">
      <w:pPr>
        <w:spacing w:line="360" w:lineRule="auto"/>
        <w:ind w:firstLine="440" w:firstLineChars="200"/>
        <w:rPr>
          <w:color w:val="auto"/>
          <w:highlight w:val="none"/>
        </w:rPr>
      </w:pPr>
      <w:r>
        <w:rPr>
          <w:rFonts w:hint="eastAsia"/>
          <w:color w:val="auto"/>
          <w:highlight w:val="none"/>
          <w:lang w:val="en-US"/>
        </w:rPr>
        <w:t>7.3.4</w:t>
      </w:r>
      <w:r>
        <w:rPr>
          <w:rFonts w:hint="eastAsia"/>
          <w:color w:val="auto"/>
          <w:highlight w:val="none"/>
        </w:rPr>
        <w:t>采购人或者采购代理机构应当自中标人确定之日起2个工作日内，发出中标、成交通知书，并在省级以上财政部门指定的媒体上公告中标、成交结果，招标文件应当随中标结果同时公告。中标、成交结果公告媒介及期限见供应商须知前附表。</w:t>
      </w:r>
    </w:p>
    <w:p w14:paraId="277182D4">
      <w:pPr>
        <w:spacing w:line="360" w:lineRule="auto"/>
        <w:ind w:firstLine="440" w:firstLineChars="200"/>
        <w:rPr>
          <w:color w:val="auto"/>
          <w:highlight w:val="none"/>
        </w:rPr>
      </w:pPr>
      <w:r>
        <w:rPr>
          <w:rFonts w:hint="eastAsia"/>
          <w:color w:val="auto"/>
          <w:highlight w:val="none"/>
          <w:lang w:val="en-US"/>
        </w:rPr>
        <w:t>7.3.5</w:t>
      </w:r>
      <w:r>
        <w:rPr>
          <w:rFonts w:hint="eastAsia"/>
          <w:color w:val="auto"/>
          <w:highlight w:val="none"/>
        </w:rPr>
        <w:t>中标结果公告内容应当按照财政部第19号令、财库（2015）135号及《政府采购货物和服务招标投标管理办法》(财政部令87号)、《政府采购公告和公示信息格式规范（2020年版）》规定内容编制。</w:t>
      </w:r>
    </w:p>
    <w:p w14:paraId="66858225">
      <w:pPr>
        <w:spacing w:line="360" w:lineRule="auto"/>
        <w:ind w:firstLine="440" w:firstLineChars="200"/>
        <w:rPr>
          <w:color w:val="auto"/>
          <w:highlight w:val="none"/>
        </w:rPr>
      </w:pPr>
      <w:r>
        <w:rPr>
          <w:rFonts w:hint="eastAsia"/>
          <w:color w:val="auto"/>
          <w:highlight w:val="none"/>
          <w:lang w:val="en-US"/>
        </w:rPr>
        <w:t>7.3.6</w:t>
      </w:r>
      <w:r>
        <w:rPr>
          <w:rFonts w:hint="eastAsia"/>
          <w:color w:val="auto"/>
          <w:highlight w:val="none"/>
        </w:rPr>
        <w:t>中标公告期限为1个工作日。</w:t>
      </w:r>
    </w:p>
    <w:p w14:paraId="69A4F50E">
      <w:pPr>
        <w:spacing w:line="360" w:lineRule="auto"/>
        <w:ind w:firstLine="442" w:firstLineChars="200"/>
        <w:rPr>
          <w:b/>
          <w:bCs/>
          <w:color w:val="auto"/>
          <w:highlight w:val="none"/>
        </w:rPr>
      </w:pPr>
      <w:bookmarkStart w:id="61" w:name="7.4接受和拒绝任何或所有投标的权力"/>
      <w:bookmarkEnd w:id="61"/>
      <w:r>
        <w:rPr>
          <w:rFonts w:hint="eastAsia"/>
          <w:b/>
          <w:bCs/>
          <w:color w:val="auto"/>
          <w:highlight w:val="none"/>
          <w:lang w:val="en-US"/>
        </w:rPr>
        <w:t>7.4</w:t>
      </w:r>
      <w:r>
        <w:rPr>
          <w:rFonts w:hint="eastAsia"/>
          <w:b/>
          <w:bCs/>
          <w:color w:val="auto"/>
          <w:highlight w:val="none"/>
        </w:rPr>
        <w:t>接受和拒绝任何或所有投标的权力</w:t>
      </w:r>
    </w:p>
    <w:p w14:paraId="697BD80D">
      <w:pPr>
        <w:spacing w:line="360" w:lineRule="auto"/>
        <w:ind w:firstLine="440" w:firstLineChars="200"/>
        <w:rPr>
          <w:color w:val="auto"/>
          <w:highlight w:val="none"/>
        </w:rPr>
      </w:pPr>
      <w:r>
        <w:rPr>
          <w:rFonts w:hint="eastAsia"/>
          <w:color w:val="auto"/>
          <w:highlight w:val="none"/>
        </w:rPr>
        <w:t>如出现重大变故，采购任务取消情况，采购人保留因此原因在授标之前任何时候接受或拒绝任何投标、以及宣布招标无效或拒绝所有投标的权力，对受影响的投标人不承担任何责任。</w:t>
      </w:r>
    </w:p>
    <w:p w14:paraId="055A15FD">
      <w:pPr>
        <w:spacing w:line="360" w:lineRule="auto"/>
        <w:ind w:firstLine="442" w:firstLineChars="200"/>
        <w:rPr>
          <w:b/>
          <w:bCs/>
          <w:color w:val="auto"/>
          <w:highlight w:val="none"/>
        </w:rPr>
      </w:pPr>
      <w:bookmarkStart w:id="62" w:name="7.5中标通知书"/>
      <w:bookmarkEnd w:id="62"/>
      <w:r>
        <w:rPr>
          <w:rFonts w:hint="eastAsia"/>
          <w:b/>
          <w:bCs/>
          <w:color w:val="auto"/>
          <w:highlight w:val="none"/>
          <w:lang w:val="en-US"/>
        </w:rPr>
        <w:t>7.5</w:t>
      </w:r>
      <w:r>
        <w:rPr>
          <w:rFonts w:hint="eastAsia"/>
          <w:b/>
          <w:bCs/>
          <w:color w:val="auto"/>
          <w:highlight w:val="none"/>
        </w:rPr>
        <w:t>中标通知书</w:t>
      </w:r>
    </w:p>
    <w:p w14:paraId="1A370D8F">
      <w:pPr>
        <w:spacing w:line="360" w:lineRule="auto"/>
        <w:ind w:firstLine="440" w:firstLineChars="200"/>
        <w:rPr>
          <w:color w:val="auto"/>
          <w:highlight w:val="none"/>
        </w:rPr>
      </w:pPr>
      <w:r>
        <w:rPr>
          <w:rFonts w:hint="eastAsia"/>
          <w:color w:val="auto"/>
          <w:highlight w:val="none"/>
          <w:lang w:val="en-US"/>
        </w:rPr>
        <w:t>7.5.1</w:t>
      </w:r>
      <w:r>
        <w:rPr>
          <w:rFonts w:hint="eastAsia"/>
          <w:color w:val="auto"/>
          <w:highlight w:val="none"/>
        </w:rPr>
        <w:t>在投标有效期满之前，采购代理机构将以书面形式通知中标人中标。</w:t>
      </w:r>
    </w:p>
    <w:p w14:paraId="6E19ED0D">
      <w:pPr>
        <w:spacing w:line="360" w:lineRule="auto"/>
        <w:ind w:firstLine="440" w:firstLineChars="200"/>
        <w:rPr>
          <w:color w:val="auto"/>
          <w:highlight w:val="none"/>
        </w:rPr>
      </w:pPr>
      <w:r>
        <w:rPr>
          <w:rFonts w:hint="eastAsia"/>
          <w:color w:val="auto"/>
          <w:highlight w:val="none"/>
          <w:lang w:val="en-US"/>
        </w:rPr>
        <w:t>7.5.2</w:t>
      </w:r>
      <w:r>
        <w:rPr>
          <w:rFonts w:hint="eastAsia"/>
          <w:color w:val="auto"/>
          <w:highlight w:val="none"/>
        </w:rPr>
        <w:t>中标通知书将作为进行合同谈判和签订合同的依据。</w:t>
      </w:r>
    </w:p>
    <w:p w14:paraId="71D9282B">
      <w:pPr>
        <w:spacing w:line="360" w:lineRule="auto"/>
        <w:ind w:firstLine="442" w:firstLineChars="200"/>
        <w:rPr>
          <w:b/>
          <w:bCs/>
          <w:color w:val="auto"/>
          <w:highlight w:val="none"/>
        </w:rPr>
      </w:pPr>
      <w:bookmarkStart w:id="63" w:name="7.6签订合同"/>
      <w:bookmarkEnd w:id="63"/>
      <w:r>
        <w:rPr>
          <w:rFonts w:hint="eastAsia"/>
          <w:b/>
          <w:bCs/>
          <w:color w:val="auto"/>
          <w:highlight w:val="none"/>
          <w:lang w:val="en-US"/>
        </w:rPr>
        <w:t>7.6</w:t>
      </w:r>
      <w:r>
        <w:rPr>
          <w:rFonts w:hint="eastAsia"/>
          <w:b/>
          <w:bCs/>
          <w:color w:val="auto"/>
          <w:highlight w:val="none"/>
        </w:rPr>
        <w:t>签订合同</w:t>
      </w:r>
    </w:p>
    <w:p w14:paraId="06F3E93C">
      <w:pPr>
        <w:spacing w:line="360" w:lineRule="auto"/>
        <w:ind w:firstLine="440" w:firstLineChars="200"/>
        <w:rPr>
          <w:color w:val="auto"/>
          <w:highlight w:val="none"/>
        </w:rPr>
      </w:pPr>
      <w:r>
        <w:rPr>
          <w:rFonts w:hint="eastAsia"/>
          <w:color w:val="auto"/>
          <w:highlight w:val="none"/>
          <w:lang w:val="en-US"/>
        </w:rPr>
        <w:t>7.6.1</w:t>
      </w:r>
      <w:r>
        <w:rPr>
          <w:rFonts w:hint="eastAsia"/>
          <w:color w:val="auto"/>
          <w:highlight w:val="none"/>
        </w:rPr>
        <w:t>采购人应当自中标通知书发出之日起</w:t>
      </w:r>
      <w:r>
        <w:rPr>
          <w:rFonts w:hint="eastAsia"/>
          <w:color w:val="auto"/>
          <w:highlight w:val="none"/>
          <w:lang w:val="en-US"/>
        </w:rPr>
        <w:t>2个工作</w:t>
      </w:r>
      <w:r>
        <w:rPr>
          <w:rFonts w:hint="eastAsia"/>
          <w:color w:val="auto"/>
          <w:highlight w:val="none"/>
        </w:rPr>
        <w:t>日内，按照招标文件和中标人投标文件的规定，与中标人签订书面合同。所签订的合同不得对招标文件确定的事项和中标人投标文件作实质性修改。</w:t>
      </w:r>
    </w:p>
    <w:p w14:paraId="4AFF1C41">
      <w:pPr>
        <w:spacing w:line="360" w:lineRule="auto"/>
        <w:ind w:firstLine="440" w:firstLineChars="200"/>
        <w:rPr>
          <w:color w:val="auto"/>
          <w:highlight w:val="none"/>
        </w:rPr>
      </w:pPr>
      <w:r>
        <w:rPr>
          <w:rFonts w:hint="eastAsia"/>
          <w:color w:val="auto"/>
          <w:highlight w:val="none"/>
          <w:lang w:val="en-US"/>
        </w:rPr>
        <w:t>7.6.2</w:t>
      </w:r>
      <w:r>
        <w:rPr>
          <w:rFonts w:hint="eastAsia"/>
          <w:color w:val="auto"/>
          <w:highlight w:val="none"/>
        </w:rPr>
        <w:t>采购人不得向中标人提出任何不合理的要求作为签订合同的条件。</w:t>
      </w:r>
    </w:p>
    <w:p w14:paraId="19CD4242">
      <w:pPr>
        <w:spacing w:line="360" w:lineRule="auto"/>
        <w:ind w:firstLine="440" w:firstLineChars="200"/>
        <w:rPr>
          <w:color w:val="auto"/>
          <w:highlight w:val="none"/>
        </w:rPr>
      </w:pPr>
      <w:r>
        <w:rPr>
          <w:rFonts w:hint="eastAsia"/>
          <w:color w:val="auto"/>
          <w:highlight w:val="none"/>
          <w:lang w:val="en-US"/>
        </w:rPr>
        <w:t>7.6.3</w:t>
      </w:r>
      <w:r>
        <w:rPr>
          <w:rFonts w:hint="eastAsia"/>
          <w:color w:val="auto"/>
          <w:highlight w:val="none"/>
        </w:rPr>
        <w:t>中标人应按中标通知书指定的时间、地点，与采购人进行合同谈判。</w:t>
      </w:r>
    </w:p>
    <w:p w14:paraId="766EE935">
      <w:pPr>
        <w:spacing w:line="360" w:lineRule="auto"/>
        <w:ind w:firstLine="440" w:firstLineChars="200"/>
        <w:rPr>
          <w:color w:val="auto"/>
          <w:highlight w:val="none"/>
        </w:rPr>
      </w:pPr>
      <w:r>
        <w:rPr>
          <w:rFonts w:hint="eastAsia"/>
          <w:color w:val="auto"/>
          <w:highlight w:val="none"/>
          <w:lang w:val="en-US"/>
        </w:rPr>
        <w:t>7.6.4</w:t>
      </w:r>
      <w:r>
        <w:rPr>
          <w:rFonts w:hint="eastAsia"/>
          <w:color w:val="auto"/>
          <w:highlight w:val="none"/>
        </w:rPr>
        <w:t>招标文件、中标人的投标文件和澄清文件等，均应作为签约的合同文本的基础。</w:t>
      </w:r>
    </w:p>
    <w:p w14:paraId="66B9657E">
      <w:pPr>
        <w:spacing w:line="360" w:lineRule="auto"/>
        <w:ind w:firstLine="440" w:firstLineChars="200"/>
        <w:rPr>
          <w:color w:val="auto"/>
          <w:highlight w:val="none"/>
        </w:rPr>
      </w:pPr>
      <w:r>
        <w:rPr>
          <w:rFonts w:hint="eastAsia"/>
          <w:color w:val="auto"/>
          <w:highlight w:val="none"/>
          <w:lang w:val="en-US"/>
        </w:rPr>
        <w:t>7.6.5</w:t>
      </w:r>
      <w:r>
        <w:rPr>
          <w:rFonts w:hint="eastAsia"/>
          <w:color w:val="auto"/>
          <w:highlight w:val="none"/>
        </w:rPr>
        <w:t>如采购人或中标人拒签合同，则按违约处理。</w:t>
      </w:r>
    </w:p>
    <w:p w14:paraId="09991763">
      <w:pPr>
        <w:spacing w:line="360" w:lineRule="auto"/>
        <w:ind w:firstLine="440" w:firstLineChars="200"/>
        <w:rPr>
          <w:color w:val="auto"/>
          <w:highlight w:val="none"/>
        </w:rPr>
      </w:pPr>
      <w:r>
        <w:rPr>
          <w:rFonts w:hint="eastAsia"/>
          <w:color w:val="auto"/>
          <w:highlight w:val="none"/>
          <w:lang w:val="en-US"/>
        </w:rPr>
        <w:t>7.6.6</w:t>
      </w:r>
      <w:r>
        <w:rPr>
          <w:rFonts w:hint="eastAsia"/>
          <w:color w:val="auto"/>
          <w:highlight w:val="none"/>
        </w:rPr>
        <w:t>如中标人不按第 7.6.1 条约定签合同，采购人将报请政府采购行政主管部门将取消其中标决定。</w:t>
      </w:r>
    </w:p>
    <w:p w14:paraId="0738F278">
      <w:pPr>
        <w:spacing w:line="360" w:lineRule="auto"/>
        <w:ind w:firstLine="442" w:firstLineChars="200"/>
        <w:rPr>
          <w:b/>
          <w:bCs/>
          <w:color w:val="auto"/>
          <w:highlight w:val="none"/>
        </w:rPr>
      </w:pPr>
      <w:bookmarkStart w:id="64" w:name="7.7履约保证金（本项目不适用）"/>
      <w:bookmarkEnd w:id="64"/>
      <w:r>
        <w:rPr>
          <w:rFonts w:hint="eastAsia"/>
          <w:b/>
          <w:bCs/>
          <w:color w:val="auto"/>
          <w:highlight w:val="none"/>
          <w:lang w:val="en-US"/>
        </w:rPr>
        <w:t>7.7</w:t>
      </w:r>
      <w:r>
        <w:rPr>
          <w:rFonts w:hint="eastAsia"/>
          <w:b/>
          <w:bCs/>
          <w:color w:val="auto"/>
          <w:highlight w:val="none"/>
        </w:rPr>
        <w:t>履约保证金（本项目不适用）</w:t>
      </w:r>
    </w:p>
    <w:p w14:paraId="5F9D3EA9">
      <w:pPr>
        <w:spacing w:line="360" w:lineRule="auto"/>
        <w:ind w:firstLine="440" w:firstLineChars="200"/>
        <w:rPr>
          <w:color w:val="auto"/>
          <w:highlight w:val="none"/>
        </w:rPr>
      </w:pPr>
      <w:r>
        <w:rPr>
          <w:rFonts w:hint="eastAsia"/>
          <w:color w:val="auto"/>
          <w:highlight w:val="none"/>
        </w:rPr>
        <w:t>招标文件要求中标或者成交投标人提交履约保证金的，投标人应当以支票、汇票、本票或者金融机构、担保机构出具的保函等非现金形式提交。履约保证金的数额不得超过政府采购合同金额的 10%。</w:t>
      </w:r>
    </w:p>
    <w:p w14:paraId="05536DA4">
      <w:pPr>
        <w:spacing w:line="360" w:lineRule="auto"/>
        <w:ind w:firstLine="442" w:firstLineChars="200"/>
        <w:rPr>
          <w:b/>
          <w:bCs/>
          <w:color w:val="auto"/>
          <w:highlight w:val="none"/>
        </w:rPr>
      </w:pPr>
      <w:bookmarkStart w:id="65" w:name="7.8中标服务费"/>
      <w:bookmarkEnd w:id="65"/>
      <w:r>
        <w:rPr>
          <w:rFonts w:hint="eastAsia"/>
          <w:b/>
          <w:bCs/>
          <w:color w:val="auto"/>
          <w:highlight w:val="none"/>
          <w:lang w:val="en-US"/>
        </w:rPr>
        <w:t>7.8</w:t>
      </w:r>
      <w:r>
        <w:rPr>
          <w:rFonts w:hint="eastAsia"/>
          <w:b/>
          <w:bCs/>
          <w:color w:val="auto"/>
          <w:highlight w:val="none"/>
        </w:rPr>
        <w:t>中标服务费</w:t>
      </w:r>
    </w:p>
    <w:p w14:paraId="547E10A0">
      <w:pPr>
        <w:spacing w:line="360" w:lineRule="auto"/>
        <w:ind w:firstLine="440" w:firstLineChars="200"/>
        <w:rPr>
          <w:b/>
          <w:bCs/>
          <w:color w:val="auto"/>
          <w:highlight w:val="none"/>
        </w:rPr>
      </w:pPr>
      <w:r>
        <w:rPr>
          <w:rFonts w:hint="eastAsia"/>
          <w:color w:val="auto"/>
          <w:highlight w:val="none"/>
        </w:rPr>
        <w:t>中标人应在领取中标通知书的同时，按第二章“投标人须知前附表”中的规定向采购代理机构支付中标服务费。</w:t>
      </w:r>
    </w:p>
    <w:p w14:paraId="7E31C1F4">
      <w:pPr>
        <w:spacing w:line="360" w:lineRule="auto"/>
        <w:ind w:firstLine="442" w:firstLineChars="200"/>
        <w:rPr>
          <w:b/>
          <w:bCs/>
          <w:color w:val="auto"/>
          <w:highlight w:val="none"/>
        </w:rPr>
      </w:pPr>
      <w:bookmarkStart w:id="66" w:name="_bookmark10"/>
      <w:bookmarkEnd w:id="66"/>
      <w:bookmarkStart w:id="67" w:name="8.重新招标"/>
      <w:bookmarkEnd w:id="67"/>
      <w:r>
        <w:rPr>
          <w:rFonts w:hint="eastAsia"/>
          <w:b/>
          <w:bCs/>
          <w:color w:val="auto"/>
          <w:highlight w:val="none"/>
          <w:lang w:val="en-US"/>
        </w:rPr>
        <w:t>8.</w:t>
      </w:r>
      <w:r>
        <w:rPr>
          <w:rFonts w:hint="eastAsia"/>
          <w:b/>
          <w:bCs/>
          <w:color w:val="auto"/>
          <w:highlight w:val="none"/>
        </w:rPr>
        <w:t>重新招标</w:t>
      </w:r>
    </w:p>
    <w:p w14:paraId="3A7EAA2C">
      <w:pPr>
        <w:spacing w:line="360" w:lineRule="auto"/>
        <w:ind w:firstLine="440" w:firstLineChars="200"/>
        <w:rPr>
          <w:color w:val="auto"/>
          <w:highlight w:val="none"/>
        </w:rPr>
      </w:pPr>
      <w:bookmarkStart w:id="68" w:name="8.1有下列情形之一的，采购人将重新招标："/>
      <w:bookmarkEnd w:id="68"/>
      <w:r>
        <w:rPr>
          <w:rFonts w:hint="eastAsia"/>
          <w:color w:val="auto"/>
          <w:highlight w:val="none"/>
        </w:rPr>
        <w:t>有下列情形之一的，采购人将重新招标：</w:t>
      </w:r>
    </w:p>
    <w:p w14:paraId="2D0312D9">
      <w:pPr>
        <w:spacing w:line="360" w:lineRule="auto"/>
        <w:ind w:firstLine="440" w:firstLineChars="200"/>
        <w:rPr>
          <w:color w:val="auto"/>
          <w:highlight w:val="none"/>
        </w:rPr>
      </w:pPr>
      <w:r>
        <w:rPr>
          <w:rFonts w:hint="eastAsia"/>
          <w:color w:val="auto"/>
          <w:highlight w:val="none"/>
          <w:lang w:val="en-US"/>
        </w:rPr>
        <w:t>（1）</w:t>
      </w:r>
      <w:r>
        <w:rPr>
          <w:rFonts w:hint="eastAsia"/>
          <w:color w:val="auto"/>
          <w:highlight w:val="none"/>
        </w:rPr>
        <w:t>投标截止时间止，投标人少于3个的；</w:t>
      </w:r>
    </w:p>
    <w:p w14:paraId="5359FBD4">
      <w:pPr>
        <w:spacing w:line="360" w:lineRule="auto"/>
        <w:ind w:firstLine="440" w:firstLineChars="200"/>
        <w:rPr>
          <w:color w:val="auto"/>
          <w:highlight w:val="none"/>
        </w:rPr>
      </w:pPr>
      <w:r>
        <w:rPr>
          <w:rFonts w:hint="eastAsia"/>
          <w:color w:val="auto"/>
          <w:highlight w:val="none"/>
          <w:lang w:val="en-US"/>
        </w:rPr>
        <w:t>（2）</w:t>
      </w:r>
      <w:r>
        <w:rPr>
          <w:rFonts w:hint="eastAsia"/>
          <w:color w:val="auto"/>
          <w:highlight w:val="none"/>
        </w:rPr>
        <w:t>公开招标采购项目开标结束后，采购人或者采购代理机构应当依法对投标人的资格进行审查。合格投标人不足3家的，不得评标；</w:t>
      </w:r>
    </w:p>
    <w:p w14:paraId="03BDA4E8">
      <w:pPr>
        <w:spacing w:line="360" w:lineRule="auto"/>
        <w:ind w:firstLine="440" w:firstLineChars="200"/>
        <w:rPr>
          <w:color w:val="auto"/>
          <w:highlight w:val="none"/>
        </w:rPr>
      </w:pPr>
      <w:r>
        <w:rPr>
          <w:rFonts w:hint="eastAsia"/>
          <w:color w:val="auto"/>
          <w:highlight w:val="none"/>
          <w:lang w:val="en-US"/>
        </w:rPr>
        <w:t>（3）</w:t>
      </w:r>
      <w:r>
        <w:rPr>
          <w:rFonts w:hint="eastAsia"/>
          <w:color w:val="auto"/>
          <w:highlight w:val="none"/>
        </w:rPr>
        <w:t>经评审小组评审后有效投标人不足3家的。</w:t>
      </w:r>
    </w:p>
    <w:p w14:paraId="0E52A1FB">
      <w:pPr>
        <w:spacing w:line="360" w:lineRule="auto"/>
        <w:ind w:firstLine="442" w:firstLineChars="200"/>
        <w:rPr>
          <w:b/>
          <w:bCs/>
          <w:color w:val="auto"/>
          <w:highlight w:val="none"/>
        </w:rPr>
      </w:pPr>
      <w:bookmarkStart w:id="69" w:name="_bookmark11"/>
      <w:bookmarkEnd w:id="69"/>
      <w:bookmarkStart w:id="70" w:name="9.纪律和监督"/>
      <w:bookmarkEnd w:id="70"/>
      <w:r>
        <w:rPr>
          <w:rFonts w:hint="eastAsia"/>
          <w:b/>
          <w:bCs/>
          <w:color w:val="auto"/>
          <w:highlight w:val="none"/>
          <w:lang w:val="en-US"/>
        </w:rPr>
        <w:t>9.</w:t>
      </w:r>
      <w:r>
        <w:rPr>
          <w:rFonts w:hint="eastAsia"/>
          <w:b/>
          <w:bCs/>
          <w:color w:val="auto"/>
          <w:highlight w:val="none"/>
        </w:rPr>
        <w:t>纪律和监督</w:t>
      </w:r>
    </w:p>
    <w:p w14:paraId="75BEB899">
      <w:pPr>
        <w:spacing w:line="360" w:lineRule="auto"/>
        <w:ind w:firstLine="442" w:firstLineChars="200"/>
        <w:rPr>
          <w:color w:val="auto"/>
          <w:highlight w:val="none"/>
        </w:rPr>
      </w:pPr>
      <w:bookmarkStart w:id="71" w:name="9.1纪律要求"/>
      <w:bookmarkEnd w:id="71"/>
      <w:r>
        <w:rPr>
          <w:rFonts w:hint="eastAsia"/>
          <w:b/>
          <w:bCs/>
          <w:color w:val="auto"/>
          <w:highlight w:val="none"/>
          <w:lang w:val="en-US"/>
        </w:rPr>
        <w:t>9.1</w:t>
      </w:r>
      <w:r>
        <w:rPr>
          <w:rFonts w:hint="eastAsia"/>
          <w:b/>
          <w:bCs/>
          <w:color w:val="auto"/>
          <w:highlight w:val="none"/>
        </w:rPr>
        <w:t>纪律要求</w:t>
      </w:r>
    </w:p>
    <w:p w14:paraId="36DF796A">
      <w:pPr>
        <w:spacing w:line="360" w:lineRule="auto"/>
        <w:ind w:firstLine="440" w:firstLineChars="200"/>
        <w:rPr>
          <w:color w:val="auto"/>
          <w:highlight w:val="none"/>
        </w:rPr>
      </w:pPr>
      <w:bookmarkStart w:id="72" w:name="9.1.1采购人不得泄漏采购活动中应当保密的情况和资料，不得与投标人串通损害国家"/>
      <w:bookmarkEnd w:id="72"/>
      <w:r>
        <w:rPr>
          <w:rFonts w:hint="eastAsia"/>
          <w:color w:val="auto"/>
          <w:highlight w:val="none"/>
          <w:lang w:val="en-US"/>
        </w:rPr>
        <w:t>9.1.1</w:t>
      </w:r>
      <w:r>
        <w:rPr>
          <w:rFonts w:hint="eastAsia"/>
          <w:color w:val="auto"/>
          <w:highlight w:val="none"/>
        </w:rPr>
        <w:t>采购人不得泄漏采购活动中应当保密的情况和资料，不得与投标人串通损害国家利益、社会公共利益或者他人合法权益。</w:t>
      </w:r>
    </w:p>
    <w:p w14:paraId="3C128A9C">
      <w:pPr>
        <w:spacing w:line="360" w:lineRule="auto"/>
        <w:ind w:firstLine="440" w:firstLineChars="200"/>
        <w:rPr>
          <w:color w:val="auto"/>
          <w:highlight w:val="none"/>
        </w:rPr>
      </w:pPr>
      <w:bookmarkStart w:id="73" w:name="9.1.2投标人不得相互串通投标或者与采购人串通投标，不得向采购人或者评审小组行"/>
      <w:bookmarkEnd w:id="73"/>
      <w:r>
        <w:rPr>
          <w:rFonts w:hint="eastAsia"/>
          <w:color w:val="auto"/>
          <w:highlight w:val="none"/>
          <w:lang w:val="en-US"/>
        </w:rPr>
        <w:t>9.1.2</w:t>
      </w:r>
      <w:r>
        <w:rPr>
          <w:rFonts w:hint="eastAsia"/>
          <w:color w:val="auto"/>
          <w:highlight w:val="none"/>
        </w:rPr>
        <w:t>投标人不得相互串通投标或者与采购人串通投标，不得向采购人或者评审小组行贿谋取中标，不得以他人名义投标或者以其他方式弄虚作假骗取中标；投标人不得以任何方式干扰、影响评审工作。</w:t>
      </w:r>
    </w:p>
    <w:p w14:paraId="3569F51B">
      <w:pPr>
        <w:spacing w:line="360" w:lineRule="auto"/>
        <w:ind w:firstLine="440" w:firstLineChars="200"/>
        <w:rPr>
          <w:color w:val="auto"/>
          <w:highlight w:val="none"/>
        </w:rPr>
      </w:pPr>
      <w:bookmarkStart w:id="74" w:name="9.1.3评审专家应当遵守评审工作纪律、不得泄露评审情况和评审中获悉的国家秘密、"/>
      <w:bookmarkEnd w:id="74"/>
      <w:r>
        <w:rPr>
          <w:rFonts w:hint="eastAsia"/>
          <w:color w:val="auto"/>
          <w:highlight w:val="none"/>
          <w:lang w:val="en-US"/>
        </w:rPr>
        <w:t>9.1.3</w:t>
      </w:r>
      <w:r>
        <w:rPr>
          <w:rFonts w:hint="eastAsia"/>
          <w:color w:val="auto"/>
          <w:highlight w:val="none"/>
        </w:rPr>
        <w:t>评审专家应当遵守评审工作纪律、不得泄露评审情况和评审中获悉的国家秘密、商业秘密。</w:t>
      </w:r>
    </w:p>
    <w:p w14:paraId="414CDFEE">
      <w:pPr>
        <w:spacing w:line="360" w:lineRule="auto"/>
        <w:ind w:firstLine="440" w:firstLineChars="200"/>
        <w:rPr>
          <w:color w:val="auto"/>
          <w:highlight w:val="none"/>
        </w:rPr>
      </w:pPr>
      <w:bookmarkStart w:id="75" w:name="9.1.4评审小组在评审过程中发现投标人有行贿、提供虚假材料或者串通等违法行为的"/>
      <w:bookmarkEnd w:id="75"/>
      <w:r>
        <w:rPr>
          <w:rFonts w:hint="eastAsia"/>
          <w:color w:val="auto"/>
          <w:highlight w:val="none"/>
          <w:lang w:val="en-US"/>
        </w:rPr>
        <w:t>9.1.4</w:t>
      </w:r>
      <w:r>
        <w:rPr>
          <w:rFonts w:hint="eastAsia"/>
          <w:color w:val="auto"/>
          <w:highlight w:val="none"/>
        </w:rPr>
        <w:t>评审小组在评审过程中发现投标人有行贿、提供虚假材料或者串通等违法行为的，应当及时向财政部门报告。</w:t>
      </w:r>
    </w:p>
    <w:p w14:paraId="1E49860C">
      <w:pPr>
        <w:spacing w:line="360" w:lineRule="auto"/>
        <w:ind w:firstLine="440" w:firstLineChars="200"/>
        <w:rPr>
          <w:color w:val="auto"/>
          <w:highlight w:val="none"/>
        </w:rPr>
      </w:pPr>
      <w:bookmarkStart w:id="76" w:name="9.1.5评审专家在评审过程中受到非法干涉的，应当及时向财政、监察等部门举报。"/>
      <w:bookmarkEnd w:id="76"/>
      <w:r>
        <w:rPr>
          <w:rFonts w:hint="eastAsia"/>
          <w:color w:val="auto"/>
          <w:highlight w:val="none"/>
          <w:lang w:val="en-US"/>
        </w:rPr>
        <w:t>9.1.5</w:t>
      </w:r>
      <w:r>
        <w:rPr>
          <w:rFonts w:hint="eastAsia"/>
          <w:color w:val="auto"/>
          <w:highlight w:val="none"/>
        </w:rPr>
        <w:t>评审专家在评审过程中受到非法干涉的，应当及时向财政、监察等部门举报。</w:t>
      </w:r>
    </w:p>
    <w:p w14:paraId="2339025D">
      <w:pPr>
        <w:spacing w:line="360" w:lineRule="auto"/>
        <w:ind w:firstLine="440" w:firstLineChars="200"/>
        <w:rPr>
          <w:color w:val="auto"/>
          <w:highlight w:val="none"/>
        </w:rPr>
      </w:pPr>
      <w:bookmarkStart w:id="77" w:name="9.1.6与评审活动有关的工作人员不得收受他人的财物或者其他好处，不得向他人透漏"/>
      <w:bookmarkEnd w:id="77"/>
      <w:r>
        <w:rPr>
          <w:rFonts w:hint="eastAsia"/>
          <w:color w:val="auto"/>
          <w:highlight w:val="none"/>
          <w:lang w:val="en-US"/>
        </w:rPr>
        <w:t>9.1.6</w:t>
      </w:r>
      <w:r>
        <w:rPr>
          <w:rFonts w:hint="eastAsia"/>
          <w:color w:val="auto"/>
          <w:highlight w:val="none"/>
        </w:rPr>
        <w:t>与评审活动有关的工作人员不得收受他人的财物或者其他好处，不得向他人透漏获悉的国家秘密、商业秘密。在评审活动中，与评审活动有关的工作人员不得擅离职守，影响评审程序正常进行。</w:t>
      </w:r>
    </w:p>
    <w:p w14:paraId="119D3F32">
      <w:pPr>
        <w:spacing w:line="360" w:lineRule="auto"/>
        <w:ind w:firstLine="442" w:firstLineChars="200"/>
        <w:rPr>
          <w:b/>
          <w:bCs/>
          <w:color w:val="auto"/>
          <w:highlight w:val="none"/>
        </w:rPr>
      </w:pPr>
      <w:bookmarkStart w:id="78" w:name="9.2质疑、投诉"/>
      <w:bookmarkEnd w:id="78"/>
      <w:r>
        <w:rPr>
          <w:rFonts w:hint="eastAsia"/>
          <w:b/>
          <w:bCs/>
          <w:color w:val="auto"/>
          <w:highlight w:val="none"/>
          <w:lang w:val="en-US"/>
        </w:rPr>
        <w:t>9.2</w:t>
      </w:r>
      <w:r>
        <w:rPr>
          <w:rFonts w:hint="eastAsia"/>
          <w:b/>
          <w:bCs/>
          <w:color w:val="auto"/>
          <w:highlight w:val="none"/>
        </w:rPr>
        <w:t>质疑、投诉</w:t>
      </w:r>
    </w:p>
    <w:p w14:paraId="1711F05A">
      <w:pPr>
        <w:spacing w:line="360" w:lineRule="auto"/>
        <w:ind w:firstLine="440" w:firstLineChars="200"/>
        <w:rPr>
          <w:color w:val="auto"/>
          <w:highlight w:val="none"/>
        </w:rPr>
      </w:pPr>
      <w:r>
        <w:rPr>
          <w:rFonts w:hint="eastAsia"/>
          <w:color w:val="auto"/>
          <w:highlight w:val="none"/>
          <w:lang w:val="en-US"/>
        </w:rPr>
        <w:t>9.2.1</w:t>
      </w:r>
      <w:r>
        <w:rPr>
          <w:rFonts w:hint="eastAsia"/>
          <w:color w:val="auto"/>
          <w:highlight w:val="none"/>
        </w:rPr>
        <w:t>为保护政府采购当事人的合法权益，维护政府采购公平竞争环境，建立规范高效的政府采购质疑处理机制，依据《中国人民共和国政府采购法》、《政府采购质疑和投诉办法》（财政部94号令）、《财政部关于加强政府采购投标人投诉受理审查工作的通知》（财库[2007]1号）、豫财办购[2005]23号文件、郑财购[2019]14号文等文件的规定，制定本暂行须知。</w:t>
      </w:r>
    </w:p>
    <w:p w14:paraId="328051B1">
      <w:pPr>
        <w:spacing w:line="360" w:lineRule="auto"/>
        <w:ind w:firstLine="440" w:firstLineChars="200"/>
        <w:rPr>
          <w:color w:val="auto"/>
          <w:highlight w:val="none"/>
        </w:rPr>
      </w:pPr>
      <w:r>
        <w:rPr>
          <w:rFonts w:hint="eastAsia"/>
          <w:color w:val="auto"/>
          <w:highlight w:val="none"/>
        </w:rPr>
        <w:t>本须知所称被质疑人是指采购人和政府采购代理机构。</w:t>
      </w:r>
    </w:p>
    <w:p w14:paraId="6D4170FA">
      <w:pPr>
        <w:spacing w:line="360" w:lineRule="auto"/>
        <w:ind w:firstLine="440" w:firstLineChars="200"/>
        <w:rPr>
          <w:color w:val="auto"/>
          <w:highlight w:val="none"/>
        </w:rPr>
      </w:pPr>
      <w:r>
        <w:rPr>
          <w:rFonts w:hint="eastAsia"/>
          <w:color w:val="auto"/>
          <w:highlight w:val="none"/>
        </w:rPr>
        <w:t>本须知所称投标人是指符合《政府采购法》的规定条件，参与政府采购竞争活动的当事人。</w:t>
      </w:r>
    </w:p>
    <w:p w14:paraId="2415D0E4">
      <w:pPr>
        <w:spacing w:line="360" w:lineRule="auto"/>
        <w:ind w:firstLine="440" w:firstLineChars="200"/>
        <w:rPr>
          <w:color w:val="auto"/>
          <w:highlight w:val="none"/>
        </w:rPr>
      </w:pPr>
      <w:r>
        <w:rPr>
          <w:rFonts w:hint="eastAsia"/>
          <w:color w:val="auto"/>
          <w:highlight w:val="none"/>
          <w:lang w:val="en-US"/>
        </w:rPr>
        <w:t>9.2.2</w:t>
      </w:r>
      <w:r>
        <w:rPr>
          <w:rFonts w:hint="eastAsia"/>
          <w:color w:val="auto"/>
          <w:highlight w:val="none"/>
        </w:rPr>
        <w:t>投标人如果对招标文件相关条款有何疑义或疑问，可以在知道或者应当知道其权益受到损害之日起7个工作日内向采购人和采购代理机构分别提出，否则均视为可接受条款，开标后不再受理对招标文件相关条款的质疑。</w:t>
      </w:r>
    </w:p>
    <w:p w14:paraId="69E259A3">
      <w:pPr>
        <w:spacing w:line="360" w:lineRule="auto"/>
        <w:ind w:firstLine="440" w:firstLineChars="200"/>
        <w:rPr>
          <w:color w:val="auto"/>
          <w:highlight w:val="none"/>
        </w:rPr>
      </w:pPr>
      <w:r>
        <w:rPr>
          <w:rFonts w:hint="eastAsia"/>
          <w:color w:val="auto"/>
          <w:highlight w:val="none"/>
          <w:lang w:val="en-US"/>
        </w:rPr>
        <w:t>9.2.3</w:t>
      </w:r>
      <w:r>
        <w:rPr>
          <w:rFonts w:hint="eastAsia"/>
          <w:color w:val="auto"/>
          <w:highlight w:val="none"/>
        </w:rPr>
        <w:t>各有关当事人认为采购过程、预中标(成交)结果或中标(成交)结果使自己的权益受到损害的，可以在知道或者应当知道其权益受到损害之日起7个工作日内一次性提出针对同一采购环节的质疑，质疑以书面形式同时向采购人和河南以牧全过程工程咨询有限公司提出质疑(加盖单位公章且法定代表人或授权委托人签字)，由法定代表人或其原授权代表亲自提交（邮寄、传真件不予受理），授权</w:t>
      </w:r>
      <w:r>
        <w:rPr>
          <w:rFonts w:hint="eastAsia"/>
          <w:color w:val="auto"/>
          <w:highlight w:val="none"/>
          <w:lang w:eastAsia="zh-CN"/>
        </w:rPr>
        <w:t>委托人</w:t>
      </w:r>
      <w:r>
        <w:rPr>
          <w:rFonts w:hint="eastAsia"/>
          <w:color w:val="auto"/>
          <w:highlight w:val="none"/>
        </w:rPr>
        <w:t>提交的，需提供法人授权委托书，并以质疑函接受确认日期作为受理时间。</w:t>
      </w:r>
    </w:p>
    <w:p w14:paraId="0BAD0FD8">
      <w:pPr>
        <w:spacing w:line="360" w:lineRule="auto"/>
        <w:ind w:firstLine="440" w:firstLineChars="200"/>
        <w:rPr>
          <w:color w:val="auto"/>
          <w:highlight w:val="none"/>
        </w:rPr>
      </w:pPr>
      <w:r>
        <w:rPr>
          <w:rFonts w:hint="eastAsia"/>
          <w:color w:val="auto"/>
          <w:highlight w:val="none"/>
        </w:rPr>
        <w:t>投标人质疑应当符合下列条件：</w:t>
      </w:r>
    </w:p>
    <w:p w14:paraId="2AED2948">
      <w:pPr>
        <w:spacing w:line="360" w:lineRule="auto"/>
        <w:ind w:firstLine="440" w:firstLineChars="200"/>
        <w:rPr>
          <w:color w:val="auto"/>
          <w:highlight w:val="none"/>
        </w:rPr>
      </w:pPr>
      <w:r>
        <w:rPr>
          <w:rFonts w:hint="eastAsia"/>
          <w:color w:val="auto"/>
          <w:highlight w:val="none"/>
        </w:rPr>
        <w:t>（一）必须是参与该质疑政府采购项目活动的投标人</w:t>
      </w:r>
    </w:p>
    <w:p w14:paraId="4E12B0F2">
      <w:pPr>
        <w:spacing w:line="360" w:lineRule="auto"/>
        <w:ind w:firstLine="440" w:firstLineChars="200"/>
        <w:rPr>
          <w:color w:val="auto"/>
          <w:highlight w:val="none"/>
        </w:rPr>
      </w:pPr>
      <w:r>
        <w:rPr>
          <w:rFonts w:hint="eastAsia"/>
          <w:color w:val="auto"/>
          <w:highlight w:val="none"/>
        </w:rPr>
        <w:t>（二）在质疑有效期内提出的质疑</w:t>
      </w:r>
    </w:p>
    <w:p w14:paraId="0575CCEE">
      <w:pPr>
        <w:spacing w:line="360" w:lineRule="auto"/>
        <w:ind w:firstLine="440" w:firstLineChars="200"/>
        <w:rPr>
          <w:color w:val="auto"/>
          <w:highlight w:val="none"/>
        </w:rPr>
      </w:pPr>
      <w:r>
        <w:rPr>
          <w:rFonts w:hint="eastAsia"/>
          <w:color w:val="auto"/>
          <w:highlight w:val="none"/>
        </w:rPr>
        <w:t>（三）政府采购监督管理部门规定的其他条件</w:t>
      </w:r>
    </w:p>
    <w:p w14:paraId="35A5988C">
      <w:pPr>
        <w:spacing w:line="360" w:lineRule="auto"/>
        <w:ind w:firstLine="440" w:firstLineChars="200"/>
        <w:rPr>
          <w:color w:val="auto"/>
          <w:highlight w:val="none"/>
        </w:rPr>
      </w:pPr>
      <w:r>
        <w:rPr>
          <w:rFonts w:hint="eastAsia"/>
          <w:color w:val="auto"/>
          <w:highlight w:val="none"/>
          <w:lang w:val="en-US"/>
        </w:rPr>
        <w:t>9.2.4</w:t>
      </w:r>
      <w:r>
        <w:rPr>
          <w:rFonts w:hint="eastAsia"/>
          <w:color w:val="auto"/>
          <w:highlight w:val="none"/>
        </w:rPr>
        <w:t>投标人的书面质疑应当包括以下主要内容：</w:t>
      </w:r>
    </w:p>
    <w:p w14:paraId="5FE8BA44">
      <w:pPr>
        <w:spacing w:line="360" w:lineRule="auto"/>
        <w:ind w:firstLine="440" w:firstLineChars="200"/>
        <w:rPr>
          <w:color w:val="auto"/>
          <w:highlight w:val="none"/>
        </w:rPr>
      </w:pPr>
      <w:r>
        <w:rPr>
          <w:rFonts w:hint="eastAsia"/>
          <w:color w:val="auto"/>
          <w:highlight w:val="none"/>
        </w:rPr>
        <w:t>（一）被质疑人的名称、地址、电话、邮编</w:t>
      </w:r>
    </w:p>
    <w:p w14:paraId="69E834E7">
      <w:pPr>
        <w:spacing w:line="360" w:lineRule="auto"/>
        <w:ind w:firstLine="440" w:firstLineChars="200"/>
        <w:rPr>
          <w:color w:val="auto"/>
          <w:highlight w:val="none"/>
        </w:rPr>
      </w:pPr>
      <w:r>
        <w:rPr>
          <w:rFonts w:hint="eastAsia"/>
          <w:color w:val="auto"/>
          <w:highlight w:val="none"/>
        </w:rPr>
        <w:t>（二）采购项目名称、采购编号及分包号</w:t>
      </w:r>
    </w:p>
    <w:p w14:paraId="4C85EE84">
      <w:pPr>
        <w:spacing w:line="360" w:lineRule="auto"/>
        <w:ind w:firstLine="440" w:firstLineChars="200"/>
        <w:rPr>
          <w:color w:val="auto"/>
          <w:highlight w:val="none"/>
        </w:rPr>
      </w:pPr>
      <w:r>
        <w:rPr>
          <w:rFonts w:hint="eastAsia"/>
          <w:color w:val="auto"/>
          <w:highlight w:val="none"/>
        </w:rPr>
        <w:t>（三）具体的质疑事项和事实，必须附与质疑事项有关的有效法律证明材料</w:t>
      </w:r>
    </w:p>
    <w:p w14:paraId="1D04658F">
      <w:pPr>
        <w:spacing w:line="360" w:lineRule="auto"/>
        <w:ind w:firstLine="440" w:firstLineChars="200"/>
        <w:rPr>
          <w:color w:val="auto"/>
          <w:highlight w:val="none"/>
        </w:rPr>
      </w:pPr>
      <w:r>
        <w:rPr>
          <w:rFonts w:hint="eastAsia"/>
          <w:color w:val="auto"/>
          <w:highlight w:val="none"/>
        </w:rPr>
        <w:t>（四）提起质疑的投标人名称、地址、联系方式</w:t>
      </w:r>
    </w:p>
    <w:p w14:paraId="64765F02">
      <w:pPr>
        <w:spacing w:line="360" w:lineRule="auto"/>
        <w:ind w:firstLine="440" w:firstLineChars="200"/>
        <w:rPr>
          <w:color w:val="auto"/>
          <w:highlight w:val="none"/>
        </w:rPr>
      </w:pPr>
      <w:r>
        <w:rPr>
          <w:rFonts w:hint="eastAsia"/>
          <w:color w:val="auto"/>
          <w:highlight w:val="none"/>
        </w:rPr>
        <w:t>（五）质疑的日期</w:t>
      </w:r>
    </w:p>
    <w:p w14:paraId="720060A1">
      <w:pPr>
        <w:spacing w:line="360" w:lineRule="auto"/>
        <w:ind w:firstLine="440" w:firstLineChars="200"/>
        <w:rPr>
          <w:color w:val="auto"/>
          <w:highlight w:val="none"/>
        </w:rPr>
      </w:pPr>
      <w:r>
        <w:rPr>
          <w:rFonts w:hint="eastAsia"/>
          <w:color w:val="auto"/>
          <w:highlight w:val="none"/>
        </w:rPr>
        <w:t>（六）提起质疑的投标人应当由法定代表人或其</w:t>
      </w:r>
      <w:r>
        <w:rPr>
          <w:rFonts w:hint="eastAsia"/>
          <w:color w:val="auto"/>
          <w:highlight w:val="none"/>
          <w:lang w:eastAsia="zh-CN"/>
        </w:rPr>
        <w:t>授权委托</w:t>
      </w:r>
      <w:r>
        <w:rPr>
          <w:rFonts w:hint="eastAsia"/>
          <w:color w:val="auto"/>
          <w:highlight w:val="none"/>
        </w:rPr>
        <w:t>人签字，并加盖法人公章</w:t>
      </w:r>
    </w:p>
    <w:p w14:paraId="473E3FF8">
      <w:pPr>
        <w:spacing w:line="360" w:lineRule="auto"/>
        <w:ind w:firstLine="440" w:firstLineChars="200"/>
        <w:rPr>
          <w:color w:val="auto"/>
          <w:highlight w:val="none"/>
        </w:rPr>
      </w:pPr>
      <w:r>
        <w:rPr>
          <w:rFonts w:hint="eastAsia"/>
          <w:color w:val="auto"/>
          <w:highlight w:val="none"/>
        </w:rPr>
        <w:t>投标人的书面质疑如出现质疑事项不清晰、质疑相关依据或证明材料不全、不符合本须知第四条、第五条的规定等情形，均视为无效质疑，投标人应当依据上述规定重新修改质疑文件，并在规定的期限内提交，逾期不予受理。质疑事项属于有关法律、法规和规章规定处于保密阶段的事项，质疑人应提供有效证据，否则，将认定为无效质疑事项。</w:t>
      </w:r>
    </w:p>
    <w:p w14:paraId="0BF6BF03">
      <w:pPr>
        <w:spacing w:line="360" w:lineRule="auto"/>
        <w:ind w:firstLine="440" w:firstLineChars="200"/>
        <w:rPr>
          <w:color w:val="auto"/>
          <w:highlight w:val="none"/>
        </w:rPr>
      </w:pPr>
      <w:r>
        <w:rPr>
          <w:rFonts w:hint="eastAsia"/>
          <w:color w:val="auto"/>
          <w:highlight w:val="none"/>
          <w:lang w:val="en-US"/>
        </w:rPr>
        <w:t>9.2.5</w:t>
      </w:r>
      <w:r>
        <w:rPr>
          <w:rFonts w:hint="eastAsia"/>
          <w:color w:val="auto"/>
          <w:highlight w:val="none"/>
        </w:rPr>
        <w:t>投标人的书面质疑属于下列情形之一的，被质疑人可不予受理，并告知其不予受理的原因：</w:t>
      </w:r>
    </w:p>
    <w:p w14:paraId="47A44781">
      <w:pPr>
        <w:spacing w:line="360" w:lineRule="auto"/>
        <w:ind w:firstLine="440" w:firstLineChars="200"/>
        <w:rPr>
          <w:color w:val="auto"/>
          <w:highlight w:val="none"/>
        </w:rPr>
      </w:pPr>
      <w:r>
        <w:rPr>
          <w:rFonts w:hint="eastAsia"/>
          <w:color w:val="auto"/>
          <w:highlight w:val="none"/>
        </w:rPr>
        <w:t>（一）不是参与该政府采购项目活动的投标人</w:t>
      </w:r>
    </w:p>
    <w:p w14:paraId="3397B0A5">
      <w:pPr>
        <w:spacing w:line="360" w:lineRule="auto"/>
        <w:ind w:firstLine="440" w:firstLineChars="200"/>
        <w:rPr>
          <w:color w:val="auto"/>
          <w:highlight w:val="none"/>
        </w:rPr>
      </w:pPr>
      <w:r>
        <w:rPr>
          <w:rFonts w:hint="eastAsia"/>
          <w:color w:val="auto"/>
          <w:highlight w:val="none"/>
        </w:rPr>
        <w:t>（二）已超过法律规定的质疑期限的</w:t>
      </w:r>
    </w:p>
    <w:p w14:paraId="3DCFB000">
      <w:pPr>
        <w:spacing w:line="360" w:lineRule="auto"/>
        <w:ind w:firstLine="440" w:firstLineChars="200"/>
        <w:rPr>
          <w:color w:val="auto"/>
          <w:highlight w:val="none"/>
        </w:rPr>
      </w:pPr>
      <w:r>
        <w:rPr>
          <w:rFonts w:hint="eastAsia"/>
          <w:color w:val="auto"/>
          <w:highlight w:val="none"/>
        </w:rPr>
        <w:t>（三）匿名的、无法开展调查取证的</w:t>
      </w:r>
    </w:p>
    <w:p w14:paraId="6A153289">
      <w:pPr>
        <w:spacing w:line="360" w:lineRule="auto"/>
        <w:ind w:firstLine="440" w:firstLineChars="200"/>
        <w:rPr>
          <w:color w:val="auto"/>
          <w:highlight w:val="none"/>
        </w:rPr>
      </w:pPr>
      <w:r>
        <w:rPr>
          <w:rFonts w:hint="eastAsia"/>
          <w:color w:val="auto"/>
          <w:highlight w:val="none"/>
          <w:lang w:val="en-US"/>
        </w:rPr>
        <w:t>9.2.6</w:t>
      </w:r>
      <w:r>
        <w:rPr>
          <w:rFonts w:hint="eastAsia"/>
          <w:color w:val="auto"/>
          <w:highlight w:val="none"/>
        </w:rPr>
        <w:t>质疑人拒绝配合采购人和采购代理机构依法进行调查的，按自动撤回质疑处理。</w:t>
      </w:r>
    </w:p>
    <w:p w14:paraId="0567BCB4">
      <w:pPr>
        <w:spacing w:line="360" w:lineRule="auto"/>
        <w:ind w:firstLine="440" w:firstLineChars="200"/>
        <w:rPr>
          <w:color w:val="auto"/>
          <w:highlight w:val="none"/>
        </w:rPr>
      </w:pPr>
      <w:r>
        <w:rPr>
          <w:rFonts w:hint="eastAsia"/>
          <w:color w:val="auto"/>
          <w:highlight w:val="none"/>
          <w:lang w:val="en-US"/>
        </w:rPr>
        <w:t>9.2.7</w:t>
      </w:r>
      <w:r>
        <w:rPr>
          <w:rFonts w:hint="eastAsia"/>
          <w:color w:val="auto"/>
          <w:highlight w:val="none"/>
        </w:rPr>
        <w:t>被质疑人应当在收到投标人的书面质疑后 7 个工作日内做出答复，并以书面形式通知质疑投标人和其他有关投标人。但答复的内容不得涉及商业秘密。</w:t>
      </w:r>
    </w:p>
    <w:p w14:paraId="111D3A8E">
      <w:pPr>
        <w:spacing w:line="360" w:lineRule="auto"/>
        <w:ind w:firstLine="440" w:firstLineChars="200"/>
        <w:rPr>
          <w:color w:val="auto"/>
          <w:highlight w:val="none"/>
        </w:rPr>
      </w:pPr>
      <w:r>
        <w:rPr>
          <w:rFonts w:hint="eastAsia"/>
          <w:color w:val="auto"/>
          <w:highlight w:val="none"/>
          <w:lang w:val="en-US"/>
        </w:rPr>
        <w:t>9.2.8</w:t>
      </w:r>
      <w:r>
        <w:rPr>
          <w:rFonts w:hint="eastAsia"/>
          <w:color w:val="auto"/>
          <w:highlight w:val="none"/>
        </w:rPr>
        <w:t>经调查核实，对质疑事项分别作出下列处理决定：</w:t>
      </w:r>
    </w:p>
    <w:p w14:paraId="5CEE8C95">
      <w:pPr>
        <w:spacing w:line="360" w:lineRule="auto"/>
        <w:ind w:firstLine="440" w:firstLineChars="200"/>
        <w:rPr>
          <w:color w:val="auto"/>
          <w:highlight w:val="none"/>
        </w:rPr>
      </w:pPr>
      <w:r>
        <w:rPr>
          <w:rFonts w:hint="eastAsia"/>
          <w:color w:val="auto"/>
          <w:highlight w:val="none"/>
        </w:rPr>
        <w:t>（一）质疑人撤回质疑的，终止质疑处理</w:t>
      </w:r>
    </w:p>
    <w:p w14:paraId="6F21BE91">
      <w:pPr>
        <w:spacing w:line="360" w:lineRule="auto"/>
        <w:ind w:firstLine="440" w:firstLineChars="200"/>
        <w:rPr>
          <w:color w:val="auto"/>
          <w:highlight w:val="none"/>
        </w:rPr>
      </w:pPr>
      <w:r>
        <w:rPr>
          <w:rFonts w:hint="eastAsia"/>
          <w:color w:val="auto"/>
          <w:highlight w:val="none"/>
        </w:rPr>
        <w:t>（二）质疑缺乏事实依据的，驳回质疑</w:t>
      </w:r>
    </w:p>
    <w:p w14:paraId="6DFD20B6">
      <w:pPr>
        <w:spacing w:line="360" w:lineRule="auto"/>
        <w:ind w:firstLine="440" w:firstLineChars="200"/>
        <w:rPr>
          <w:color w:val="auto"/>
          <w:highlight w:val="none"/>
        </w:rPr>
      </w:pPr>
      <w:r>
        <w:rPr>
          <w:rFonts w:hint="eastAsia"/>
          <w:color w:val="auto"/>
          <w:highlight w:val="none"/>
        </w:rPr>
        <w:t>（三）质疑事项经查证属实的，将按照政府采购有关法律规定处理</w:t>
      </w:r>
    </w:p>
    <w:p w14:paraId="6AE675E3">
      <w:pPr>
        <w:spacing w:line="360" w:lineRule="auto"/>
        <w:ind w:firstLine="440" w:firstLineChars="200"/>
        <w:rPr>
          <w:color w:val="auto"/>
          <w:highlight w:val="none"/>
        </w:rPr>
      </w:pPr>
      <w:r>
        <w:rPr>
          <w:rFonts w:hint="eastAsia"/>
          <w:color w:val="auto"/>
          <w:highlight w:val="none"/>
          <w:lang w:val="en-US"/>
        </w:rPr>
        <w:t>9.2.9</w:t>
      </w:r>
      <w:r>
        <w:rPr>
          <w:rFonts w:hint="eastAsia"/>
          <w:color w:val="auto"/>
          <w:highlight w:val="none"/>
        </w:rPr>
        <w:t>质疑人捏造事实或者提供虚假质疑材料的,属于虚假、恶意质疑，被质疑人应当驳回质疑，并向同级政府采购监督管理部门报告，核实后将其列入不良行为记录名单，并依法予以处罚。</w:t>
      </w:r>
    </w:p>
    <w:p w14:paraId="64A600EE">
      <w:pPr>
        <w:spacing w:line="360" w:lineRule="auto"/>
        <w:ind w:firstLine="442" w:firstLineChars="200"/>
        <w:rPr>
          <w:b/>
          <w:bCs/>
          <w:color w:val="auto"/>
          <w:highlight w:val="none"/>
        </w:rPr>
      </w:pPr>
      <w:bookmarkStart w:id="79" w:name="10.需要补充的其他内容"/>
      <w:bookmarkEnd w:id="79"/>
      <w:bookmarkStart w:id="80" w:name="_bookmark12"/>
      <w:bookmarkEnd w:id="80"/>
      <w:r>
        <w:rPr>
          <w:rFonts w:hint="eastAsia"/>
          <w:b/>
          <w:bCs/>
          <w:color w:val="auto"/>
          <w:highlight w:val="none"/>
          <w:lang w:val="en-US"/>
        </w:rPr>
        <w:t>10.</w:t>
      </w:r>
      <w:r>
        <w:rPr>
          <w:rFonts w:hint="eastAsia"/>
          <w:b/>
          <w:bCs/>
          <w:color w:val="auto"/>
          <w:highlight w:val="none"/>
        </w:rPr>
        <w:t>需要补充的其他内容</w:t>
      </w:r>
    </w:p>
    <w:p w14:paraId="5647A021">
      <w:pPr>
        <w:spacing w:line="360" w:lineRule="auto"/>
        <w:ind w:firstLine="440" w:firstLineChars="200"/>
        <w:rPr>
          <w:color w:val="auto"/>
          <w:highlight w:val="none"/>
        </w:rPr>
      </w:pPr>
      <w:r>
        <w:rPr>
          <w:rFonts w:hint="eastAsia"/>
          <w:color w:val="auto"/>
          <w:highlight w:val="none"/>
        </w:rPr>
        <w:t>需要补充的其他内容：见投标人须知前附表。</w:t>
      </w:r>
    </w:p>
    <w:p w14:paraId="4EBD9978">
      <w:pPr>
        <w:rPr>
          <w:color w:val="auto"/>
          <w:highlight w:val="none"/>
        </w:rPr>
      </w:pPr>
      <w:bookmarkStart w:id="81" w:name="附件：郑州市政府采购合同融资政策告知函"/>
      <w:bookmarkEnd w:id="81"/>
      <w:r>
        <w:rPr>
          <w:color w:val="auto"/>
          <w:highlight w:val="none"/>
        </w:rPr>
        <w:br w:type="page"/>
      </w:r>
    </w:p>
    <w:p w14:paraId="4D30C0AB">
      <w:pPr>
        <w:spacing w:line="360" w:lineRule="auto"/>
        <w:ind w:firstLine="442" w:firstLineChars="200"/>
        <w:rPr>
          <w:color w:val="auto"/>
          <w:highlight w:val="none"/>
        </w:rPr>
      </w:pPr>
      <w:r>
        <w:rPr>
          <w:rFonts w:hint="eastAsia"/>
          <w:b/>
          <w:bCs/>
          <w:color w:val="auto"/>
          <w:highlight w:val="none"/>
        </w:rPr>
        <w:t>附件：郑州市政府采购合同融资政策告知函</w:t>
      </w:r>
    </w:p>
    <w:p w14:paraId="16709660">
      <w:pPr>
        <w:spacing w:line="360" w:lineRule="auto"/>
        <w:ind w:firstLine="440" w:firstLineChars="200"/>
        <w:jc w:val="center"/>
        <w:rPr>
          <w:color w:val="auto"/>
          <w:highlight w:val="none"/>
        </w:rPr>
      </w:pPr>
      <w:r>
        <w:rPr>
          <w:rFonts w:hint="eastAsia"/>
          <w:color w:val="auto"/>
          <w:highlight w:val="none"/>
        </w:rPr>
        <w:t>郑州市政府采购合同融资政策告知函</w:t>
      </w:r>
    </w:p>
    <w:p w14:paraId="348FBD3C">
      <w:pPr>
        <w:spacing w:line="360" w:lineRule="auto"/>
        <w:ind w:firstLine="440" w:firstLineChars="200"/>
        <w:rPr>
          <w:color w:val="auto"/>
          <w:highlight w:val="none"/>
        </w:rPr>
      </w:pPr>
      <w:bookmarkStart w:id="82" w:name="各供应商:"/>
      <w:bookmarkEnd w:id="82"/>
      <w:r>
        <w:rPr>
          <w:rFonts w:hint="eastAsia"/>
          <w:color w:val="auto"/>
          <w:highlight w:val="none"/>
        </w:rPr>
        <w:t>各供应商:</w:t>
      </w:r>
    </w:p>
    <w:p w14:paraId="72ED85B9">
      <w:pPr>
        <w:spacing w:line="360" w:lineRule="auto"/>
        <w:ind w:firstLine="440" w:firstLineChars="200"/>
        <w:rPr>
          <w:color w:val="auto"/>
          <w:highlight w:val="none"/>
          <w:lang w:val="en-US"/>
        </w:rPr>
      </w:pPr>
      <w:bookmarkStart w:id="83" w:name="欢迎贵公司参与郑州市政府采购活动!"/>
      <w:bookmarkEnd w:id="83"/>
      <w:r>
        <w:rPr>
          <w:rFonts w:hint="eastAsia"/>
          <w:color w:val="auto"/>
          <w:highlight w:val="none"/>
        </w:rPr>
        <w:t>欢迎贵公司参与郑州市政府采购活动！</w:t>
      </w:r>
    </w:p>
    <w:p w14:paraId="42876871">
      <w:pPr>
        <w:spacing w:line="360" w:lineRule="auto"/>
        <w:ind w:firstLine="440" w:firstLineChars="200"/>
        <w:rPr>
          <w:color w:val="auto"/>
          <w:highlight w:val="none"/>
        </w:rPr>
      </w:pPr>
      <w:bookmarkStart w:id="84" w:name="政府采购合同融资是郑州市财政厅支持中小微企业发展，针对参与政府采购活动的供应商融"/>
      <w:bookmarkEnd w:id="84"/>
      <w:r>
        <w:rPr>
          <w:rFonts w:hint="eastAsia"/>
          <w:color w:val="auto"/>
          <w:highlight w:val="none"/>
        </w:rPr>
        <w:t>政府采购合同融资是郑州市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和《郑州市财政局关于加强和推进政府采购合同融资工作的通知》（郑财购[2018]4 号），按照双方自愿的原则提供便捷、优惠的贷款服务。</w:t>
      </w:r>
    </w:p>
    <w:p w14:paraId="2993C108">
      <w:pPr>
        <w:spacing w:line="360" w:lineRule="auto"/>
        <w:ind w:firstLine="440" w:firstLineChars="200"/>
        <w:rPr>
          <w:color w:val="auto"/>
          <w:highlight w:val="none"/>
        </w:rPr>
      </w:pPr>
      <w:bookmarkStart w:id="85" w:name="贷款渠道和提供贷款的金融机构，可在郑州市政府采购网“郑州市政府采购合同融资入口”"/>
      <w:bookmarkEnd w:id="85"/>
      <w:r>
        <w:rPr>
          <w:rFonts w:hint="eastAsia"/>
          <w:color w:val="auto"/>
          <w:highlight w:val="none"/>
        </w:rPr>
        <w:t>贷款渠道和提供贷款的金融机构，可在郑州市政府采购网“郑州市政府采购合同融资入口”查询联系。</w:t>
      </w:r>
    </w:p>
    <w:p w14:paraId="5F77F91A">
      <w:pPr>
        <w:pStyle w:val="6"/>
        <w:spacing w:before="8"/>
        <w:ind w:left="855"/>
        <w:rPr>
          <w:color w:val="auto"/>
          <w:highlight w:val="none"/>
        </w:rPr>
      </w:pPr>
    </w:p>
    <w:p w14:paraId="3A009C8A">
      <w:pPr>
        <w:spacing w:line="360" w:lineRule="auto"/>
        <w:jc w:val="center"/>
        <w:rPr>
          <w:b/>
          <w:bCs/>
          <w:color w:val="auto"/>
          <w:highlight w:val="none"/>
          <w:lang w:val="en-US"/>
        </w:rPr>
      </w:pPr>
      <w:r>
        <w:rPr>
          <w:color w:val="auto"/>
          <w:highlight w:val="none"/>
        </w:rPr>
        <w:br w:type="page"/>
      </w:r>
      <w:r>
        <w:rPr>
          <w:rFonts w:hint="eastAsia"/>
          <w:b/>
          <w:bCs/>
          <w:color w:val="auto"/>
          <w:highlight w:val="none"/>
          <w:lang w:val="en-US"/>
        </w:rPr>
        <w:t>统计上大中小微型企业划分标准</w:t>
      </w:r>
    </w:p>
    <w:tbl>
      <w:tblPr>
        <w:tblStyle w:val="26"/>
        <w:tblW w:w="10159" w:type="dxa"/>
        <w:jc w:val="cente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0" w:type="dxa"/>
          <w:bottom w:w="0" w:type="dxa"/>
          <w:right w:w="0" w:type="dxa"/>
        </w:tblCellMar>
      </w:tblPr>
      <w:tblGrid>
        <w:gridCol w:w="2285"/>
        <w:gridCol w:w="1471"/>
        <w:gridCol w:w="759"/>
        <w:gridCol w:w="1212"/>
        <w:gridCol w:w="1825"/>
        <w:gridCol w:w="1534"/>
        <w:gridCol w:w="1073"/>
      </w:tblGrid>
      <w:tr w14:paraId="5E535269">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41" w:hRule="atLeast"/>
          <w:jc w:val="center"/>
        </w:trPr>
        <w:tc>
          <w:tcPr>
            <w:tcW w:w="2285" w:type="dxa"/>
            <w:tcBorders>
              <w:bottom w:val="single" w:color="FFFFFF" w:sz="16" w:space="0"/>
            </w:tcBorders>
            <w:shd w:val="clear" w:color="auto" w:fill="4F81BD"/>
            <w:noWrap/>
            <w:vAlign w:val="center"/>
          </w:tcPr>
          <w:p w14:paraId="78285CF4">
            <w:pPr>
              <w:pStyle w:val="40"/>
              <w:jc w:val="center"/>
              <w:rPr>
                <w:color w:val="auto"/>
                <w:sz w:val="20"/>
                <w:szCs w:val="20"/>
                <w:highlight w:val="none"/>
              </w:rPr>
            </w:pPr>
            <w:r>
              <w:rPr>
                <w:b/>
                <w:bCs/>
                <w:color w:val="auto"/>
                <w:spacing w:val="17"/>
                <w:sz w:val="20"/>
                <w:szCs w:val="20"/>
                <w:highlight w:val="none"/>
              </w:rPr>
              <w:t>行业名称</w:t>
            </w:r>
          </w:p>
        </w:tc>
        <w:tc>
          <w:tcPr>
            <w:tcW w:w="1471" w:type="dxa"/>
            <w:tcBorders>
              <w:bottom w:val="single" w:color="FFFFFF" w:sz="16" w:space="0"/>
            </w:tcBorders>
            <w:shd w:val="clear" w:color="auto" w:fill="4F81BD"/>
            <w:noWrap/>
            <w:vAlign w:val="center"/>
          </w:tcPr>
          <w:p w14:paraId="10AB9075">
            <w:pPr>
              <w:pStyle w:val="40"/>
              <w:jc w:val="center"/>
              <w:rPr>
                <w:color w:val="auto"/>
                <w:sz w:val="20"/>
                <w:szCs w:val="20"/>
                <w:highlight w:val="none"/>
              </w:rPr>
            </w:pPr>
            <w:r>
              <w:rPr>
                <w:b/>
                <w:bCs/>
                <w:color w:val="auto"/>
                <w:spacing w:val="17"/>
                <w:sz w:val="20"/>
                <w:szCs w:val="20"/>
                <w:highlight w:val="none"/>
              </w:rPr>
              <w:t>指标名称</w:t>
            </w:r>
          </w:p>
        </w:tc>
        <w:tc>
          <w:tcPr>
            <w:tcW w:w="759" w:type="dxa"/>
            <w:tcBorders>
              <w:bottom w:val="single" w:color="FFFFFF" w:sz="16" w:space="0"/>
            </w:tcBorders>
            <w:shd w:val="clear" w:color="auto" w:fill="4F81BD"/>
            <w:noWrap/>
            <w:vAlign w:val="center"/>
          </w:tcPr>
          <w:p w14:paraId="6AF97866">
            <w:pPr>
              <w:pStyle w:val="40"/>
              <w:jc w:val="center"/>
              <w:rPr>
                <w:color w:val="auto"/>
                <w:sz w:val="20"/>
                <w:szCs w:val="20"/>
                <w:highlight w:val="none"/>
              </w:rPr>
            </w:pPr>
            <w:r>
              <w:rPr>
                <w:b/>
                <w:bCs/>
                <w:color w:val="auto"/>
                <w:spacing w:val="12"/>
                <w:sz w:val="20"/>
                <w:szCs w:val="20"/>
                <w:highlight w:val="none"/>
              </w:rPr>
              <w:t>计量</w:t>
            </w:r>
            <w:r>
              <w:rPr>
                <w:b/>
                <w:bCs/>
                <w:color w:val="auto"/>
                <w:spacing w:val="11"/>
                <w:sz w:val="20"/>
                <w:szCs w:val="20"/>
                <w:highlight w:val="none"/>
              </w:rPr>
              <w:t>单位</w:t>
            </w:r>
          </w:p>
        </w:tc>
        <w:tc>
          <w:tcPr>
            <w:tcW w:w="1212" w:type="dxa"/>
            <w:tcBorders>
              <w:bottom w:val="single" w:color="FFFFFF" w:sz="16" w:space="0"/>
            </w:tcBorders>
            <w:shd w:val="clear" w:color="auto" w:fill="4F81BD"/>
            <w:noWrap/>
            <w:vAlign w:val="center"/>
          </w:tcPr>
          <w:p w14:paraId="0054179F">
            <w:pPr>
              <w:pStyle w:val="40"/>
              <w:jc w:val="center"/>
              <w:rPr>
                <w:color w:val="auto"/>
                <w:sz w:val="20"/>
                <w:szCs w:val="20"/>
                <w:highlight w:val="none"/>
              </w:rPr>
            </w:pPr>
            <w:r>
              <w:rPr>
                <w:b/>
                <w:bCs/>
                <w:color w:val="auto"/>
                <w:spacing w:val="11"/>
                <w:sz w:val="20"/>
                <w:szCs w:val="20"/>
                <w:highlight w:val="none"/>
              </w:rPr>
              <w:t>大型</w:t>
            </w:r>
          </w:p>
        </w:tc>
        <w:tc>
          <w:tcPr>
            <w:tcW w:w="1825" w:type="dxa"/>
            <w:tcBorders>
              <w:bottom w:val="single" w:color="FFFFFF" w:sz="16" w:space="0"/>
            </w:tcBorders>
            <w:shd w:val="clear" w:color="auto" w:fill="4F81BD"/>
            <w:noWrap/>
            <w:vAlign w:val="center"/>
          </w:tcPr>
          <w:p w14:paraId="63FF4918">
            <w:pPr>
              <w:pStyle w:val="40"/>
              <w:jc w:val="center"/>
              <w:rPr>
                <w:color w:val="auto"/>
                <w:sz w:val="20"/>
                <w:szCs w:val="20"/>
                <w:highlight w:val="none"/>
              </w:rPr>
            </w:pPr>
            <w:r>
              <w:rPr>
                <w:b/>
                <w:bCs/>
                <w:color w:val="auto"/>
                <w:spacing w:val="2"/>
                <w:sz w:val="20"/>
                <w:szCs w:val="20"/>
                <w:highlight w:val="none"/>
              </w:rPr>
              <w:t>中型</w:t>
            </w:r>
          </w:p>
        </w:tc>
        <w:tc>
          <w:tcPr>
            <w:tcW w:w="1534" w:type="dxa"/>
            <w:tcBorders>
              <w:bottom w:val="single" w:color="FFFFFF" w:sz="16" w:space="0"/>
            </w:tcBorders>
            <w:shd w:val="clear" w:color="auto" w:fill="4F81BD"/>
            <w:noWrap/>
            <w:vAlign w:val="center"/>
          </w:tcPr>
          <w:p w14:paraId="7F730C90">
            <w:pPr>
              <w:pStyle w:val="40"/>
              <w:jc w:val="center"/>
              <w:rPr>
                <w:color w:val="auto"/>
                <w:sz w:val="20"/>
                <w:szCs w:val="20"/>
                <w:highlight w:val="none"/>
              </w:rPr>
            </w:pPr>
            <w:r>
              <w:rPr>
                <w:b/>
                <w:bCs/>
                <w:color w:val="auto"/>
                <w:spacing w:val="9"/>
                <w:sz w:val="20"/>
                <w:szCs w:val="20"/>
                <w:highlight w:val="none"/>
              </w:rPr>
              <w:t>小型</w:t>
            </w:r>
          </w:p>
        </w:tc>
        <w:tc>
          <w:tcPr>
            <w:tcW w:w="1073" w:type="dxa"/>
            <w:tcBorders>
              <w:bottom w:val="single" w:color="FFFFFF" w:sz="16" w:space="0"/>
            </w:tcBorders>
            <w:shd w:val="clear" w:color="auto" w:fill="4F81BD"/>
            <w:noWrap/>
            <w:vAlign w:val="center"/>
          </w:tcPr>
          <w:p w14:paraId="08D9293A">
            <w:pPr>
              <w:pStyle w:val="40"/>
              <w:jc w:val="center"/>
              <w:rPr>
                <w:color w:val="auto"/>
                <w:sz w:val="20"/>
                <w:szCs w:val="20"/>
                <w:highlight w:val="none"/>
              </w:rPr>
            </w:pPr>
            <w:r>
              <w:rPr>
                <w:b/>
                <w:bCs/>
                <w:color w:val="auto"/>
                <w:spacing w:val="12"/>
                <w:sz w:val="20"/>
                <w:szCs w:val="20"/>
                <w:highlight w:val="none"/>
              </w:rPr>
              <w:t>微型</w:t>
            </w:r>
          </w:p>
        </w:tc>
      </w:tr>
      <w:tr w14:paraId="304FE653">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34" w:hRule="atLeast"/>
          <w:jc w:val="center"/>
        </w:trPr>
        <w:tc>
          <w:tcPr>
            <w:tcW w:w="2285" w:type="dxa"/>
            <w:tcBorders>
              <w:top w:val="single" w:color="FFFFFF" w:sz="16" w:space="0"/>
            </w:tcBorders>
            <w:shd w:val="clear" w:color="auto" w:fill="B8CCE4"/>
            <w:noWrap/>
            <w:vAlign w:val="center"/>
          </w:tcPr>
          <w:p w14:paraId="1833042B">
            <w:pPr>
              <w:pStyle w:val="40"/>
              <w:jc w:val="center"/>
              <w:rPr>
                <w:color w:val="auto"/>
                <w:sz w:val="20"/>
                <w:szCs w:val="20"/>
                <w:highlight w:val="none"/>
              </w:rPr>
            </w:pPr>
            <w:r>
              <w:rPr>
                <w:color w:val="auto"/>
                <w:spacing w:val="22"/>
                <w:sz w:val="20"/>
                <w:szCs w:val="20"/>
                <w:highlight w:val="none"/>
              </w:rPr>
              <w:t>农、林、牧、渔业</w:t>
            </w:r>
          </w:p>
        </w:tc>
        <w:tc>
          <w:tcPr>
            <w:tcW w:w="1471" w:type="dxa"/>
            <w:tcBorders>
              <w:top w:val="single" w:color="FFFFFF" w:sz="16" w:space="0"/>
            </w:tcBorders>
            <w:shd w:val="clear" w:color="auto" w:fill="B8CCE4"/>
            <w:noWrap/>
            <w:vAlign w:val="center"/>
          </w:tcPr>
          <w:p w14:paraId="6EF414D2">
            <w:pPr>
              <w:pStyle w:val="40"/>
              <w:jc w:val="center"/>
              <w:rPr>
                <w:color w:val="auto"/>
                <w:sz w:val="20"/>
                <w:szCs w:val="20"/>
                <w:highlight w:val="none"/>
              </w:rPr>
            </w:pPr>
            <w:r>
              <w:rPr>
                <w:color w:val="auto"/>
                <w:spacing w:val="16"/>
                <w:sz w:val="20"/>
                <w:szCs w:val="20"/>
                <w:highlight w:val="none"/>
              </w:rPr>
              <w:t>营业收入(Y)</w:t>
            </w:r>
          </w:p>
        </w:tc>
        <w:tc>
          <w:tcPr>
            <w:tcW w:w="759" w:type="dxa"/>
            <w:tcBorders>
              <w:top w:val="single" w:color="FFFFFF" w:sz="16" w:space="0"/>
            </w:tcBorders>
            <w:shd w:val="clear" w:color="auto" w:fill="B8CCE4"/>
            <w:noWrap/>
            <w:vAlign w:val="center"/>
          </w:tcPr>
          <w:p w14:paraId="22889BC7">
            <w:pPr>
              <w:pStyle w:val="40"/>
              <w:jc w:val="center"/>
              <w:rPr>
                <w:color w:val="auto"/>
                <w:sz w:val="20"/>
                <w:szCs w:val="20"/>
                <w:highlight w:val="none"/>
              </w:rPr>
            </w:pPr>
            <w:r>
              <w:rPr>
                <w:color w:val="auto"/>
                <w:spacing w:val="10"/>
                <w:sz w:val="20"/>
                <w:szCs w:val="20"/>
                <w:highlight w:val="none"/>
              </w:rPr>
              <w:t>万元</w:t>
            </w:r>
          </w:p>
        </w:tc>
        <w:tc>
          <w:tcPr>
            <w:tcW w:w="1212" w:type="dxa"/>
            <w:tcBorders>
              <w:top w:val="single" w:color="FFFFFF" w:sz="16" w:space="0"/>
            </w:tcBorders>
            <w:shd w:val="clear" w:color="auto" w:fill="B8CCE4"/>
            <w:noWrap/>
            <w:vAlign w:val="center"/>
          </w:tcPr>
          <w:p w14:paraId="18DC4C4D">
            <w:pPr>
              <w:pStyle w:val="40"/>
              <w:jc w:val="center"/>
              <w:rPr>
                <w:color w:val="auto"/>
                <w:sz w:val="20"/>
                <w:szCs w:val="20"/>
                <w:highlight w:val="none"/>
              </w:rPr>
            </w:pPr>
            <w:r>
              <w:rPr>
                <w:color w:val="auto"/>
                <w:spacing w:val="12"/>
                <w:position w:val="1"/>
                <w:sz w:val="20"/>
                <w:szCs w:val="20"/>
                <w:highlight w:val="none"/>
              </w:rPr>
              <w:t>Y≥20000</w:t>
            </w:r>
          </w:p>
        </w:tc>
        <w:tc>
          <w:tcPr>
            <w:tcW w:w="1825" w:type="dxa"/>
            <w:tcBorders>
              <w:top w:val="single" w:color="FFFFFF" w:sz="16" w:space="0"/>
            </w:tcBorders>
            <w:shd w:val="clear" w:color="auto" w:fill="B8CCE4"/>
            <w:noWrap/>
            <w:vAlign w:val="center"/>
          </w:tcPr>
          <w:p w14:paraId="0368D1B7">
            <w:pPr>
              <w:pStyle w:val="40"/>
              <w:jc w:val="center"/>
              <w:rPr>
                <w:color w:val="auto"/>
                <w:sz w:val="20"/>
                <w:szCs w:val="20"/>
                <w:highlight w:val="none"/>
              </w:rPr>
            </w:pPr>
            <w:r>
              <w:rPr>
                <w:color w:val="auto"/>
                <w:spacing w:val="13"/>
                <w:sz w:val="20"/>
                <w:szCs w:val="20"/>
                <w:highlight w:val="none"/>
              </w:rPr>
              <w:t>500≤Y＜2000</w:t>
            </w:r>
            <w:r>
              <w:rPr>
                <w:color w:val="auto"/>
                <w:sz w:val="20"/>
                <w:szCs w:val="20"/>
                <w:highlight w:val="none"/>
              </w:rPr>
              <w:t>0</w:t>
            </w:r>
          </w:p>
        </w:tc>
        <w:tc>
          <w:tcPr>
            <w:tcW w:w="1534" w:type="dxa"/>
            <w:tcBorders>
              <w:top w:val="single" w:color="FFFFFF" w:sz="16" w:space="0"/>
            </w:tcBorders>
            <w:shd w:val="clear" w:color="auto" w:fill="B8CCE4"/>
            <w:noWrap/>
            <w:vAlign w:val="center"/>
          </w:tcPr>
          <w:p w14:paraId="24A611AA">
            <w:pPr>
              <w:pStyle w:val="40"/>
              <w:jc w:val="center"/>
              <w:rPr>
                <w:color w:val="auto"/>
                <w:sz w:val="20"/>
                <w:szCs w:val="20"/>
                <w:highlight w:val="none"/>
              </w:rPr>
            </w:pPr>
            <w:r>
              <w:rPr>
                <w:color w:val="auto"/>
                <w:spacing w:val="13"/>
                <w:sz w:val="20"/>
                <w:szCs w:val="20"/>
                <w:highlight w:val="none"/>
              </w:rPr>
              <w:t>50≤Y＜50</w:t>
            </w:r>
            <w:r>
              <w:rPr>
                <w:color w:val="auto"/>
                <w:sz w:val="20"/>
                <w:szCs w:val="20"/>
                <w:highlight w:val="none"/>
              </w:rPr>
              <w:t>0</w:t>
            </w:r>
          </w:p>
        </w:tc>
        <w:tc>
          <w:tcPr>
            <w:tcW w:w="1073" w:type="dxa"/>
            <w:tcBorders>
              <w:top w:val="single" w:color="FFFFFF" w:sz="16" w:space="0"/>
            </w:tcBorders>
            <w:shd w:val="clear" w:color="auto" w:fill="B8CCE4"/>
            <w:noWrap/>
            <w:vAlign w:val="center"/>
          </w:tcPr>
          <w:p w14:paraId="1A80D6BB">
            <w:pPr>
              <w:pStyle w:val="40"/>
              <w:jc w:val="center"/>
              <w:rPr>
                <w:color w:val="auto"/>
                <w:sz w:val="20"/>
                <w:szCs w:val="20"/>
                <w:highlight w:val="none"/>
              </w:rPr>
            </w:pPr>
            <w:r>
              <w:rPr>
                <w:color w:val="auto"/>
                <w:spacing w:val="12"/>
                <w:position w:val="1"/>
                <w:sz w:val="20"/>
                <w:szCs w:val="20"/>
                <w:highlight w:val="none"/>
              </w:rPr>
              <w:t>Y＜50</w:t>
            </w:r>
          </w:p>
        </w:tc>
      </w:tr>
      <w:tr w14:paraId="0F210DC1">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49" w:hRule="atLeast"/>
          <w:jc w:val="center"/>
        </w:trPr>
        <w:tc>
          <w:tcPr>
            <w:tcW w:w="2285" w:type="dxa"/>
            <w:vMerge w:val="restart"/>
            <w:tcBorders>
              <w:bottom w:val="nil"/>
            </w:tcBorders>
            <w:noWrap/>
            <w:vAlign w:val="center"/>
          </w:tcPr>
          <w:p w14:paraId="5794CE24">
            <w:pPr>
              <w:pStyle w:val="40"/>
              <w:jc w:val="center"/>
              <w:rPr>
                <w:color w:val="auto"/>
                <w:sz w:val="20"/>
                <w:szCs w:val="20"/>
                <w:highlight w:val="none"/>
              </w:rPr>
            </w:pPr>
            <w:r>
              <w:rPr>
                <w:color w:val="auto"/>
                <w:spacing w:val="7"/>
                <w:sz w:val="20"/>
                <w:szCs w:val="20"/>
                <w:highlight w:val="none"/>
              </w:rPr>
              <w:t>工业*</w:t>
            </w:r>
          </w:p>
        </w:tc>
        <w:tc>
          <w:tcPr>
            <w:tcW w:w="1471" w:type="dxa"/>
            <w:noWrap/>
            <w:vAlign w:val="center"/>
          </w:tcPr>
          <w:p w14:paraId="62522D24">
            <w:pPr>
              <w:pStyle w:val="40"/>
              <w:jc w:val="center"/>
              <w:rPr>
                <w:color w:val="auto"/>
                <w:sz w:val="20"/>
                <w:szCs w:val="20"/>
                <w:highlight w:val="none"/>
              </w:rPr>
            </w:pPr>
            <w:r>
              <w:rPr>
                <w:color w:val="auto"/>
                <w:spacing w:val="8"/>
                <w:sz w:val="20"/>
                <w:szCs w:val="20"/>
                <w:highlight w:val="none"/>
              </w:rPr>
              <w:t>从业人员(X)</w:t>
            </w:r>
          </w:p>
        </w:tc>
        <w:tc>
          <w:tcPr>
            <w:tcW w:w="759" w:type="dxa"/>
            <w:noWrap/>
            <w:vAlign w:val="center"/>
          </w:tcPr>
          <w:p w14:paraId="39840009">
            <w:pPr>
              <w:pStyle w:val="40"/>
              <w:jc w:val="center"/>
              <w:rPr>
                <w:color w:val="auto"/>
                <w:sz w:val="20"/>
                <w:szCs w:val="20"/>
                <w:highlight w:val="none"/>
              </w:rPr>
            </w:pPr>
            <w:r>
              <w:rPr>
                <w:color w:val="auto"/>
                <w:sz w:val="20"/>
                <w:szCs w:val="20"/>
                <w:highlight w:val="none"/>
              </w:rPr>
              <w:t>人</w:t>
            </w:r>
          </w:p>
        </w:tc>
        <w:tc>
          <w:tcPr>
            <w:tcW w:w="1212" w:type="dxa"/>
            <w:noWrap/>
            <w:vAlign w:val="center"/>
          </w:tcPr>
          <w:p w14:paraId="0FDEF30B">
            <w:pPr>
              <w:pStyle w:val="40"/>
              <w:jc w:val="center"/>
              <w:rPr>
                <w:color w:val="auto"/>
                <w:sz w:val="20"/>
                <w:szCs w:val="20"/>
                <w:highlight w:val="none"/>
              </w:rPr>
            </w:pPr>
            <w:r>
              <w:rPr>
                <w:color w:val="auto"/>
                <w:spacing w:val="12"/>
                <w:position w:val="1"/>
                <w:sz w:val="20"/>
                <w:szCs w:val="20"/>
                <w:highlight w:val="none"/>
              </w:rPr>
              <w:t>X≥1000</w:t>
            </w:r>
          </w:p>
        </w:tc>
        <w:tc>
          <w:tcPr>
            <w:tcW w:w="1825" w:type="dxa"/>
            <w:noWrap/>
            <w:vAlign w:val="center"/>
          </w:tcPr>
          <w:p w14:paraId="6D8936A5">
            <w:pPr>
              <w:pStyle w:val="40"/>
              <w:jc w:val="center"/>
              <w:rPr>
                <w:color w:val="auto"/>
                <w:sz w:val="20"/>
                <w:szCs w:val="20"/>
                <w:highlight w:val="none"/>
              </w:rPr>
            </w:pPr>
            <w:r>
              <w:rPr>
                <w:color w:val="auto"/>
                <w:spacing w:val="6"/>
                <w:position w:val="1"/>
                <w:sz w:val="20"/>
                <w:szCs w:val="20"/>
                <w:highlight w:val="none"/>
              </w:rPr>
              <w:t>300≤X＜1000</w:t>
            </w:r>
          </w:p>
        </w:tc>
        <w:tc>
          <w:tcPr>
            <w:tcW w:w="1534" w:type="dxa"/>
            <w:noWrap/>
            <w:vAlign w:val="center"/>
          </w:tcPr>
          <w:p w14:paraId="23E2FAF1">
            <w:pPr>
              <w:pStyle w:val="40"/>
              <w:jc w:val="center"/>
              <w:rPr>
                <w:color w:val="auto"/>
                <w:sz w:val="20"/>
                <w:szCs w:val="20"/>
                <w:highlight w:val="none"/>
              </w:rPr>
            </w:pPr>
            <w:r>
              <w:rPr>
                <w:color w:val="auto"/>
                <w:spacing w:val="13"/>
                <w:sz w:val="20"/>
                <w:szCs w:val="20"/>
                <w:highlight w:val="none"/>
              </w:rPr>
              <w:t>20≤X＜30</w:t>
            </w:r>
            <w:r>
              <w:rPr>
                <w:color w:val="auto"/>
                <w:sz w:val="20"/>
                <w:szCs w:val="20"/>
                <w:highlight w:val="none"/>
              </w:rPr>
              <w:t>0</w:t>
            </w:r>
          </w:p>
        </w:tc>
        <w:tc>
          <w:tcPr>
            <w:tcW w:w="1073" w:type="dxa"/>
            <w:noWrap/>
            <w:vAlign w:val="center"/>
          </w:tcPr>
          <w:p w14:paraId="13194BE6">
            <w:pPr>
              <w:pStyle w:val="40"/>
              <w:jc w:val="center"/>
              <w:rPr>
                <w:color w:val="auto"/>
                <w:sz w:val="20"/>
                <w:szCs w:val="20"/>
                <w:highlight w:val="none"/>
              </w:rPr>
            </w:pPr>
            <w:r>
              <w:rPr>
                <w:color w:val="auto"/>
                <w:spacing w:val="11"/>
                <w:position w:val="1"/>
                <w:sz w:val="20"/>
                <w:szCs w:val="20"/>
                <w:highlight w:val="none"/>
              </w:rPr>
              <w:t>X＜20</w:t>
            </w:r>
          </w:p>
        </w:tc>
      </w:tr>
      <w:tr w14:paraId="1B54ACD4">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49" w:hRule="atLeast"/>
          <w:jc w:val="center"/>
        </w:trPr>
        <w:tc>
          <w:tcPr>
            <w:tcW w:w="2285" w:type="dxa"/>
            <w:vMerge w:val="continue"/>
            <w:tcBorders>
              <w:top w:val="nil"/>
            </w:tcBorders>
            <w:shd w:val="clear" w:color="auto" w:fill="auto"/>
            <w:noWrap/>
            <w:vAlign w:val="center"/>
          </w:tcPr>
          <w:p w14:paraId="1DFAB8E4">
            <w:pPr>
              <w:jc w:val="center"/>
              <w:rPr>
                <w:rFonts w:ascii="Arial"/>
                <w:color w:val="auto"/>
                <w:sz w:val="21"/>
                <w:highlight w:val="none"/>
              </w:rPr>
            </w:pPr>
          </w:p>
        </w:tc>
        <w:tc>
          <w:tcPr>
            <w:tcW w:w="1471" w:type="dxa"/>
            <w:shd w:val="clear" w:color="auto" w:fill="B8CCE4"/>
            <w:noWrap/>
            <w:vAlign w:val="center"/>
          </w:tcPr>
          <w:p w14:paraId="5A827406">
            <w:pPr>
              <w:pStyle w:val="40"/>
              <w:jc w:val="center"/>
              <w:rPr>
                <w:color w:val="auto"/>
                <w:sz w:val="20"/>
                <w:szCs w:val="20"/>
                <w:highlight w:val="none"/>
              </w:rPr>
            </w:pPr>
            <w:r>
              <w:rPr>
                <w:color w:val="auto"/>
                <w:spacing w:val="16"/>
                <w:sz w:val="20"/>
                <w:szCs w:val="20"/>
                <w:highlight w:val="none"/>
              </w:rPr>
              <w:t>营业收入(Y)</w:t>
            </w:r>
          </w:p>
        </w:tc>
        <w:tc>
          <w:tcPr>
            <w:tcW w:w="759" w:type="dxa"/>
            <w:shd w:val="clear" w:color="auto" w:fill="B8CCE4"/>
            <w:noWrap/>
            <w:vAlign w:val="center"/>
          </w:tcPr>
          <w:p w14:paraId="63B7F3CD">
            <w:pPr>
              <w:pStyle w:val="40"/>
              <w:jc w:val="center"/>
              <w:rPr>
                <w:color w:val="auto"/>
                <w:sz w:val="20"/>
                <w:szCs w:val="20"/>
                <w:highlight w:val="none"/>
              </w:rPr>
            </w:pPr>
            <w:r>
              <w:rPr>
                <w:color w:val="auto"/>
                <w:spacing w:val="10"/>
                <w:sz w:val="20"/>
                <w:szCs w:val="20"/>
                <w:highlight w:val="none"/>
              </w:rPr>
              <w:t>万元</w:t>
            </w:r>
          </w:p>
        </w:tc>
        <w:tc>
          <w:tcPr>
            <w:tcW w:w="1212" w:type="dxa"/>
            <w:shd w:val="clear" w:color="auto" w:fill="B8CCE4"/>
            <w:noWrap/>
            <w:vAlign w:val="center"/>
          </w:tcPr>
          <w:p w14:paraId="6B3345A2">
            <w:pPr>
              <w:pStyle w:val="40"/>
              <w:jc w:val="center"/>
              <w:rPr>
                <w:color w:val="auto"/>
                <w:sz w:val="20"/>
                <w:szCs w:val="20"/>
                <w:highlight w:val="none"/>
              </w:rPr>
            </w:pPr>
            <w:r>
              <w:rPr>
                <w:color w:val="auto"/>
                <w:spacing w:val="12"/>
                <w:position w:val="1"/>
                <w:sz w:val="20"/>
                <w:szCs w:val="20"/>
                <w:highlight w:val="none"/>
              </w:rPr>
              <w:t>Y≥40000</w:t>
            </w:r>
          </w:p>
        </w:tc>
        <w:tc>
          <w:tcPr>
            <w:tcW w:w="1825" w:type="dxa"/>
            <w:shd w:val="clear" w:color="auto" w:fill="B8CCE4"/>
            <w:noWrap/>
            <w:vAlign w:val="center"/>
          </w:tcPr>
          <w:p w14:paraId="65DCD3D3">
            <w:pPr>
              <w:pStyle w:val="40"/>
              <w:jc w:val="center"/>
              <w:rPr>
                <w:color w:val="auto"/>
                <w:sz w:val="20"/>
                <w:szCs w:val="20"/>
                <w:highlight w:val="none"/>
              </w:rPr>
            </w:pPr>
            <w:r>
              <w:rPr>
                <w:color w:val="auto"/>
                <w:spacing w:val="13"/>
                <w:position w:val="1"/>
                <w:sz w:val="20"/>
                <w:szCs w:val="20"/>
                <w:highlight w:val="none"/>
              </w:rPr>
              <w:t>2000≤Y＜40000</w:t>
            </w:r>
          </w:p>
        </w:tc>
        <w:tc>
          <w:tcPr>
            <w:tcW w:w="1534" w:type="dxa"/>
            <w:shd w:val="clear" w:color="auto" w:fill="B8CCE4"/>
            <w:noWrap/>
            <w:vAlign w:val="center"/>
          </w:tcPr>
          <w:p w14:paraId="3223E625">
            <w:pPr>
              <w:pStyle w:val="40"/>
              <w:jc w:val="center"/>
              <w:rPr>
                <w:color w:val="auto"/>
                <w:sz w:val="20"/>
                <w:szCs w:val="20"/>
                <w:highlight w:val="none"/>
              </w:rPr>
            </w:pPr>
            <w:r>
              <w:rPr>
                <w:color w:val="auto"/>
                <w:spacing w:val="13"/>
                <w:sz w:val="20"/>
                <w:szCs w:val="20"/>
                <w:highlight w:val="none"/>
              </w:rPr>
              <w:t>300≤Y＜2</w:t>
            </w:r>
            <w:r>
              <w:rPr>
                <w:color w:val="auto"/>
                <w:spacing w:val="5"/>
                <w:sz w:val="20"/>
                <w:szCs w:val="20"/>
                <w:highlight w:val="none"/>
              </w:rPr>
              <w:t>000</w:t>
            </w:r>
          </w:p>
        </w:tc>
        <w:tc>
          <w:tcPr>
            <w:tcW w:w="1073" w:type="dxa"/>
            <w:shd w:val="clear" w:color="auto" w:fill="B8CCE4"/>
            <w:noWrap/>
            <w:vAlign w:val="center"/>
          </w:tcPr>
          <w:p w14:paraId="4D4C26E0">
            <w:pPr>
              <w:pStyle w:val="40"/>
              <w:jc w:val="center"/>
              <w:rPr>
                <w:color w:val="auto"/>
                <w:sz w:val="20"/>
                <w:szCs w:val="20"/>
                <w:highlight w:val="none"/>
              </w:rPr>
            </w:pPr>
            <w:r>
              <w:rPr>
                <w:color w:val="auto"/>
                <w:spacing w:val="12"/>
                <w:position w:val="1"/>
                <w:sz w:val="20"/>
                <w:szCs w:val="20"/>
                <w:highlight w:val="none"/>
              </w:rPr>
              <w:t>Y＜300</w:t>
            </w:r>
          </w:p>
        </w:tc>
      </w:tr>
      <w:tr w14:paraId="009E5C3E">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49" w:hRule="atLeast"/>
          <w:jc w:val="center"/>
        </w:trPr>
        <w:tc>
          <w:tcPr>
            <w:tcW w:w="2285" w:type="dxa"/>
            <w:vMerge w:val="restart"/>
            <w:tcBorders>
              <w:bottom w:val="nil"/>
            </w:tcBorders>
            <w:noWrap/>
            <w:vAlign w:val="center"/>
          </w:tcPr>
          <w:p w14:paraId="1C549CF9">
            <w:pPr>
              <w:pStyle w:val="40"/>
              <w:jc w:val="center"/>
              <w:rPr>
                <w:color w:val="auto"/>
                <w:sz w:val="20"/>
                <w:szCs w:val="20"/>
                <w:highlight w:val="none"/>
              </w:rPr>
            </w:pPr>
            <w:r>
              <w:rPr>
                <w:color w:val="auto"/>
                <w:spacing w:val="16"/>
                <w:sz w:val="20"/>
                <w:szCs w:val="20"/>
                <w:highlight w:val="none"/>
              </w:rPr>
              <w:t>建筑业</w:t>
            </w:r>
          </w:p>
        </w:tc>
        <w:tc>
          <w:tcPr>
            <w:tcW w:w="1471" w:type="dxa"/>
            <w:noWrap/>
            <w:vAlign w:val="center"/>
          </w:tcPr>
          <w:p w14:paraId="1057EE29">
            <w:pPr>
              <w:pStyle w:val="40"/>
              <w:jc w:val="center"/>
              <w:rPr>
                <w:color w:val="auto"/>
                <w:sz w:val="20"/>
                <w:szCs w:val="20"/>
                <w:highlight w:val="none"/>
              </w:rPr>
            </w:pPr>
            <w:r>
              <w:rPr>
                <w:color w:val="auto"/>
                <w:spacing w:val="16"/>
                <w:sz w:val="20"/>
                <w:szCs w:val="20"/>
                <w:highlight w:val="none"/>
              </w:rPr>
              <w:t>营业收入(Y)</w:t>
            </w:r>
          </w:p>
        </w:tc>
        <w:tc>
          <w:tcPr>
            <w:tcW w:w="759" w:type="dxa"/>
            <w:noWrap/>
            <w:vAlign w:val="center"/>
          </w:tcPr>
          <w:p w14:paraId="2800892F">
            <w:pPr>
              <w:pStyle w:val="40"/>
              <w:jc w:val="center"/>
              <w:rPr>
                <w:color w:val="auto"/>
                <w:sz w:val="20"/>
                <w:szCs w:val="20"/>
                <w:highlight w:val="none"/>
              </w:rPr>
            </w:pPr>
            <w:r>
              <w:rPr>
                <w:color w:val="auto"/>
                <w:spacing w:val="10"/>
                <w:sz w:val="20"/>
                <w:szCs w:val="20"/>
                <w:highlight w:val="none"/>
              </w:rPr>
              <w:t>万元</w:t>
            </w:r>
          </w:p>
        </w:tc>
        <w:tc>
          <w:tcPr>
            <w:tcW w:w="1212" w:type="dxa"/>
            <w:noWrap/>
            <w:vAlign w:val="center"/>
          </w:tcPr>
          <w:p w14:paraId="727C746C">
            <w:pPr>
              <w:pStyle w:val="40"/>
              <w:jc w:val="center"/>
              <w:rPr>
                <w:color w:val="auto"/>
                <w:sz w:val="20"/>
                <w:szCs w:val="20"/>
                <w:highlight w:val="none"/>
              </w:rPr>
            </w:pPr>
            <w:r>
              <w:rPr>
                <w:color w:val="auto"/>
                <w:spacing w:val="12"/>
                <w:position w:val="1"/>
                <w:sz w:val="20"/>
                <w:szCs w:val="20"/>
                <w:highlight w:val="none"/>
              </w:rPr>
              <w:t>Y≥80000</w:t>
            </w:r>
          </w:p>
        </w:tc>
        <w:tc>
          <w:tcPr>
            <w:tcW w:w="1825" w:type="dxa"/>
            <w:noWrap/>
            <w:vAlign w:val="center"/>
          </w:tcPr>
          <w:p w14:paraId="759C797D">
            <w:pPr>
              <w:pStyle w:val="40"/>
              <w:jc w:val="center"/>
              <w:rPr>
                <w:color w:val="auto"/>
                <w:sz w:val="20"/>
                <w:szCs w:val="20"/>
                <w:highlight w:val="none"/>
              </w:rPr>
            </w:pPr>
            <w:r>
              <w:rPr>
                <w:color w:val="auto"/>
                <w:spacing w:val="13"/>
                <w:position w:val="1"/>
                <w:sz w:val="20"/>
                <w:szCs w:val="20"/>
                <w:highlight w:val="none"/>
              </w:rPr>
              <w:t>6000≤Y＜80000</w:t>
            </w:r>
          </w:p>
        </w:tc>
        <w:tc>
          <w:tcPr>
            <w:tcW w:w="1534" w:type="dxa"/>
            <w:noWrap/>
            <w:vAlign w:val="center"/>
          </w:tcPr>
          <w:p w14:paraId="7FD23D8F">
            <w:pPr>
              <w:pStyle w:val="40"/>
              <w:jc w:val="center"/>
              <w:rPr>
                <w:color w:val="auto"/>
                <w:sz w:val="20"/>
                <w:szCs w:val="20"/>
                <w:highlight w:val="none"/>
              </w:rPr>
            </w:pPr>
            <w:r>
              <w:rPr>
                <w:color w:val="auto"/>
                <w:spacing w:val="13"/>
                <w:sz w:val="20"/>
                <w:szCs w:val="20"/>
                <w:highlight w:val="none"/>
              </w:rPr>
              <w:t>300≤Y＜6</w:t>
            </w:r>
            <w:r>
              <w:rPr>
                <w:color w:val="auto"/>
                <w:spacing w:val="5"/>
                <w:sz w:val="20"/>
                <w:szCs w:val="20"/>
                <w:highlight w:val="none"/>
              </w:rPr>
              <w:t>000</w:t>
            </w:r>
          </w:p>
        </w:tc>
        <w:tc>
          <w:tcPr>
            <w:tcW w:w="1073" w:type="dxa"/>
            <w:noWrap/>
            <w:vAlign w:val="center"/>
          </w:tcPr>
          <w:p w14:paraId="68A3AAE0">
            <w:pPr>
              <w:pStyle w:val="40"/>
              <w:jc w:val="center"/>
              <w:rPr>
                <w:color w:val="auto"/>
                <w:sz w:val="20"/>
                <w:szCs w:val="20"/>
                <w:highlight w:val="none"/>
              </w:rPr>
            </w:pPr>
            <w:r>
              <w:rPr>
                <w:color w:val="auto"/>
                <w:spacing w:val="12"/>
                <w:position w:val="1"/>
                <w:sz w:val="20"/>
                <w:szCs w:val="20"/>
                <w:highlight w:val="none"/>
              </w:rPr>
              <w:t>Y＜300</w:t>
            </w:r>
          </w:p>
        </w:tc>
      </w:tr>
      <w:tr w14:paraId="12F8E90F">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49" w:hRule="atLeast"/>
          <w:jc w:val="center"/>
        </w:trPr>
        <w:tc>
          <w:tcPr>
            <w:tcW w:w="2285" w:type="dxa"/>
            <w:vMerge w:val="continue"/>
            <w:tcBorders>
              <w:top w:val="nil"/>
            </w:tcBorders>
            <w:shd w:val="clear" w:color="auto" w:fill="auto"/>
            <w:noWrap/>
            <w:vAlign w:val="center"/>
          </w:tcPr>
          <w:p w14:paraId="202538E9">
            <w:pPr>
              <w:jc w:val="center"/>
              <w:rPr>
                <w:rFonts w:ascii="Arial"/>
                <w:color w:val="auto"/>
                <w:sz w:val="21"/>
                <w:highlight w:val="none"/>
              </w:rPr>
            </w:pPr>
          </w:p>
        </w:tc>
        <w:tc>
          <w:tcPr>
            <w:tcW w:w="1471" w:type="dxa"/>
            <w:shd w:val="clear" w:color="auto" w:fill="B8CCE4"/>
            <w:noWrap/>
            <w:vAlign w:val="center"/>
          </w:tcPr>
          <w:p w14:paraId="13F401B2">
            <w:pPr>
              <w:pStyle w:val="40"/>
              <w:jc w:val="center"/>
              <w:rPr>
                <w:color w:val="auto"/>
                <w:sz w:val="20"/>
                <w:szCs w:val="20"/>
                <w:highlight w:val="none"/>
              </w:rPr>
            </w:pPr>
            <w:r>
              <w:rPr>
                <w:color w:val="auto"/>
                <w:spacing w:val="16"/>
                <w:sz w:val="20"/>
                <w:szCs w:val="20"/>
                <w:highlight w:val="none"/>
              </w:rPr>
              <w:t>资产总额(Z)</w:t>
            </w:r>
          </w:p>
        </w:tc>
        <w:tc>
          <w:tcPr>
            <w:tcW w:w="759" w:type="dxa"/>
            <w:shd w:val="clear" w:color="auto" w:fill="B8CCE4"/>
            <w:noWrap/>
            <w:vAlign w:val="center"/>
          </w:tcPr>
          <w:p w14:paraId="08C27BE7">
            <w:pPr>
              <w:pStyle w:val="40"/>
              <w:jc w:val="center"/>
              <w:rPr>
                <w:color w:val="auto"/>
                <w:sz w:val="20"/>
                <w:szCs w:val="20"/>
                <w:highlight w:val="none"/>
              </w:rPr>
            </w:pPr>
            <w:r>
              <w:rPr>
                <w:color w:val="auto"/>
                <w:spacing w:val="10"/>
                <w:sz w:val="20"/>
                <w:szCs w:val="20"/>
                <w:highlight w:val="none"/>
              </w:rPr>
              <w:t>万元</w:t>
            </w:r>
          </w:p>
        </w:tc>
        <w:tc>
          <w:tcPr>
            <w:tcW w:w="1212" w:type="dxa"/>
            <w:shd w:val="clear" w:color="auto" w:fill="B8CCE4"/>
            <w:noWrap/>
            <w:vAlign w:val="center"/>
          </w:tcPr>
          <w:p w14:paraId="7E4D22FC">
            <w:pPr>
              <w:pStyle w:val="40"/>
              <w:jc w:val="center"/>
              <w:rPr>
                <w:color w:val="auto"/>
                <w:sz w:val="20"/>
                <w:szCs w:val="20"/>
                <w:highlight w:val="none"/>
              </w:rPr>
            </w:pPr>
            <w:r>
              <w:rPr>
                <w:color w:val="auto"/>
                <w:spacing w:val="12"/>
                <w:position w:val="1"/>
                <w:sz w:val="20"/>
                <w:szCs w:val="20"/>
                <w:highlight w:val="none"/>
              </w:rPr>
              <w:t>Z≥80000</w:t>
            </w:r>
          </w:p>
        </w:tc>
        <w:tc>
          <w:tcPr>
            <w:tcW w:w="1825" w:type="dxa"/>
            <w:shd w:val="clear" w:color="auto" w:fill="B8CCE4"/>
            <w:noWrap/>
            <w:vAlign w:val="center"/>
          </w:tcPr>
          <w:p w14:paraId="5655DAE3">
            <w:pPr>
              <w:pStyle w:val="40"/>
              <w:jc w:val="center"/>
              <w:rPr>
                <w:color w:val="auto"/>
                <w:sz w:val="20"/>
                <w:szCs w:val="20"/>
                <w:highlight w:val="none"/>
              </w:rPr>
            </w:pPr>
            <w:r>
              <w:rPr>
                <w:color w:val="auto"/>
                <w:spacing w:val="13"/>
                <w:position w:val="1"/>
                <w:sz w:val="20"/>
                <w:szCs w:val="20"/>
                <w:highlight w:val="none"/>
              </w:rPr>
              <w:t>5000≤Z＜80000</w:t>
            </w:r>
          </w:p>
        </w:tc>
        <w:tc>
          <w:tcPr>
            <w:tcW w:w="1534" w:type="dxa"/>
            <w:shd w:val="clear" w:color="auto" w:fill="B8CCE4"/>
            <w:noWrap/>
            <w:vAlign w:val="center"/>
          </w:tcPr>
          <w:p w14:paraId="6AA6A021">
            <w:pPr>
              <w:pStyle w:val="40"/>
              <w:jc w:val="center"/>
              <w:rPr>
                <w:color w:val="auto"/>
                <w:sz w:val="20"/>
                <w:szCs w:val="20"/>
                <w:highlight w:val="none"/>
              </w:rPr>
            </w:pPr>
            <w:r>
              <w:rPr>
                <w:color w:val="auto"/>
                <w:spacing w:val="13"/>
                <w:sz w:val="20"/>
                <w:szCs w:val="20"/>
                <w:highlight w:val="none"/>
              </w:rPr>
              <w:t>300≤Z＜5</w:t>
            </w:r>
            <w:r>
              <w:rPr>
                <w:color w:val="auto"/>
                <w:spacing w:val="5"/>
                <w:sz w:val="20"/>
                <w:szCs w:val="20"/>
                <w:highlight w:val="none"/>
              </w:rPr>
              <w:t>000</w:t>
            </w:r>
          </w:p>
        </w:tc>
        <w:tc>
          <w:tcPr>
            <w:tcW w:w="1073" w:type="dxa"/>
            <w:shd w:val="clear" w:color="auto" w:fill="B8CCE4"/>
            <w:noWrap/>
            <w:vAlign w:val="center"/>
          </w:tcPr>
          <w:p w14:paraId="201C5960">
            <w:pPr>
              <w:pStyle w:val="40"/>
              <w:jc w:val="center"/>
              <w:rPr>
                <w:color w:val="auto"/>
                <w:sz w:val="20"/>
                <w:szCs w:val="20"/>
                <w:highlight w:val="none"/>
              </w:rPr>
            </w:pPr>
            <w:r>
              <w:rPr>
                <w:color w:val="auto"/>
                <w:spacing w:val="11"/>
                <w:position w:val="1"/>
                <w:sz w:val="20"/>
                <w:szCs w:val="20"/>
                <w:highlight w:val="none"/>
              </w:rPr>
              <w:t>Z＜300</w:t>
            </w:r>
          </w:p>
        </w:tc>
      </w:tr>
      <w:tr w14:paraId="0DC6CD65">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95" w:hRule="atLeast"/>
          <w:jc w:val="center"/>
        </w:trPr>
        <w:tc>
          <w:tcPr>
            <w:tcW w:w="2285" w:type="dxa"/>
            <w:vMerge w:val="restart"/>
            <w:tcBorders>
              <w:bottom w:val="nil"/>
            </w:tcBorders>
            <w:noWrap/>
            <w:vAlign w:val="center"/>
          </w:tcPr>
          <w:p w14:paraId="7A91D4C0">
            <w:pPr>
              <w:pStyle w:val="40"/>
              <w:jc w:val="center"/>
              <w:rPr>
                <w:color w:val="auto"/>
                <w:sz w:val="20"/>
                <w:szCs w:val="20"/>
                <w:highlight w:val="none"/>
              </w:rPr>
            </w:pPr>
            <w:r>
              <w:rPr>
                <w:color w:val="auto"/>
                <w:spacing w:val="17"/>
                <w:sz w:val="20"/>
                <w:szCs w:val="20"/>
                <w:highlight w:val="none"/>
              </w:rPr>
              <w:t>批发业</w:t>
            </w:r>
          </w:p>
        </w:tc>
        <w:tc>
          <w:tcPr>
            <w:tcW w:w="1471" w:type="dxa"/>
            <w:noWrap/>
            <w:vAlign w:val="center"/>
          </w:tcPr>
          <w:p w14:paraId="71D4A600">
            <w:pPr>
              <w:pStyle w:val="40"/>
              <w:jc w:val="center"/>
              <w:rPr>
                <w:color w:val="auto"/>
                <w:sz w:val="20"/>
                <w:szCs w:val="20"/>
                <w:highlight w:val="none"/>
              </w:rPr>
            </w:pPr>
            <w:r>
              <w:rPr>
                <w:color w:val="auto"/>
                <w:spacing w:val="8"/>
                <w:sz w:val="20"/>
                <w:szCs w:val="20"/>
                <w:highlight w:val="none"/>
              </w:rPr>
              <w:t>从业人员(X)</w:t>
            </w:r>
          </w:p>
        </w:tc>
        <w:tc>
          <w:tcPr>
            <w:tcW w:w="759" w:type="dxa"/>
            <w:noWrap/>
            <w:vAlign w:val="center"/>
          </w:tcPr>
          <w:p w14:paraId="5A8DE395">
            <w:pPr>
              <w:pStyle w:val="40"/>
              <w:jc w:val="center"/>
              <w:rPr>
                <w:color w:val="auto"/>
                <w:sz w:val="20"/>
                <w:szCs w:val="20"/>
                <w:highlight w:val="none"/>
              </w:rPr>
            </w:pPr>
            <w:r>
              <w:rPr>
                <w:color w:val="auto"/>
                <w:sz w:val="20"/>
                <w:szCs w:val="20"/>
                <w:highlight w:val="none"/>
              </w:rPr>
              <w:t>人</w:t>
            </w:r>
          </w:p>
        </w:tc>
        <w:tc>
          <w:tcPr>
            <w:tcW w:w="1212" w:type="dxa"/>
            <w:noWrap/>
            <w:vAlign w:val="center"/>
          </w:tcPr>
          <w:p w14:paraId="25334970">
            <w:pPr>
              <w:pStyle w:val="40"/>
              <w:jc w:val="center"/>
              <w:rPr>
                <w:color w:val="auto"/>
                <w:sz w:val="20"/>
                <w:szCs w:val="20"/>
                <w:highlight w:val="none"/>
              </w:rPr>
            </w:pPr>
            <w:r>
              <w:rPr>
                <w:color w:val="auto"/>
                <w:spacing w:val="12"/>
                <w:position w:val="1"/>
                <w:sz w:val="20"/>
                <w:szCs w:val="20"/>
                <w:highlight w:val="none"/>
              </w:rPr>
              <w:t>X≥200</w:t>
            </w:r>
          </w:p>
        </w:tc>
        <w:tc>
          <w:tcPr>
            <w:tcW w:w="1825" w:type="dxa"/>
            <w:noWrap/>
            <w:vAlign w:val="center"/>
          </w:tcPr>
          <w:p w14:paraId="2C1DDFA3">
            <w:pPr>
              <w:pStyle w:val="40"/>
              <w:jc w:val="center"/>
              <w:rPr>
                <w:color w:val="auto"/>
                <w:sz w:val="20"/>
                <w:szCs w:val="20"/>
                <w:highlight w:val="none"/>
              </w:rPr>
            </w:pPr>
            <w:r>
              <w:rPr>
                <w:color w:val="auto"/>
                <w:spacing w:val="13"/>
                <w:position w:val="1"/>
                <w:sz w:val="20"/>
                <w:szCs w:val="20"/>
                <w:highlight w:val="none"/>
              </w:rPr>
              <w:t>20≤X＜200</w:t>
            </w:r>
          </w:p>
        </w:tc>
        <w:tc>
          <w:tcPr>
            <w:tcW w:w="1534" w:type="dxa"/>
            <w:noWrap/>
            <w:vAlign w:val="center"/>
          </w:tcPr>
          <w:p w14:paraId="41486899">
            <w:pPr>
              <w:pStyle w:val="40"/>
              <w:jc w:val="center"/>
              <w:rPr>
                <w:color w:val="auto"/>
                <w:sz w:val="20"/>
                <w:szCs w:val="20"/>
                <w:highlight w:val="none"/>
              </w:rPr>
            </w:pPr>
            <w:r>
              <w:rPr>
                <w:color w:val="auto"/>
                <w:spacing w:val="13"/>
                <w:position w:val="1"/>
                <w:sz w:val="20"/>
                <w:szCs w:val="20"/>
                <w:highlight w:val="none"/>
              </w:rPr>
              <w:t>5≤X＜20</w:t>
            </w:r>
          </w:p>
        </w:tc>
        <w:tc>
          <w:tcPr>
            <w:tcW w:w="1073" w:type="dxa"/>
            <w:noWrap/>
            <w:vAlign w:val="center"/>
          </w:tcPr>
          <w:p w14:paraId="2EC782CA">
            <w:pPr>
              <w:pStyle w:val="40"/>
              <w:jc w:val="center"/>
              <w:rPr>
                <w:color w:val="auto"/>
                <w:sz w:val="20"/>
                <w:szCs w:val="20"/>
                <w:highlight w:val="none"/>
              </w:rPr>
            </w:pPr>
            <w:r>
              <w:rPr>
                <w:color w:val="auto"/>
                <w:spacing w:val="-4"/>
                <w:position w:val="1"/>
                <w:sz w:val="20"/>
                <w:szCs w:val="20"/>
                <w:highlight w:val="none"/>
              </w:rPr>
              <w:t>X＜5</w:t>
            </w:r>
          </w:p>
        </w:tc>
      </w:tr>
      <w:tr w14:paraId="450B9498">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49" w:hRule="atLeast"/>
          <w:jc w:val="center"/>
        </w:trPr>
        <w:tc>
          <w:tcPr>
            <w:tcW w:w="2285" w:type="dxa"/>
            <w:vMerge w:val="continue"/>
            <w:tcBorders>
              <w:top w:val="nil"/>
            </w:tcBorders>
            <w:shd w:val="clear" w:color="auto" w:fill="auto"/>
            <w:noWrap/>
            <w:vAlign w:val="center"/>
          </w:tcPr>
          <w:p w14:paraId="7F084B00">
            <w:pPr>
              <w:jc w:val="center"/>
              <w:rPr>
                <w:rFonts w:ascii="Arial"/>
                <w:color w:val="auto"/>
                <w:sz w:val="21"/>
                <w:highlight w:val="none"/>
              </w:rPr>
            </w:pPr>
          </w:p>
        </w:tc>
        <w:tc>
          <w:tcPr>
            <w:tcW w:w="1471" w:type="dxa"/>
            <w:shd w:val="clear" w:color="auto" w:fill="B8CCE4"/>
            <w:noWrap/>
            <w:vAlign w:val="center"/>
          </w:tcPr>
          <w:p w14:paraId="7793D98D">
            <w:pPr>
              <w:pStyle w:val="40"/>
              <w:jc w:val="center"/>
              <w:rPr>
                <w:color w:val="auto"/>
                <w:sz w:val="20"/>
                <w:szCs w:val="20"/>
                <w:highlight w:val="none"/>
              </w:rPr>
            </w:pPr>
            <w:r>
              <w:rPr>
                <w:color w:val="auto"/>
                <w:spacing w:val="16"/>
                <w:sz w:val="20"/>
                <w:szCs w:val="20"/>
                <w:highlight w:val="none"/>
              </w:rPr>
              <w:t>营业收入(Y)</w:t>
            </w:r>
          </w:p>
        </w:tc>
        <w:tc>
          <w:tcPr>
            <w:tcW w:w="759" w:type="dxa"/>
            <w:shd w:val="clear" w:color="auto" w:fill="B8CCE4"/>
            <w:noWrap/>
            <w:vAlign w:val="center"/>
          </w:tcPr>
          <w:p w14:paraId="1CDD5366">
            <w:pPr>
              <w:pStyle w:val="40"/>
              <w:jc w:val="center"/>
              <w:rPr>
                <w:color w:val="auto"/>
                <w:sz w:val="20"/>
                <w:szCs w:val="20"/>
                <w:highlight w:val="none"/>
              </w:rPr>
            </w:pPr>
            <w:r>
              <w:rPr>
                <w:color w:val="auto"/>
                <w:spacing w:val="10"/>
                <w:sz w:val="20"/>
                <w:szCs w:val="20"/>
                <w:highlight w:val="none"/>
              </w:rPr>
              <w:t>万元</w:t>
            </w:r>
          </w:p>
        </w:tc>
        <w:tc>
          <w:tcPr>
            <w:tcW w:w="1212" w:type="dxa"/>
            <w:shd w:val="clear" w:color="auto" w:fill="B8CCE4"/>
            <w:noWrap/>
            <w:vAlign w:val="center"/>
          </w:tcPr>
          <w:p w14:paraId="48C13F5F">
            <w:pPr>
              <w:pStyle w:val="40"/>
              <w:jc w:val="center"/>
              <w:rPr>
                <w:color w:val="auto"/>
                <w:sz w:val="20"/>
                <w:szCs w:val="20"/>
                <w:highlight w:val="none"/>
              </w:rPr>
            </w:pPr>
            <w:r>
              <w:rPr>
                <w:color w:val="auto"/>
                <w:spacing w:val="12"/>
                <w:position w:val="1"/>
                <w:sz w:val="20"/>
                <w:szCs w:val="20"/>
                <w:highlight w:val="none"/>
              </w:rPr>
              <w:t>Y≥40000</w:t>
            </w:r>
          </w:p>
        </w:tc>
        <w:tc>
          <w:tcPr>
            <w:tcW w:w="1825" w:type="dxa"/>
            <w:shd w:val="clear" w:color="auto" w:fill="B8CCE4"/>
            <w:noWrap/>
            <w:vAlign w:val="center"/>
          </w:tcPr>
          <w:p w14:paraId="43E1B17B">
            <w:pPr>
              <w:pStyle w:val="40"/>
              <w:jc w:val="center"/>
              <w:rPr>
                <w:color w:val="auto"/>
                <w:sz w:val="20"/>
                <w:szCs w:val="20"/>
                <w:highlight w:val="none"/>
              </w:rPr>
            </w:pPr>
            <w:r>
              <w:rPr>
                <w:color w:val="auto"/>
                <w:spacing w:val="13"/>
                <w:position w:val="1"/>
                <w:sz w:val="20"/>
                <w:szCs w:val="20"/>
                <w:highlight w:val="none"/>
              </w:rPr>
              <w:t>5000≤Y＜40000</w:t>
            </w:r>
          </w:p>
        </w:tc>
        <w:tc>
          <w:tcPr>
            <w:tcW w:w="1534" w:type="dxa"/>
            <w:shd w:val="clear" w:color="auto" w:fill="B8CCE4"/>
            <w:noWrap/>
            <w:vAlign w:val="center"/>
          </w:tcPr>
          <w:p w14:paraId="0C802CF5">
            <w:pPr>
              <w:pStyle w:val="40"/>
              <w:jc w:val="center"/>
              <w:rPr>
                <w:color w:val="auto"/>
                <w:sz w:val="20"/>
                <w:szCs w:val="20"/>
                <w:highlight w:val="none"/>
              </w:rPr>
            </w:pPr>
            <w:r>
              <w:rPr>
                <w:color w:val="auto"/>
                <w:spacing w:val="12"/>
                <w:sz w:val="20"/>
                <w:szCs w:val="20"/>
                <w:highlight w:val="none"/>
              </w:rPr>
              <w:t>1000≤Y＜50</w:t>
            </w:r>
            <w:r>
              <w:rPr>
                <w:color w:val="auto"/>
                <w:spacing w:val="2"/>
                <w:sz w:val="20"/>
                <w:szCs w:val="20"/>
                <w:highlight w:val="none"/>
              </w:rPr>
              <w:t>00</w:t>
            </w:r>
          </w:p>
        </w:tc>
        <w:tc>
          <w:tcPr>
            <w:tcW w:w="1073" w:type="dxa"/>
            <w:shd w:val="clear" w:color="auto" w:fill="B8CCE4"/>
            <w:noWrap/>
            <w:vAlign w:val="center"/>
          </w:tcPr>
          <w:p w14:paraId="760C6DDA">
            <w:pPr>
              <w:pStyle w:val="40"/>
              <w:jc w:val="center"/>
              <w:rPr>
                <w:color w:val="auto"/>
                <w:sz w:val="20"/>
                <w:szCs w:val="20"/>
                <w:highlight w:val="none"/>
              </w:rPr>
            </w:pPr>
            <w:r>
              <w:rPr>
                <w:color w:val="auto"/>
                <w:spacing w:val="1"/>
                <w:position w:val="1"/>
                <w:sz w:val="20"/>
                <w:szCs w:val="20"/>
                <w:highlight w:val="none"/>
              </w:rPr>
              <w:t>Y＜1000</w:t>
            </w:r>
          </w:p>
        </w:tc>
      </w:tr>
      <w:tr w14:paraId="54F3E409">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95" w:hRule="atLeast"/>
          <w:jc w:val="center"/>
        </w:trPr>
        <w:tc>
          <w:tcPr>
            <w:tcW w:w="2285" w:type="dxa"/>
            <w:vMerge w:val="restart"/>
            <w:tcBorders>
              <w:bottom w:val="nil"/>
            </w:tcBorders>
            <w:noWrap/>
            <w:vAlign w:val="center"/>
          </w:tcPr>
          <w:p w14:paraId="27546421">
            <w:pPr>
              <w:pStyle w:val="40"/>
              <w:jc w:val="center"/>
              <w:rPr>
                <w:color w:val="auto"/>
                <w:sz w:val="20"/>
                <w:szCs w:val="20"/>
                <w:highlight w:val="none"/>
              </w:rPr>
            </w:pPr>
            <w:r>
              <w:rPr>
                <w:color w:val="auto"/>
                <w:spacing w:val="17"/>
                <w:sz w:val="20"/>
                <w:szCs w:val="20"/>
                <w:highlight w:val="none"/>
              </w:rPr>
              <w:t>零售业</w:t>
            </w:r>
          </w:p>
        </w:tc>
        <w:tc>
          <w:tcPr>
            <w:tcW w:w="1471" w:type="dxa"/>
            <w:noWrap/>
            <w:vAlign w:val="center"/>
          </w:tcPr>
          <w:p w14:paraId="68C337EB">
            <w:pPr>
              <w:pStyle w:val="40"/>
              <w:jc w:val="center"/>
              <w:rPr>
                <w:color w:val="auto"/>
                <w:sz w:val="20"/>
                <w:szCs w:val="20"/>
                <w:highlight w:val="none"/>
              </w:rPr>
            </w:pPr>
            <w:r>
              <w:rPr>
                <w:color w:val="auto"/>
                <w:spacing w:val="8"/>
                <w:sz w:val="20"/>
                <w:szCs w:val="20"/>
                <w:highlight w:val="none"/>
              </w:rPr>
              <w:t>从业人员(X)</w:t>
            </w:r>
          </w:p>
        </w:tc>
        <w:tc>
          <w:tcPr>
            <w:tcW w:w="759" w:type="dxa"/>
            <w:noWrap/>
            <w:vAlign w:val="center"/>
          </w:tcPr>
          <w:p w14:paraId="57B9278F">
            <w:pPr>
              <w:pStyle w:val="40"/>
              <w:jc w:val="center"/>
              <w:rPr>
                <w:color w:val="auto"/>
                <w:sz w:val="20"/>
                <w:szCs w:val="20"/>
                <w:highlight w:val="none"/>
              </w:rPr>
            </w:pPr>
            <w:r>
              <w:rPr>
                <w:color w:val="auto"/>
                <w:sz w:val="20"/>
                <w:szCs w:val="20"/>
                <w:highlight w:val="none"/>
              </w:rPr>
              <w:t>人</w:t>
            </w:r>
          </w:p>
        </w:tc>
        <w:tc>
          <w:tcPr>
            <w:tcW w:w="1212" w:type="dxa"/>
            <w:noWrap/>
            <w:vAlign w:val="center"/>
          </w:tcPr>
          <w:p w14:paraId="7A986467">
            <w:pPr>
              <w:pStyle w:val="40"/>
              <w:jc w:val="center"/>
              <w:rPr>
                <w:color w:val="auto"/>
                <w:sz w:val="20"/>
                <w:szCs w:val="20"/>
                <w:highlight w:val="none"/>
              </w:rPr>
            </w:pPr>
            <w:r>
              <w:rPr>
                <w:color w:val="auto"/>
                <w:spacing w:val="12"/>
                <w:position w:val="1"/>
                <w:sz w:val="20"/>
                <w:szCs w:val="20"/>
                <w:highlight w:val="none"/>
              </w:rPr>
              <w:t>X≥300</w:t>
            </w:r>
          </w:p>
        </w:tc>
        <w:tc>
          <w:tcPr>
            <w:tcW w:w="1825" w:type="dxa"/>
            <w:noWrap/>
            <w:vAlign w:val="center"/>
          </w:tcPr>
          <w:p w14:paraId="012BD0A0">
            <w:pPr>
              <w:pStyle w:val="40"/>
              <w:jc w:val="center"/>
              <w:rPr>
                <w:color w:val="auto"/>
                <w:sz w:val="20"/>
                <w:szCs w:val="20"/>
                <w:highlight w:val="none"/>
              </w:rPr>
            </w:pPr>
            <w:r>
              <w:rPr>
                <w:color w:val="auto"/>
                <w:spacing w:val="13"/>
                <w:position w:val="1"/>
                <w:sz w:val="20"/>
                <w:szCs w:val="20"/>
                <w:highlight w:val="none"/>
              </w:rPr>
              <w:t>50≤X＜300</w:t>
            </w:r>
          </w:p>
        </w:tc>
        <w:tc>
          <w:tcPr>
            <w:tcW w:w="1534" w:type="dxa"/>
            <w:noWrap/>
            <w:vAlign w:val="center"/>
          </w:tcPr>
          <w:p w14:paraId="474BA860">
            <w:pPr>
              <w:pStyle w:val="40"/>
              <w:jc w:val="center"/>
              <w:rPr>
                <w:color w:val="auto"/>
                <w:sz w:val="20"/>
                <w:szCs w:val="20"/>
                <w:highlight w:val="none"/>
              </w:rPr>
            </w:pPr>
            <w:r>
              <w:rPr>
                <w:color w:val="auto"/>
                <w:spacing w:val="11"/>
                <w:position w:val="1"/>
                <w:sz w:val="20"/>
                <w:szCs w:val="20"/>
                <w:highlight w:val="none"/>
              </w:rPr>
              <w:t>10≤X＜50</w:t>
            </w:r>
          </w:p>
        </w:tc>
        <w:tc>
          <w:tcPr>
            <w:tcW w:w="1073" w:type="dxa"/>
            <w:noWrap/>
            <w:vAlign w:val="center"/>
          </w:tcPr>
          <w:p w14:paraId="6502EA89">
            <w:pPr>
              <w:pStyle w:val="40"/>
              <w:jc w:val="center"/>
              <w:rPr>
                <w:color w:val="auto"/>
                <w:sz w:val="20"/>
                <w:szCs w:val="20"/>
                <w:highlight w:val="none"/>
              </w:rPr>
            </w:pPr>
            <w:r>
              <w:rPr>
                <w:color w:val="auto"/>
                <w:spacing w:val="-5"/>
                <w:position w:val="1"/>
                <w:sz w:val="20"/>
                <w:szCs w:val="20"/>
                <w:highlight w:val="none"/>
              </w:rPr>
              <w:t>X＜10</w:t>
            </w:r>
          </w:p>
        </w:tc>
      </w:tr>
      <w:tr w14:paraId="70C1C455">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49" w:hRule="atLeast"/>
          <w:jc w:val="center"/>
        </w:trPr>
        <w:tc>
          <w:tcPr>
            <w:tcW w:w="2285" w:type="dxa"/>
            <w:vMerge w:val="continue"/>
            <w:tcBorders>
              <w:top w:val="nil"/>
            </w:tcBorders>
            <w:shd w:val="clear" w:color="auto" w:fill="auto"/>
            <w:noWrap/>
            <w:vAlign w:val="center"/>
          </w:tcPr>
          <w:p w14:paraId="3270A667">
            <w:pPr>
              <w:jc w:val="center"/>
              <w:rPr>
                <w:rFonts w:ascii="Arial"/>
                <w:color w:val="auto"/>
                <w:sz w:val="21"/>
                <w:highlight w:val="none"/>
              </w:rPr>
            </w:pPr>
          </w:p>
        </w:tc>
        <w:tc>
          <w:tcPr>
            <w:tcW w:w="1471" w:type="dxa"/>
            <w:shd w:val="clear" w:color="auto" w:fill="B8CCE4"/>
            <w:noWrap/>
            <w:vAlign w:val="center"/>
          </w:tcPr>
          <w:p w14:paraId="29505590">
            <w:pPr>
              <w:pStyle w:val="40"/>
              <w:jc w:val="center"/>
              <w:rPr>
                <w:color w:val="auto"/>
                <w:sz w:val="20"/>
                <w:szCs w:val="20"/>
                <w:highlight w:val="none"/>
              </w:rPr>
            </w:pPr>
            <w:r>
              <w:rPr>
                <w:color w:val="auto"/>
                <w:spacing w:val="16"/>
                <w:sz w:val="20"/>
                <w:szCs w:val="20"/>
                <w:highlight w:val="none"/>
              </w:rPr>
              <w:t>营业收入(Y)</w:t>
            </w:r>
          </w:p>
        </w:tc>
        <w:tc>
          <w:tcPr>
            <w:tcW w:w="759" w:type="dxa"/>
            <w:shd w:val="clear" w:color="auto" w:fill="B8CCE4"/>
            <w:noWrap/>
            <w:vAlign w:val="center"/>
          </w:tcPr>
          <w:p w14:paraId="099186B1">
            <w:pPr>
              <w:pStyle w:val="40"/>
              <w:jc w:val="center"/>
              <w:rPr>
                <w:color w:val="auto"/>
                <w:sz w:val="20"/>
                <w:szCs w:val="20"/>
                <w:highlight w:val="none"/>
              </w:rPr>
            </w:pPr>
            <w:r>
              <w:rPr>
                <w:color w:val="auto"/>
                <w:spacing w:val="10"/>
                <w:sz w:val="20"/>
                <w:szCs w:val="20"/>
                <w:highlight w:val="none"/>
              </w:rPr>
              <w:t>万元</w:t>
            </w:r>
          </w:p>
        </w:tc>
        <w:tc>
          <w:tcPr>
            <w:tcW w:w="1212" w:type="dxa"/>
            <w:shd w:val="clear" w:color="auto" w:fill="B8CCE4"/>
            <w:noWrap/>
            <w:vAlign w:val="center"/>
          </w:tcPr>
          <w:p w14:paraId="644DB21D">
            <w:pPr>
              <w:pStyle w:val="40"/>
              <w:jc w:val="center"/>
              <w:rPr>
                <w:color w:val="auto"/>
                <w:sz w:val="20"/>
                <w:szCs w:val="20"/>
                <w:highlight w:val="none"/>
              </w:rPr>
            </w:pPr>
            <w:r>
              <w:rPr>
                <w:color w:val="auto"/>
                <w:spacing w:val="12"/>
                <w:position w:val="1"/>
                <w:sz w:val="20"/>
                <w:szCs w:val="20"/>
                <w:highlight w:val="none"/>
              </w:rPr>
              <w:t>Y≥20000</w:t>
            </w:r>
          </w:p>
        </w:tc>
        <w:tc>
          <w:tcPr>
            <w:tcW w:w="1825" w:type="dxa"/>
            <w:shd w:val="clear" w:color="auto" w:fill="B8CCE4"/>
            <w:noWrap/>
            <w:vAlign w:val="center"/>
          </w:tcPr>
          <w:p w14:paraId="30D04DC6">
            <w:pPr>
              <w:pStyle w:val="40"/>
              <w:jc w:val="center"/>
              <w:rPr>
                <w:color w:val="auto"/>
                <w:sz w:val="20"/>
                <w:szCs w:val="20"/>
                <w:highlight w:val="none"/>
              </w:rPr>
            </w:pPr>
            <w:r>
              <w:rPr>
                <w:color w:val="auto"/>
                <w:spacing w:val="13"/>
                <w:sz w:val="20"/>
                <w:szCs w:val="20"/>
                <w:highlight w:val="none"/>
              </w:rPr>
              <w:t>500≤Y＜2000</w:t>
            </w:r>
            <w:r>
              <w:rPr>
                <w:color w:val="auto"/>
                <w:sz w:val="20"/>
                <w:szCs w:val="20"/>
                <w:highlight w:val="none"/>
              </w:rPr>
              <w:t>0</w:t>
            </w:r>
          </w:p>
        </w:tc>
        <w:tc>
          <w:tcPr>
            <w:tcW w:w="1534" w:type="dxa"/>
            <w:shd w:val="clear" w:color="auto" w:fill="B8CCE4"/>
            <w:noWrap/>
            <w:vAlign w:val="center"/>
          </w:tcPr>
          <w:p w14:paraId="38284C12">
            <w:pPr>
              <w:pStyle w:val="40"/>
              <w:jc w:val="center"/>
              <w:rPr>
                <w:color w:val="auto"/>
                <w:sz w:val="20"/>
                <w:szCs w:val="20"/>
                <w:highlight w:val="none"/>
              </w:rPr>
            </w:pPr>
            <w:r>
              <w:rPr>
                <w:color w:val="auto"/>
                <w:spacing w:val="12"/>
                <w:position w:val="1"/>
                <w:sz w:val="20"/>
                <w:szCs w:val="20"/>
                <w:highlight w:val="none"/>
              </w:rPr>
              <w:t>100≤Y＜500</w:t>
            </w:r>
          </w:p>
        </w:tc>
        <w:tc>
          <w:tcPr>
            <w:tcW w:w="1073" w:type="dxa"/>
            <w:shd w:val="clear" w:color="auto" w:fill="B8CCE4"/>
            <w:noWrap/>
            <w:vAlign w:val="center"/>
          </w:tcPr>
          <w:p w14:paraId="0011DFB5">
            <w:pPr>
              <w:pStyle w:val="40"/>
              <w:jc w:val="center"/>
              <w:rPr>
                <w:color w:val="auto"/>
                <w:sz w:val="20"/>
                <w:szCs w:val="20"/>
                <w:highlight w:val="none"/>
              </w:rPr>
            </w:pPr>
            <w:r>
              <w:rPr>
                <w:color w:val="auto"/>
                <w:spacing w:val="-1"/>
                <w:position w:val="1"/>
                <w:sz w:val="20"/>
                <w:szCs w:val="20"/>
                <w:highlight w:val="none"/>
              </w:rPr>
              <w:t>Y＜100</w:t>
            </w:r>
          </w:p>
        </w:tc>
      </w:tr>
      <w:tr w14:paraId="50EBEE8B">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49" w:hRule="atLeast"/>
          <w:jc w:val="center"/>
        </w:trPr>
        <w:tc>
          <w:tcPr>
            <w:tcW w:w="2285" w:type="dxa"/>
            <w:vMerge w:val="restart"/>
            <w:tcBorders>
              <w:bottom w:val="nil"/>
            </w:tcBorders>
            <w:noWrap/>
            <w:vAlign w:val="center"/>
          </w:tcPr>
          <w:p w14:paraId="5C0CD558">
            <w:pPr>
              <w:pStyle w:val="40"/>
              <w:jc w:val="center"/>
              <w:rPr>
                <w:color w:val="auto"/>
                <w:sz w:val="20"/>
                <w:szCs w:val="20"/>
                <w:highlight w:val="none"/>
              </w:rPr>
            </w:pPr>
            <w:r>
              <w:rPr>
                <w:color w:val="auto"/>
                <w:spacing w:val="16"/>
                <w:sz w:val="20"/>
                <w:szCs w:val="20"/>
                <w:highlight w:val="none"/>
              </w:rPr>
              <w:t>交通运输业*</w:t>
            </w:r>
          </w:p>
        </w:tc>
        <w:tc>
          <w:tcPr>
            <w:tcW w:w="1471" w:type="dxa"/>
            <w:noWrap/>
            <w:vAlign w:val="center"/>
          </w:tcPr>
          <w:p w14:paraId="5BF36579">
            <w:pPr>
              <w:pStyle w:val="40"/>
              <w:jc w:val="center"/>
              <w:rPr>
                <w:color w:val="auto"/>
                <w:sz w:val="20"/>
                <w:szCs w:val="20"/>
                <w:highlight w:val="none"/>
              </w:rPr>
            </w:pPr>
            <w:r>
              <w:rPr>
                <w:color w:val="auto"/>
                <w:spacing w:val="8"/>
                <w:sz w:val="20"/>
                <w:szCs w:val="20"/>
                <w:highlight w:val="none"/>
              </w:rPr>
              <w:t>从业人员(X)</w:t>
            </w:r>
          </w:p>
        </w:tc>
        <w:tc>
          <w:tcPr>
            <w:tcW w:w="759" w:type="dxa"/>
            <w:noWrap/>
            <w:vAlign w:val="center"/>
          </w:tcPr>
          <w:p w14:paraId="1AC89F75">
            <w:pPr>
              <w:pStyle w:val="40"/>
              <w:jc w:val="center"/>
              <w:rPr>
                <w:color w:val="auto"/>
                <w:sz w:val="20"/>
                <w:szCs w:val="20"/>
                <w:highlight w:val="none"/>
              </w:rPr>
            </w:pPr>
            <w:r>
              <w:rPr>
                <w:color w:val="auto"/>
                <w:sz w:val="20"/>
                <w:szCs w:val="20"/>
                <w:highlight w:val="none"/>
              </w:rPr>
              <w:t>人</w:t>
            </w:r>
          </w:p>
        </w:tc>
        <w:tc>
          <w:tcPr>
            <w:tcW w:w="1212" w:type="dxa"/>
            <w:noWrap/>
            <w:vAlign w:val="center"/>
          </w:tcPr>
          <w:p w14:paraId="45ED5D64">
            <w:pPr>
              <w:pStyle w:val="40"/>
              <w:jc w:val="center"/>
              <w:rPr>
                <w:color w:val="auto"/>
                <w:sz w:val="20"/>
                <w:szCs w:val="20"/>
                <w:highlight w:val="none"/>
              </w:rPr>
            </w:pPr>
            <w:r>
              <w:rPr>
                <w:color w:val="auto"/>
                <w:spacing w:val="12"/>
                <w:position w:val="1"/>
                <w:sz w:val="20"/>
                <w:szCs w:val="20"/>
                <w:highlight w:val="none"/>
              </w:rPr>
              <w:t>X≥1000</w:t>
            </w:r>
          </w:p>
        </w:tc>
        <w:tc>
          <w:tcPr>
            <w:tcW w:w="1825" w:type="dxa"/>
            <w:noWrap/>
            <w:vAlign w:val="center"/>
          </w:tcPr>
          <w:p w14:paraId="4AB7FCCA">
            <w:pPr>
              <w:pStyle w:val="40"/>
              <w:jc w:val="center"/>
              <w:rPr>
                <w:color w:val="auto"/>
                <w:sz w:val="20"/>
                <w:szCs w:val="20"/>
                <w:highlight w:val="none"/>
              </w:rPr>
            </w:pPr>
            <w:r>
              <w:rPr>
                <w:color w:val="auto"/>
                <w:spacing w:val="6"/>
                <w:position w:val="1"/>
                <w:sz w:val="20"/>
                <w:szCs w:val="20"/>
                <w:highlight w:val="none"/>
              </w:rPr>
              <w:t>300≤X＜1000</w:t>
            </w:r>
          </w:p>
        </w:tc>
        <w:tc>
          <w:tcPr>
            <w:tcW w:w="1534" w:type="dxa"/>
            <w:noWrap/>
            <w:vAlign w:val="center"/>
          </w:tcPr>
          <w:p w14:paraId="49A0EA99">
            <w:pPr>
              <w:pStyle w:val="40"/>
              <w:jc w:val="center"/>
              <w:rPr>
                <w:color w:val="auto"/>
                <w:sz w:val="20"/>
                <w:szCs w:val="20"/>
                <w:highlight w:val="none"/>
              </w:rPr>
            </w:pPr>
            <w:r>
              <w:rPr>
                <w:color w:val="auto"/>
                <w:spacing w:val="13"/>
                <w:sz w:val="20"/>
                <w:szCs w:val="20"/>
                <w:highlight w:val="none"/>
              </w:rPr>
              <w:t>20≤X＜30</w:t>
            </w:r>
            <w:r>
              <w:rPr>
                <w:color w:val="auto"/>
                <w:sz w:val="20"/>
                <w:szCs w:val="20"/>
                <w:highlight w:val="none"/>
              </w:rPr>
              <w:t>0</w:t>
            </w:r>
          </w:p>
        </w:tc>
        <w:tc>
          <w:tcPr>
            <w:tcW w:w="1073" w:type="dxa"/>
            <w:noWrap/>
            <w:vAlign w:val="center"/>
          </w:tcPr>
          <w:p w14:paraId="0242096B">
            <w:pPr>
              <w:pStyle w:val="40"/>
              <w:jc w:val="center"/>
              <w:rPr>
                <w:color w:val="auto"/>
                <w:sz w:val="20"/>
                <w:szCs w:val="20"/>
                <w:highlight w:val="none"/>
              </w:rPr>
            </w:pPr>
            <w:r>
              <w:rPr>
                <w:color w:val="auto"/>
                <w:spacing w:val="11"/>
                <w:position w:val="1"/>
                <w:sz w:val="20"/>
                <w:szCs w:val="20"/>
                <w:highlight w:val="none"/>
              </w:rPr>
              <w:t>X＜20</w:t>
            </w:r>
          </w:p>
        </w:tc>
      </w:tr>
      <w:tr w14:paraId="0DC0157E">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49" w:hRule="atLeast"/>
          <w:jc w:val="center"/>
        </w:trPr>
        <w:tc>
          <w:tcPr>
            <w:tcW w:w="2285" w:type="dxa"/>
            <w:vMerge w:val="continue"/>
            <w:tcBorders>
              <w:top w:val="nil"/>
            </w:tcBorders>
            <w:shd w:val="clear" w:color="auto" w:fill="auto"/>
            <w:noWrap/>
            <w:vAlign w:val="center"/>
          </w:tcPr>
          <w:p w14:paraId="7E038996">
            <w:pPr>
              <w:jc w:val="center"/>
              <w:rPr>
                <w:rFonts w:ascii="Arial"/>
                <w:color w:val="auto"/>
                <w:sz w:val="21"/>
                <w:highlight w:val="none"/>
              </w:rPr>
            </w:pPr>
          </w:p>
        </w:tc>
        <w:tc>
          <w:tcPr>
            <w:tcW w:w="1471" w:type="dxa"/>
            <w:shd w:val="clear" w:color="auto" w:fill="B8CCE4"/>
            <w:noWrap/>
            <w:vAlign w:val="center"/>
          </w:tcPr>
          <w:p w14:paraId="6A210911">
            <w:pPr>
              <w:pStyle w:val="40"/>
              <w:jc w:val="center"/>
              <w:rPr>
                <w:color w:val="auto"/>
                <w:sz w:val="20"/>
                <w:szCs w:val="20"/>
                <w:highlight w:val="none"/>
              </w:rPr>
            </w:pPr>
            <w:r>
              <w:rPr>
                <w:color w:val="auto"/>
                <w:spacing w:val="16"/>
                <w:sz w:val="20"/>
                <w:szCs w:val="20"/>
                <w:highlight w:val="none"/>
              </w:rPr>
              <w:t>营业收入(Y)</w:t>
            </w:r>
          </w:p>
        </w:tc>
        <w:tc>
          <w:tcPr>
            <w:tcW w:w="759" w:type="dxa"/>
            <w:shd w:val="clear" w:color="auto" w:fill="B8CCE4"/>
            <w:noWrap/>
            <w:vAlign w:val="center"/>
          </w:tcPr>
          <w:p w14:paraId="35C71CC8">
            <w:pPr>
              <w:pStyle w:val="40"/>
              <w:jc w:val="center"/>
              <w:rPr>
                <w:color w:val="auto"/>
                <w:sz w:val="20"/>
                <w:szCs w:val="20"/>
                <w:highlight w:val="none"/>
              </w:rPr>
            </w:pPr>
            <w:r>
              <w:rPr>
                <w:color w:val="auto"/>
                <w:spacing w:val="10"/>
                <w:sz w:val="20"/>
                <w:szCs w:val="20"/>
                <w:highlight w:val="none"/>
              </w:rPr>
              <w:t>万元</w:t>
            </w:r>
          </w:p>
        </w:tc>
        <w:tc>
          <w:tcPr>
            <w:tcW w:w="1212" w:type="dxa"/>
            <w:shd w:val="clear" w:color="auto" w:fill="B8CCE4"/>
            <w:noWrap/>
            <w:vAlign w:val="center"/>
          </w:tcPr>
          <w:p w14:paraId="244F7132">
            <w:pPr>
              <w:pStyle w:val="40"/>
              <w:jc w:val="center"/>
              <w:rPr>
                <w:color w:val="auto"/>
                <w:sz w:val="20"/>
                <w:szCs w:val="20"/>
                <w:highlight w:val="none"/>
              </w:rPr>
            </w:pPr>
            <w:r>
              <w:rPr>
                <w:color w:val="auto"/>
                <w:spacing w:val="12"/>
                <w:position w:val="1"/>
                <w:sz w:val="20"/>
                <w:szCs w:val="20"/>
                <w:highlight w:val="none"/>
              </w:rPr>
              <w:t>Y≥30000</w:t>
            </w:r>
          </w:p>
        </w:tc>
        <w:tc>
          <w:tcPr>
            <w:tcW w:w="1825" w:type="dxa"/>
            <w:shd w:val="clear" w:color="auto" w:fill="B8CCE4"/>
            <w:noWrap/>
            <w:vAlign w:val="center"/>
          </w:tcPr>
          <w:p w14:paraId="3581B837">
            <w:pPr>
              <w:pStyle w:val="40"/>
              <w:jc w:val="center"/>
              <w:rPr>
                <w:color w:val="auto"/>
                <w:sz w:val="20"/>
                <w:szCs w:val="20"/>
                <w:highlight w:val="none"/>
              </w:rPr>
            </w:pPr>
            <w:r>
              <w:rPr>
                <w:color w:val="auto"/>
                <w:spacing w:val="13"/>
                <w:position w:val="1"/>
                <w:sz w:val="20"/>
                <w:szCs w:val="20"/>
                <w:highlight w:val="none"/>
              </w:rPr>
              <w:t>3000≤Y＜30000</w:t>
            </w:r>
          </w:p>
        </w:tc>
        <w:tc>
          <w:tcPr>
            <w:tcW w:w="1534" w:type="dxa"/>
            <w:shd w:val="clear" w:color="auto" w:fill="B8CCE4"/>
            <w:noWrap/>
            <w:vAlign w:val="center"/>
          </w:tcPr>
          <w:p w14:paraId="6049542E">
            <w:pPr>
              <w:pStyle w:val="40"/>
              <w:jc w:val="center"/>
              <w:rPr>
                <w:color w:val="auto"/>
                <w:sz w:val="20"/>
                <w:szCs w:val="20"/>
                <w:highlight w:val="none"/>
              </w:rPr>
            </w:pPr>
            <w:r>
              <w:rPr>
                <w:color w:val="auto"/>
                <w:spacing w:val="13"/>
                <w:sz w:val="20"/>
                <w:szCs w:val="20"/>
                <w:highlight w:val="none"/>
              </w:rPr>
              <w:t>200≤Y＜3</w:t>
            </w:r>
            <w:r>
              <w:rPr>
                <w:color w:val="auto"/>
                <w:spacing w:val="5"/>
                <w:sz w:val="20"/>
                <w:szCs w:val="20"/>
                <w:highlight w:val="none"/>
              </w:rPr>
              <w:t>000</w:t>
            </w:r>
          </w:p>
        </w:tc>
        <w:tc>
          <w:tcPr>
            <w:tcW w:w="1073" w:type="dxa"/>
            <w:shd w:val="clear" w:color="auto" w:fill="B8CCE4"/>
            <w:noWrap/>
            <w:vAlign w:val="center"/>
          </w:tcPr>
          <w:p w14:paraId="5875D08D">
            <w:pPr>
              <w:pStyle w:val="40"/>
              <w:jc w:val="center"/>
              <w:rPr>
                <w:color w:val="auto"/>
                <w:sz w:val="20"/>
                <w:szCs w:val="20"/>
                <w:highlight w:val="none"/>
              </w:rPr>
            </w:pPr>
            <w:r>
              <w:rPr>
                <w:color w:val="auto"/>
                <w:spacing w:val="12"/>
                <w:position w:val="1"/>
                <w:sz w:val="20"/>
                <w:szCs w:val="20"/>
                <w:highlight w:val="none"/>
              </w:rPr>
              <w:t>Y＜200</w:t>
            </w:r>
          </w:p>
        </w:tc>
      </w:tr>
      <w:tr w14:paraId="6F57C126">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49" w:hRule="atLeast"/>
          <w:jc w:val="center"/>
        </w:trPr>
        <w:tc>
          <w:tcPr>
            <w:tcW w:w="2285" w:type="dxa"/>
            <w:vMerge w:val="restart"/>
            <w:tcBorders>
              <w:bottom w:val="nil"/>
            </w:tcBorders>
            <w:noWrap/>
            <w:vAlign w:val="center"/>
          </w:tcPr>
          <w:p w14:paraId="3E1C02A1">
            <w:pPr>
              <w:pStyle w:val="40"/>
              <w:jc w:val="center"/>
              <w:rPr>
                <w:color w:val="auto"/>
                <w:sz w:val="20"/>
                <w:szCs w:val="20"/>
                <w:highlight w:val="none"/>
              </w:rPr>
            </w:pPr>
            <w:r>
              <w:rPr>
                <w:color w:val="auto"/>
                <w:spacing w:val="19"/>
                <w:sz w:val="20"/>
                <w:szCs w:val="20"/>
                <w:highlight w:val="none"/>
              </w:rPr>
              <w:t>仓储业*</w:t>
            </w:r>
          </w:p>
        </w:tc>
        <w:tc>
          <w:tcPr>
            <w:tcW w:w="1471" w:type="dxa"/>
            <w:noWrap/>
            <w:vAlign w:val="center"/>
          </w:tcPr>
          <w:p w14:paraId="172D1372">
            <w:pPr>
              <w:pStyle w:val="40"/>
              <w:jc w:val="center"/>
              <w:rPr>
                <w:color w:val="auto"/>
                <w:sz w:val="20"/>
                <w:szCs w:val="20"/>
                <w:highlight w:val="none"/>
              </w:rPr>
            </w:pPr>
            <w:r>
              <w:rPr>
                <w:color w:val="auto"/>
                <w:spacing w:val="8"/>
                <w:sz w:val="20"/>
                <w:szCs w:val="20"/>
                <w:highlight w:val="none"/>
              </w:rPr>
              <w:t>从业人员(X)</w:t>
            </w:r>
          </w:p>
        </w:tc>
        <w:tc>
          <w:tcPr>
            <w:tcW w:w="759" w:type="dxa"/>
            <w:noWrap/>
            <w:vAlign w:val="center"/>
          </w:tcPr>
          <w:p w14:paraId="3FD60C34">
            <w:pPr>
              <w:pStyle w:val="40"/>
              <w:jc w:val="center"/>
              <w:rPr>
                <w:color w:val="auto"/>
                <w:sz w:val="20"/>
                <w:szCs w:val="20"/>
                <w:highlight w:val="none"/>
              </w:rPr>
            </w:pPr>
            <w:r>
              <w:rPr>
                <w:color w:val="auto"/>
                <w:sz w:val="20"/>
                <w:szCs w:val="20"/>
                <w:highlight w:val="none"/>
              </w:rPr>
              <w:t>人</w:t>
            </w:r>
          </w:p>
        </w:tc>
        <w:tc>
          <w:tcPr>
            <w:tcW w:w="1212" w:type="dxa"/>
            <w:noWrap/>
            <w:vAlign w:val="center"/>
          </w:tcPr>
          <w:p w14:paraId="37CDB1CA">
            <w:pPr>
              <w:pStyle w:val="40"/>
              <w:jc w:val="center"/>
              <w:rPr>
                <w:color w:val="auto"/>
                <w:sz w:val="20"/>
                <w:szCs w:val="20"/>
                <w:highlight w:val="none"/>
              </w:rPr>
            </w:pPr>
            <w:r>
              <w:rPr>
                <w:color w:val="auto"/>
                <w:spacing w:val="12"/>
                <w:position w:val="1"/>
                <w:sz w:val="20"/>
                <w:szCs w:val="20"/>
                <w:highlight w:val="none"/>
              </w:rPr>
              <w:t>X≥200</w:t>
            </w:r>
          </w:p>
        </w:tc>
        <w:tc>
          <w:tcPr>
            <w:tcW w:w="1825" w:type="dxa"/>
            <w:noWrap/>
            <w:vAlign w:val="center"/>
          </w:tcPr>
          <w:p w14:paraId="73B202ED">
            <w:pPr>
              <w:pStyle w:val="40"/>
              <w:jc w:val="center"/>
              <w:rPr>
                <w:color w:val="auto"/>
                <w:sz w:val="20"/>
                <w:szCs w:val="20"/>
                <w:highlight w:val="none"/>
              </w:rPr>
            </w:pPr>
            <w:r>
              <w:rPr>
                <w:color w:val="auto"/>
                <w:spacing w:val="11"/>
                <w:position w:val="1"/>
                <w:sz w:val="20"/>
                <w:szCs w:val="20"/>
                <w:highlight w:val="none"/>
              </w:rPr>
              <w:t>100≤X＜200</w:t>
            </w:r>
          </w:p>
        </w:tc>
        <w:tc>
          <w:tcPr>
            <w:tcW w:w="1534" w:type="dxa"/>
            <w:noWrap/>
            <w:vAlign w:val="center"/>
          </w:tcPr>
          <w:p w14:paraId="65B45126">
            <w:pPr>
              <w:pStyle w:val="40"/>
              <w:jc w:val="center"/>
              <w:rPr>
                <w:color w:val="auto"/>
                <w:sz w:val="20"/>
                <w:szCs w:val="20"/>
                <w:highlight w:val="none"/>
              </w:rPr>
            </w:pPr>
            <w:r>
              <w:rPr>
                <w:color w:val="auto"/>
                <w:spacing w:val="4"/>
                <w:sz w:val="20"/>
                <w:szCs w:val="20"/>
                <w:highlight w:val="none"/>
              </w:rPr>
              <w:t>20≤X＜10</w:t>
            </w:r>
            <w:r>
              <w:rPr>
                <w:color w:val="auto"/>
                <w:sz w:val="20"/>
                <w:szCs w:val="20"/>
                <w:highlight w:val="none"/>
              </w:rPr>
              <w:t>0</w:t>
            </w:r>
          </w:p>
        </w:tc>
        <w:tc>
          <w:tcPr>
            <w:tcW w:w="1073" w:type="dxa"/>
            <w:noWrap/>
            <w:vAlign w:val="center"/>
          </w:tcPr>
          <w:p w14:paraId="7185B052">
            <w:pPr>
              <w:pStyle w:val="40"/>
              <w:jc w:val="center"/>
              <w:rPr>
                <w:color w:val="auto"/>
                <w:sz w:val="20"/>
                <w:szCs w:val="20"/>
                <w:highlight w:val="none"/>
              </w:rPr>
            </w:pPr>
            <w:r>
              <w:rPr>
                <w:color w:val="auto"/>
                <w:spacing w:val="11"/>
                <w:position w:val="1"/>
                <w:sz w:val="20"/>
                <w:szCs w:val="20"/>
                <w:highlight w:val="none"/>
              </w:rPr>
              <w:t>X＜20</w:t>
            </w:r>
          </w:p>
        </w:tc>
      </w:tr>
      <w:tr w14:paraId="0B4BAB85">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49" w:hRule="atLeast"/>
          <w:jc w:val="center"/>
        </w:trPr>
        <w:tc>
          <w:tcPr>
            <w:tcW w:w="2285" w:type="dxa"/>
            <w:vMerge w:val="continue"/>
            <w:tcBorders>
              <w:top w:val="nil"/>
            </w:tcBorders>
            <w:shd w:val="clear" w:color="auto" w:fill="auto"/>
            <w:noWrap/>
            <w:vAlign w:val="center"/>
          </w:tcPr>
          <w:p w14:paraId="4E3389C8">
            <w:pPr>
              <w:jc w:val="center"/>
              <w:rPr>
                <w:rFonts w:ascii="Arial"/>
                <w:color w:val="auto"/>
                <w:sz w:val="21"/>
                <w:highlight w:val="none"/>
              </w:rPr>
            </w:pPr>
          </w:p>
        </w:tc>
        <w:tc>
          <w:tcPr>
            <w:tcW w:w="1471" w:type="dxa"/>
            <w:shd w:val="clear" w:color="auto" w:fill="B8CCE4"/>
            <w:noWrap/>
            <w:vAlign w:val="center"/>
          </w:tcPr>
          <w:p w14:paraId="31A57F82">
            <w:pPr>
              <w:pStyle w:val="40"/>
              <w:jc w:val="center"/>
              <w:rPr>
                <w:color w:val="auto"/>
                <w:sz w:val="20"/>
                <w:szCs w:val="20"/>
                <w:highlight w:val="none"/>
              </w:rPr>
            </w:pPr>
            <w:r>
              <w:rPr>
                <w:color w:val="auto"/>
                <w:spacing w:val="16"/>
                <w:sz w:val="20"/>
                <w:szCs w:val="20"/>
                <w:highlight w:val="none"/>
              </w:rPr>
              <w:t>营业收入(Y)</w:t>
            </w:r>
          </w:p>
        </w:tc>
        <w:tc>
          <w:tcPr>
            <w:tcW w:w="759" w:type="dxa"/>
            <w:shd w:val="clear" w:color="auto" w:fill="B8CCE4"/>
            <w:noWrap/>
            <w:vAlign w:val="center"/>
          </w:tcPr>
          <w:p w14:paraId="0CF28C42">
            <w:pPr>
              <w:pStyle w:val="40"/>
              <w:jc w:val="center"/>
              <w:rPr>
                <w:color w:val="auto"/>
                <w:sz w:val="20"/>
                <w:szCs w:val="20"/>
                <w:highlight w:val="none"/>
              </w:rPr>
            </w:pPr>
            <w:r>
              <w:rPr>
                <w:color w:val="auto"/>
                <w:spacing w:val="10"/>
                <w:sz w:val="20"/>
                <w:szCs w:val="20"/>
                <w:highlight w:val="none"/>
              </w:rPr>
              <w:t>万元</w:t>
            </w:r>
          </w:p>
        </w:tc>
        <w:tc>
          <w:tcPr>
            <w:tcW w:w="1212" w:type="dxa"/>
            <w:shd w:val="clear" w:color="auto" w:fill="B8CCE4"/>
            <w:noWrap/>
            <w:vAlign w:val="center"/>
          </w:tcPr>
          <w:p w14:paraId="6161EA43">
            <w:pPr>
              <w:pStyle w:val="40"/>
              <w:jc w:val="center"/>
              <w:rPr>
                <w:color w:val="auto"/>
                <w:sz w:val="20"/>
                <w:szCs w:val="20"/>
                <w:highlight w:val="none"/>
              </w:rPr>
            </w:pPr>
            <w:r>
              <w:rPr>
                <w:color w:val="auto"/>
                <w:spacing w:val="12"/>
                <w:position w:val="1"/>
                <w:sz w:val="20"/>
                <w:szCs w:val="20"/>
                <w:highlight w:val="none"/>
              </w:rPr>
              <w:t>Y≥30000</w:t>
            </w:r>
          </w:p>
        </w:tc>
        <w:tc>
          <w:tcPr>
            <w:tcW w:w="1825" w:type="dxa"/>
            <w:shd w:val="clear" w:color="auto" w:fill="B8CCE4"/>
            <w:noWrap/>
            <w:vAlign w:val="center"/>
          </w:tcPr>
          <w:p w14:paraId="11F1E698">
            <w:pPr>
              <w:pStyle w:val="40"/>
              <w:jc w:val="center"/>
              <w:rPr>
                <w:color w:val="auto"/>
                <w:sz w:val="20"/>
                <w:szCs w:val="20"/>
                <w:highlight w:val="none"/>
              </w:rPr>
            </w:pPr>
            <w:r>
              <w:rPr>
                <w:color w:val="auto"/>
                <w:spacing w:val="12"/>
                <w:position w:val="1"/>
                <w:sz w:val="20"/>
                <w:szCs w:val="20"/>
                <w:highlight w:val="none"/>
              </w:rPr>
              <w:t>1000≤Y＜30000</w:t>
            </w:r>
          </w:p>
        </w:tc>
        <w:tc>
          <w:tcPr>
            <w:tcW w:w="1534" w:type="dxa"/>
            <w:shd w:val="clear" w:color="auto" w:fill="B8CCE4"/>
            <w:noWrap/>
            <w:vAlign w:val="center"/>
          </w:tcPr>
          <w:p w14:paraId="1B74065C">
            <w:pPr>
              <w:pStyle w:val="40"/>
              <w:jc w:val="center"/>
              <w:rPr>
                <w:color w:val="auto"/>
                <w:sz w:val="20"/>
                <w:szCs w:val="20"/>
                <w:highlight w:val="none"/>
              </w:rPr>
            </w:pPr>
            <w:r>
              <w:rPr>
                <w:color w:val="auto"/>
                <w:spacing w:val="2"/>
                <w:sz w:val="20"/>
                <w:szCs w:val="20"/>
                <w:highlight w:val="none"/>
              </w:rPr>
              <w:t>100≤Y＜1</w:t>
            </w:r>
            <w:r>
              <w:rPr>
                <w:color w:val="auto"/>
                <w:spacing w:val="5"/>
                <w:sz w:val="20"/>
                <w:szCs w:val="20"/>
                <w:highlight w:val="none"/>
              </w:rPr>
              <w:t>000</w:t>
            </w:r>
          </w:p>
        </w:tc>
        <w:tc>
          <w:tcPr>
            <w:tcW w:w="1073" w:type="dxa"/>
            <w:shd w:val="clear" w:color="auto" w:fill="B8CCE4"/>
            <w:noWrap/>
            <w:vAlign w:val="center"/>
          </w:tcPr>
          <w:p w14:paraId="5DE3BC1F">
            <w:pPr>
              <w:pStyle w:val="40"/>
              <w:jc w:val="center"/>
              <w:rPr>
                <w:color w:val="auto"/>
                <w:sz w:val="20"/>
                <w:szCs w:val="20"/>
                <w:highlight w:val="none"/>
              </w:rPr>
            </w:pPr>
            <w:r>
              <w:rPr>
                <w:color w:val="auto"/>
                <w:spacing w:val="-1"/>
                <w:position w:val="1"/>
                <w:sz w:val="20"/>
                <w:szCs w:val="20"/>
                <w:highlight w:val="none"/>
              </w:rPr>
              <w:t>Y＜100</w:t>
            </w:r>
          </w:p>
        </w:tc>
      </w:tr>
      <w:tr w14:paraId="47B61204">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49" w:hRule="atLeast"/>
          <w:jc w:val="center"/>
        </w:trPr>
        <w:tc>
          <w:tcPr>
            <w:tcW w:w="2285" w:type="dxa"/>
            <w:vMerge w:val="restart"/>
            <w:tcBorders>
              <w:bottom w:val="nil"/>
            </w:tcBorders>
            <w:noWrap/>
            <w:vAlign w:val="center"/>
          </w:tcPr>
          <w:p w14:paraId="5FF30AF6">
            <w:pPr>
              <w:pStyle w:val="40"/>
              <w:jc w:val="center"/>
              <w:rPr>
                <w:color w:val="auto"/>
                <w:sz w:val="20"/>
                <w:szCs w:val="20"/>
                <w:highlight w:val="none"/>
              </w:rPr>
            </w:pPr>
            <w:r>
              <w:rPr>
                <w:color w:val="auto"/>
                <w:spacing w:val="12"/>
                <w:sz w:val="20"/>
                <w:szCs w:val="20"/>
                <w:highlight w:val="none"/>
              </w:rPr>
              <w:t>邮政业</w:t>
            </w:r>
          </w:p>
        </w:tc>
        <w:tc>
          <w:tcPr>
            <w:tcW w:w="1471" w:type="dxa"/>
            <w:noWrap/>
            <w:vAlign w:val="center"/>
          </w:tcPr>
          <w:p w14:paraId="29809C21">
            <w:pPr>
              <w:pStyle w:val="40"/>
              <w:jc w:val="center"/>
              <w:rPr>
                <w:color w:val="auto"/>
                <w:sz w:val="20"/>
                <w:szCs w:val="20"/>
                <w:highlight w:val="none"/>
              </w:rPr>
            </w:pPr>
            <w:r>
              <w:rPr>
                <w:color w:val="auto"/>
                <w:spacing w:val="8"/>
                <w:sz w:val="20"/>
                <w:szCs w:val="20"/>
                <w:highlight w:val="none"/>
              </w:rPr>
              <w:t>从业人员(X)</w:t>
            </w:r>
          </w:p>
        </w:tc>
        <w:tc>
          <w:tcPr>
            <w:tcW w:w="759" w:type="dxa"/>
            <w:noWrap/>
            <w:vAlign w:val="center"/>
          </w:tcPr>
          <w:p w14:paraId="3FAACB41">
            <w:pPr>
              <w:pStyle w:val="40"/>
              <w:jc w:val="center"/>
              <w:rPr>
                <w:color w:val="auto"/>
                <w:sz w:val="20"/>
                <w:szCs w:val="20"/>
                <w:highlight w:val="none"/>
              </w:rPr>
            </w:pPr>
            <w:r>
              <w:rPr>
                <w:color w:val="auto"/>
                <w:sz w:val="20"/>
                <w:szCs w:val="20"/>
                <w:highlight w:val="none"/>
              </w:rPr>
              <w:t>人</w:t>
            </w:r>
          </w:p>
        </w:tc>
        <w:tc>
          <w:tcPr>
            <w:tcW w:w="1212" w:type="dxa"/>
            <w:noWrap/>
            <w:vAlign w:val="center"/>
          </w:tcPr>
          <w:p w14:paraId="48AF8F0A">
            <w:pPr>
              <w:pStyle w:val="40"/>
              <w:jc w:val="center"/>
              <w:rPr>
                <w:color w:val="auto"/>
                <w:sz w:val="20"/>
                <w:szCs w:val="20"/>
                <w:highlight w:val="none"/>
              </w:rPr>
            </w:pPr>
            <w:r>
              <w:rPr>
                <w:color w:val="auto"/>
                <w:spacing w:val="12"/>
                <w:position w:val="1"/>
                <w:sz w:val="20"/>
                <w:szCs w:val="20"/>
                <w:highlight w:val="none"/>
              </w:rPr>
              <w:t>X≥1000</w:t>
            </w:r>
          </w:p>
        </w:tc>
        <w:tc>
          <w:tcPr>
            <w:tcW w:w="1825" w:type="dxa"/>
            <w:noWrap/>
            <w:vAlign w:val="center"/>
          </w:tcPr>
          <w:p w14:paraId="080F28DB">
            <w:pPr>
              <w:pStyle w:val="40"/>
              <w:jc w:val="center"/>
              <w:rPr>
                <w:color w:val="auto"/>
                <w:sz w:val="20"/>
                <w:szCs w:val="20"/>
                <w:highlight w:val="none"/>
              </w:rPr>
            </w:pPr>
            <w:r>
              <w:rPr>
                <w:color w:val="auto"/>
                <w:spacing w:val="6"/>
                <w:position w:val="1"/>
                <w:sz w:val="20"/>
                <w:szCs w:val="20"/>
                <w:highlight w:val="none"/>
              </w:rPr>
              <w:t>300≤X＜1000</w:t>
            </w:r>
          </w:p>
        </w:tc>
        <w:tc>
          <w:tcPr>
            <w:tcW w:w="1534" w:type="dxa"/>
            <w:noWrap/>
            <w:vAlign w:val="center"/>
          </w:tcPr>
          <w:p w14:paraId="5BB301AB">
            <w:pPr>
              <w:pStyle w:val="40"/>
              <w:jc w:val="center"/>
              <w:rPr>
                <w:color w:val="auto"/>
                <w:sz w:val="20"/>
                <w:szCs w:val="20"/>
                <w:highlight w:val="none"/>
              </w:rPr>
            </w:pPr>
            <w:r>
              <w:rPr>
                <w:color w:val="auto"/>
                <w:spacing w:val="13"/>
                <w:sz w:val="20"/>
                <w:szCs w:val="20"/>
                <w:highlight w:val="none"/>
              </w:rPr>
              <w:t>20≤X＜30</w:t>
            </w:r>
            <w:r>
              <w:rPr>
                <w:color w:val="auto"/>
                <w:sz w:val="20"/>
                <w:szCs w:val="20"/>
                <w:highlight w:val="none"/>
              </w:rPr>
              <w:t>0</w:t>
            </w:r>
          </w:p>
        </w:tc>
        <w:tc>
          <w:tcPr>
            <w:tcW w:w="1073" w:type="dxa"/>
            <w:noWrap/>
            <w:vAlign w:val="center"/>
          </w:tcPr>
          <w:p w14:paraId="35D0581A">
            <w:pPr>
              <w:pStyle w:val="40"/>
              <w:jc w:val="center"/>
              <w:rPr>
                <w:color w:val="auto"/>
                <w:sz w:val="20"/>
                <w:szCs w:val="20"/>
                <w:highlight w:val="none"/>
              </w:rPr>
            </w:pPr>
            <w:r>
              <w:rPr>
                <w:color w:val="auto"/>
                <w:spacing w:val="11"/>
                <w:position w:val="1"/>
                <w:sz w:val="20"/>
                <w:szCs w:val="20"/>
                <w:highlight w:val="none"/>
              </w:rPr>
              <w:t>X＜20</w:t>
            </w:r>
          </w:p>
        </w:tc>
      </w:tr>
      <w:tr w14:paraId="165AE6A2">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50" w:hRule="atLeast"/>
          <w:jc w:val="center"/>
        </w:trPr>
        <w:tc>
          <w:tcPr>
            <w:tcW w:w="2285" w:type="dxa"/>
            <w:vMerge w:val="continue"/>
            <w:tcBorders>
              <w:top w:val="nil"/>
            </w:tcBorders>
            <w:shd w:val="clear" w:color="auto" w:fill="auto"/>
            <w:noWrap/>
            <w:vAlign w:val="center"/>
          </w:tcPr>
          <w:p w14:paraId="320BF08E">
            <w:pPr>
              <w:jc w:val="center"/>
              <w:rPr>
                <w:rFonts w:ascii="Arial"/>
                <w:color w:val="auto"/>
                <w:sz w:val="21"/>
                <w:highlight w:val="none"/>
              </w:rPr>
            </w:pPr>
          </w:p>
        </w:tc>
        <w:tc>
          <w:tcPr>
            <w:tcW w:w="1471" w:type="dxa"/>
            <w:shd w:val="clear" w:color="auto" w:fill="B8CCE4"/>
            <w:noWrap/>
            <w:vAlign w:val="center"/>
          </w:tcPr>
          <w:p w14:paraId="7F3056EF">
            <w:pPr>
              <w:pStyle w:val="40"/>
              <w:jc w:val="center"/>
              <w:rPr>
                <w:color w:val="auto"/>
                <w:sz w:val="20"/>
                <w:szCs w:val="20"/>
                <w:highlight w:val="none"/>
              </w:rPr>
            </w:pPr>
            <w:r>
              <w:rPr>
                <w:color w:val="auto"/>
                <w:spacing w:val="16"/>
                <w:sz w:val="20"/>
                <w:szCs w:val="20"/>
                <w:highlight w:val="none"/>
              </w:rPr>
              <w:t>营业收入(Y)</w:t>
            </w:r>
          </w:p>
        </w:tc>
        <w:tc>
          <w:tcPr>
            <w:tcW w:w="759" w:type="dxa"/>
            <w:shd w:val="clear" w:color="auto" w:fill="B8CCE4"/>
            <w:noWrap/>
            <w:vAlign w:val="center"/>
          </w:tcPr>
          <w:p w14:paraId="6F31AC0F">
            <w:pPr>
              <w:pStyle w:val="40"/>
              <w:jc w:val="center"/>
              <w:rPr>
                <w:color w:val="auto"/>
                <w:sz w:val="20"/>
                <w:szCs w:val="20"/>
                <w:highlight w:val="none"/>
              </w:rPr>
            </w:pPr>
            <w:r>
              <w:rPr>
                <w:color w:val="auto"/>
                <w:spacing w:val="10"/>
                <w:sz w:val="20"/>
                <w:szCs w:val="20"/>
                <w:highlight w:val="none"/>
              </w:rPr>
              <w:t>万元</w:t>
            </w:r>
          </w:p>
        </w:tc>
        <w:tc>
          <w:tcPr>
            <w:tcW w:w="1212" w:type="dxa"/>
            <w:shd w:val="clear" w:color="auto" w:fill="B8CCE4"/>
            <w:noWrap/>
            <w:vAlign w:val="center"/>
          </w:tcPr>
          <w:p w14:paraId="32BE1BA0">
            <w:pPr>
              <w:pStyle w:val="40"/>
              <w:jc w:val="center"/>
              <w:rPr>
                <w:color w:val="auto"/>
                <w:sz w:val="20"/>
                <w:szCs w:val="20"/>
                <w:highlight w:val="none"/>
              </w:rPr>
            </w:pPr>
            <w:r>
              <w:rPr>
                <w:color w:val="auto"/>
                <w:spacing w:val="12"/>
                <w:position w:val="1"/>
                <w:sz w:val="20"/>
                <w:szCs w:val="20"/>
                <w:highlight w:val="none"/>
              </w:rPr>
              <w:t>Y≥30000</w:t>
            </w:r>
          </w:p>
        </w:tc>
        <w:tc>
          <w:tcPr>
            <w:tcW w:w="1825" w:type="dxa"/>
            <w:shd w:val="clear" w:color="auto" w:fill="B8CCE4"/>
            <w:noWrap/>
            <w:vAlign w:val="center"/>
          </w:tcPr>
          <w:p w14:paraId="00DDD64A">
            <w:pPr>
              <w:pStyle w:val="40"/>
              <w:jc w:val="center"/>
              <w:rPr>
                <w:color w:val="auto"/>
                <w:sz w:val="20"/>
                <w:szCs w:val="20"/>
                <w:highlight w:val="none"/>
              </w:rPr>
            </w:pPr>
            <w:r>
              <w:rPr>
                <w:color w:val="auto"/>
                <w:spacing w:val="13"/>
                <w:position w:val="1"/>
                <w:sz w:val="20"/>
                <w:szCs w:val="20"/>
                <w:highlight w:val="none"/>
              </w:rPr>
              <w:t>2000≤Y＜30000</w:t>
            </w:r>
          </w:p>
        </w:tc>
        <w:tc>
          <w:tcPr>
            <w:tcW w:w="1534" w:type="dxa"/>
            <w:shd w:val="clear" w:color="auto" w:fill="B8CCE4"/>
            <w:noWrap/>
            <w:vAlign w:val="center"/>
          </w:tcPr>
          <w:p w14:paraId="4FBCB420">
            <w:pPr>
              <w:pStyle w:val="40"/>
              <w:jc w:val="center"/>
              <w:rPr>
                <w:color w:val="auto"/>
                <w:sz w:val="20"/>
                <w:szCs w:val="20"/>
                <w:highlight w:val="none"/>
              </w:rPr>
            </w:pPr>
            <w:r>
              <w:rPr>
                <w:color w:val="auto"/>
                <w:spacing w:val="11"/>
                <w:sz w:val="20"/>
                <w:szCs w:val="20"/>
                <w:highlight w:val="none"/>
              </w:rPr>
              <w:t>100≤Y＜2</w:t>
            </w:r>
            <w:r>
              <w:rPr>
                <w:color w:val="auto"/>
                <w:spacing w:val="5"/>
                <w:sz w:val="20"/>
                <w:szCs w:val="20"/>
                <w:highlight w:val="none"/>
              </w:rPr>
              <w:t>000</w:t>
            </w:r>
          </w:p>
        </w:tc>
        <w:tc>
          <w:tcPr>
            <w:tcW w:w="1073" w:type="dxa"/>
            <w:shd w:val="clear" w:color="auto" w:fill="B8CCE4"/>
            <w:noWrap/>
            <w:vAlign w:val="center"/>
          </w:tcPr>
          <w:p w14:paraId="46EA23FC">
            <w:pPr>
              <w:pStyle w:val="40"/>
              <w:jc w:val="center"/>
              <w:rPr>
                <w:color w:val="auto"/>
                <w:sz w:val="20"/>
                <w:szCs w:val="20"/>
                <w:highlight w:val="none"/>
              </w:rPr>
            </w:pPr>
            <w:r>
              <w:rPr>
                <w:color w:val="auto"/>
                <w:spacing w:val="-1"/>
                <w:position w:val="1"/>
                <w:sz w:val="20"/>
                <w:szCs w:val="20"/>
                <w:highlight w:val="none"/>
              </w:rPr>
              <w:t>Y＜100</w:t>
            </w:r>
          </w:p>
        </w:tc>
      </w:tr>
      <w:tr w14:paraId="780030F7">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49" w:hRule="atLeast"/>
          <w:jc w:val="center"/>
        </w:trPr>
        <w:tc>
          <w:tcPr>
            <w:tcW w:w="2285" w:type="dxa"/>
            <w:vMerge w:val="restart"/>
            <w:tcBorders>
              <w:bottom w:val="nil"/>
            </w:tcBorders>
            <w:noWrap/>
            <w:vAlign w:val="center"/>
          </w:tcPr>
          <w:p w14:paraId="398A7978">
            <w:pPr>
              <w:pStyle w:val="40"/>
              <w:jc w:val="center"/>
              <w:rPr>
                <w:color w:val="auto"/>
                <w:sz w:val="20"/>
                <w:szCs w:val="20"/>
                <w:highlight w:val="none"/>
              </w:rPr>
            </w:pPr>
            <w:r>
              <w:rPr>
                <w:color w:val="auto"/>
                <w:spacing w:val="17"/>
                <w:sz w:val="20"/>
                <w:szCs w:val="20"/>
                <w:highlight w:val="none"/>
              </w:rPr>
              <w:t>住宿业</w:t>
            </w:r>
          </w:p>
        </w:tc>
        <w:tc>
          <w:tcPr>
            <w:tcW w:w="1471" w:type="dxa"/>
            <w:noWrap/>
            <w:vAlign w:val="center"/>
          </w:tcPr>
          <w:p w14:paraId="00F1A496">
            <w:pPr>
              <w:pStyle w:val="40"/>
              <w:jc w:val="center"/>
              <w:rPr>
                <w:color w:val="auto"/>
                <w:sz w:val="20"/>
                <w:szCs w:val="20"/>
                <w:highlight w:val="none"/>
              </w:rPr>
            </w:pPr>
            <w:r>
              <w:rPr>
                <w:color w:val="auto"/>
                <w:spacing w:val="8"/>
                <w:sz w:val="20"/>
                <w:szCs w:val="20"/>
                <w:highlight w:val="none"/>
              </w:rPr>
              <w:t>从业人员(X)</w:t>
            </w:r>
          </w:p>
        </w:tc>
        <w:tc>
          <w:tcPr>
            <w:tcW w:w="759" w:type="dxa"/>
            <w:noWrap/>
            <w:vAlign w:val="center"/>
          </w:tcPr>
          <w:p w14:paraId="5BE5052F">
            <w:pPr>
              <w:pStyle w:val="40"/>
              <w:jc w:val="center"/>
              <w:rPr>
                <w:color w:val="auto"/>
                <w:sz w:val="20"/>
                <w:szCs w:val="20"/>
                <w:highlight w:val="none"/>
              </w:rPr>
            </w:pPr>
            <w:r>
              <w:rPr>
                <w:color w:val="auto"/>
                <w:sz w:val="20"/>
                <w:szCs w:val="20"/>
                <w:highlight w:val="none"/>
              </w:rPr>
              <w:t>人</w:t>
            </w:r>
          </w:p>
        </w:tc>
        <w:tc>
          <w:tcPr>
            <w:tcW w:w="1212" w:type="dxa"/>
            <w:noWrap/>
            <w:vAlign w:val="center"/>
          </w:tcPr>
          <w:p w14:paraId="1D4E0D1D">
            <w:pPr>
              <w:pStyle w:val="40"/>
              <w:jc w:val="center"/>
              <w:rPr>
                <w:color w:val="auto"/>
                <w:sz w:val="20"/>
                <w:szCs w:val="20"/>
                <w:highlight w:val="none"/>
              </w:rPr>
            </w:pPr>
            <w:r>
              <w:rPr>
                <w:color w:val="auto"/>
                <w:spacing w:val="12"/>
                <w:position w:val="1"/>
                <w:sz w:val="20"/>
                <w:szCs w:val="20"/>
                <w:highlight w:val="none"/>
              </w:rPr>
              <w:t>X≥300</w:t>
            </w:r>
          </w:p>
        </w:tc>
        <w:tc>
          <w:tcPr>
            <w:tcW w:w="1825" w:type="dxa"/>
            <w:noWrap/>
            <w:vAlign w:val="center"/>
          </w:tcPr>
          <w:p w14:paraId="36E32C85">
            <w:pPr>
              <w:pStyle w:val="40"/>
              <w:jc w:val="center"/>
              <w:rPr>
                <w:color w:val="auto"/>
                <w:sz w:val="20"/>
                <w:szCs w:val="20"/>
                <w:highlight w:val="none"/>
              </w:rPr>
            </w:pPr>
            <w:r>
              <w:rPr>
                <w:color w:val="auto"/>
                <w:spacing w:val="11"/>
                <w:position w:val="1"/>
                <w:sz w:val="20"/>
                <w:szCs w:val="20"/>
                <w:highlight w:val="none"/>
              </w:rPr>
              <w:t>100≤X＜300</w:t>
            </w:r>
          </w:p>
        </w:tc>
        <w:tc>
          <w:tcPr>
            <w:tcW w:w="1534" w:type="dxa"/>
            <w:noWrap/>
            <w:vAlign w:val="center"/>
          </w:tcPr>
          <w:p w14:paraId="7231B238">
            <w:pPr>
              <w:pStyle w:val="40"/>
              <w:jc w:val="center"/>
              <w:rPr>
                <w:color w:val="auto"/>
                <w:sz w:val="20"/>
                <w:szCs w:val="20"/>
                <w:highlight w:val="none"/>
              </w:rPr>
            </w:pPr>
            <w:r>
              <w:rPr>
                <w:color w:val="auto"/>
                <w:spacing w:val="2"/>
                <w:sz w:val="20"/>
                <w:szCs w:val="20"/>
                <w:highlight w:val="none"/>
              </w:rPr>
              <w:t>10≤X＜10</w:t>
            </w:r>
            <w:r>
              <w:rPr>
                <w:color w:val="auto"/>
                <w:sz w:val="20"/>
                <w:szCs w:val="20"/>
                <w:highlight w:val="none"/>
              </w:rPr>
              <w:t>0</w:t>
            </w:r>
          </w:p>
        </w:tc>
        <w:tc>
          <w:tcPr>
            <w:tcW w:w="1073" w:type="dxa"/>
            <w:noWrap/>
            <w:vAlign w:val="center"/>
          </w:tcPr>
          <w:p w14:paraId="0B350A61">
            <w:pPr>
              <w:pStyle w:val="40"/>
              <w:jc w:val="center"/>
              <w:rPr>
                <w:color w:val="auto"/>
                <w:sz w:val="20"/>
                <w:szCs w:val="20"/>
                <w:highlight w:val="none"/>
              </w:rPr>
            </w:pPr>
            <w:r>
              <w:rPr>
                <w:color w:val="auto"/>
                <w:spacing w:val="-5"/>
                <w:position w:val="1"/>
                <w:sz w:val="20"/>
                <w:szCs w:val="20"/>
                <w:highlight w:val="none"/>
              </w:rPr>
              <w:t>X＜10</w:t>
            </w:r>
          </w:p>
        </w:tc>
      </w:tr>
      <w:tr w14:paraId="2B02B5AE">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50" w:hRule="atLeast"/>
          <w:jc w:val="center"/>
        </w:trPr>
        <w:tc>
          <w:tcPr>
            <w:tcW w:w="2285" w:type="dxa"/>
            <w:vMerge w:val="continue"/>
            <w:tcBorders>
              <w:top w:val="nil"/>
            </w:tcBorders>
            <w:shd w:val="clear" w:color="auto" w:fill="auto"/>
            <w:noWrap/>
            <w:vAlign w:val="center"/>
          </w:tcPr>
          <w:p w14:paraId="52C98283">
            <w:pPr>
              <w:jc w:val="center"/>
              <w:rPr>
                <w:rFonts w:ascii="Arial"/>
                <w:color w:val="auto"/>
                <w:sz w:val="21"/>
                <w:highlight w:val="none"/>
              </w:rPr>
            </w:pPr>
          </w:p>
        </w:tc>
        <w:tc>
          <w:tcPr>
            <w:tcW w:w="1471" w:type="dxa"/>
            <w:shd w:val="clear" w:color="auto" w:fill="B8CCE4"/>
            <w:noWrap/>
            <w:vAlign w:val="center"/>
          </w:tcPr>
          <w:p w14:paraId="475DEACD">
            <w:pPr>
              <w:pStyle w:val="40"/>
              <w:jc w:val="center"/>
              <w:rPr>
                <w:color w:val="auto"/>
                <w:sz w:val="20"/>
                <w:szCs w:val="20"/>
                <w:highlight w:val="none"/>
              </w:rPr>
            </w:pPr>
            <w:r>
              <w:rPr>
                <w:color w:val="auto"/>
                <w:spacing w:val="16"/>
                <w:sz w:val="20"/>
                <w:szCs w:val="20"/>
                <w:highlight w:val="none"/>
              </w:rPr>
              <w:t>营业收入(Y)</w:t>
            </w:r>
          </w:p>
        </w:tc>
        <w:tc>
          <w:tcPr>
            <w:tcW w:w="759" w:type="dxa"/>
            <w:shd w:val="clear" w:color="auto" w:fill="B8CCE4"/>
            <w:noWrap/>
            <w:vAlign w:val="center"/>
          </w:tcPr>
          <w:p w14:paraId="0FD4A320">
            <w:pPr>
              <w:pStyle w:val="40"/>
              <w:jc w:val="center"/>
              <w:rPr>
                <w:color w:val="auto"/>
                <w:sz w:val="20"/>
                <w:szCs w:val="20"/>
                <w:highlight w:val="none"/>
              </w:rPr>
            </w:pPr>
            <w:r>
              <w:rPr>
                <w:color w:val="auto"/>
                <w:spacing w:val="10"/>
                <w:sz w:val="20"/>
                <w:szCs w:val="20"/>
                <w:highlight w:val="none"/>
              </w:rPr>
              <w:t>万元</w:t>
            </w:r>
          </w:p>
        </w:tc>
        <w:tc>
          <w:tcPr>
            <w:tcW w:w="1212" w:type="dxa"/>
            <w:shd w:val="clear" w:color="auto" w:fill="B8CCE4"/>
            <w:noWrap/>
            <w:vAlign w:val="center"/>
          </w:tcPr>
          <w:p w14:paraId="3147B1EE">
            <w:pPr>
              <w:pStyle w:val="40"/>
              <w:jc w:val="center"/>
              <w:rPr>
                <w:color w:val="auto"/>
                <w:sz w:val="20"/>
                <w:szCs w:val="20"/>
                <w:highlight w:val="none"/>
              </w:rPr>
            </w:pPr>
            <w:r>
              <w:rPr>
                <w:color w:val="auto"/>
                <w:spacing w:val="12"/>
                <w:position w:val="1"/>
                <w:sz w:val="20"/>
                <w:szCs w:val="20"/>
                <w:highlight w:val="none"/>
              </w:rPr>
              <w:t>Y≥10000</w:t>
            </w:r>
          </w:p>
        </w:tc>
        <w:tc>
          <w:tcPr>
            <w:tcW w:w="1825" w:type="dxa"/>
            <w:shd w:val="clear" w:color="auto" w:fill="B8CCE4"/>
            <w:noWrap/>
            <w:vAlign w:val="center"/>
          </w:tcPr>
          <w:p w14:paraId="32DE297C">
            <w:pPr>
              <w:pStyle w:val="40"/>
              <w:jc w:val="center"/>
              <w:rPr>
                <w:color w:val="auto"/>
                <w:sz w:val="20"/>
                <w:szCs w:val="20"/>
                <w:highlight w:val="none"/>
              </w:rPr>
            </w:pPr>
            <w:r>
              <w:rPr>
                <w:color w:val="auto"/>
                <w:spacing w:val="7"/>
                <w:position w:val="1"/>
                <w:sz w:val="20"/>
                <w:szCs w:val="20"/>
                <w:highlight w:val="none"/>
              </w:rPr>
              <w:t>2000≤Y＜10000</w:t>
            </w:r>
          </w:p>
        </w:tc>
        <w:tc>
          <w:tcPr>
            <w:tcW w:w="1534" w:type="dxa"/>
            <w:shd w:val="clear" w:color="auto" w:fill="B8CCE4"/>
            <w:noWrap/>
            <w:vAlign w:val="center"/>
          </w:tcPr>
          <w:p w14:paraId="1CB053B8">
            <w:pPr>
              <w:pStyle w:val="40"/>
              <w:jc w:val="center"/>
              <w:rPr>
                <w:color w:val="auto"/>
                <w:sz w:val="20"/>
                <w:szCs w:val="20"/>
                <w:highlight w:val="none"/>
              </w:rPr>
            </w:pPr>
            <w:r>
              <w:rPr>
                <w:color w:val="auto"/>
                <w:spacing w:val="11"/>
                <w:sz w:val="20"/>
                <w:szCs w:val="20"/>
                <w:highlight w:val="none"/>
              </w:rPr>
              <w:t>100≤Y＜2</w:t>
            </w:r>
            <w:r>
              <w:rPr>
                <w:color w:val="auto"/>
                <w:spacing w:val="5"/>
                <w:sz w:val="20"/>
                <w:szCs w:val="20"/>
                <w:highlight w:val="none"/>
              </w:rPr>
              <w:t>000</w:t>
            </w:r>
          </w:p>
        </w:tc>
        <w:tc>
          <w:tcPr>
            <w:tcW w:w="1073" w:type="dxa"/>
            <w:shd w:val="clear" w:color="auto" w:fill="B8CCE4"/>
            <w:noWrap/>
            <w:vAlign w:val="center"/>
          </w:tcPr>
          <w:p w14:paraId="7BA99985">
            <w:pPr>
              <w:pStyle w:val="40"/>
              <w:jc w:val="center"/>
              <w:rPr>
                <w:color w:val="auto"/>
                <w:sz w:val="20"/>
                <w:szCs w:val="20"/>
                <w:highlight w:val="none"/>
              </w:rPr>
            </w:pPr>
            <w:r>
              <w:rPr>
                <w:color w:val="auto"/>
                <w:spacing w:val="-1"/>
                <w:position w:val="1"/>
                <w:sz w:val="20"/>
                <w:szCs w:val="20"/>
                <w:highlight w:val="none"/>
              </w:rPr>
              <w:t>Y＜100</w:t>
            </w:r>
          </w:p>
        </w:tc>
      </w:tr>
      <w:tr w14:paraId="1613B08E">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50" w:hRule="atLeast"/>
          <w:jc w:val="center"/>
        </w:trPr>
        <w:tc>
          <w:tcPr>
            <w:tcW w:w="2285" w:type="dxa"/>
            <w:vMerge w:val="restart"/>
            <w:tcBorders>
              <w:bottom w:val="nil"/>
            </w:tcBorders>
            <w:noWrap/>
            <w:vAlign w:val="center"/>
          </w:tcPr>
          <w:p w14:paraId="33E809D5">
            <w:pPr>
              <w:pStyle w:val="40"/>
              <w:jc w:val="center"/>
              <w:rPr>
                <w:color w:val="auto"/>
                <w:sz w:val="20"/>
                <w:szCs w:val="20"/>
                <w:highlight w:val="none"/>
              </w:rPr>
            </w:pPr>
            <w:r>
              <w:rPr>
                <w:color w:val="auto"/>
                <w:spacing w:val="16"/>
                <w:sz w:val="20"/>
                <w:szCs w:val="20"/>
                <w:highlight w:val="none"/>
              </w:rPr>
              <w:t>餐饮业</w:t>
            </w:r>
          </w:p>
        </w:tc>
        <w:tc>
          <w:tcPr>
            <w:tcW w:w="1471" w:type="dxa"/>
            <w:noWrap/>
            <w:vAlign w:val="center"/>
          </w:tcPr>
          <w:p w14:paraId="13C51E56">
            <w:pPr>
              <w:pStyle w:val="40"/>
              <w:jc w:val="center"/>
              <w:rPr>
                <w:color w:val="auto"/>
                <w:sz w:val="20"/>
                <w:szCs w:val="20"/>
                <w:highlight w:val="none"/>
              </w:rPr>
            </w:pPr>
            <w:r>
              <w:rPr>
                <w:color w:val="auto"/>
                <w:spacing w:val="8"/>
                <w:sz w:val="20"/>
                <w:szCs w:val="20"/>
                <w:highlight w:val="none"/>
              </w:rPr>
              <w:t>从业人员(X)</w:t>
            </w:r>
          </w:p>
        </w:tc>
        <w:tc>
          <w:tcPr>
            <w:tcW w:w="759" w:type="dxa"/>
            <w:noWrap/>
            <w:vAlign w:val="center"/>
          </w:tcPr>
          <w:p w14:paraId="5E1FD646">
            <w:pPr>
              <w:pStyle w:val="40"/>
              <w:jc w:val="center"/>
              <w:rPr>
                <w:color w:val="auto"/>
                <w:sz w:val="20"/>
                <w:szCs w:val="20"/>
                <w:highlight w:val="none"/>
              </w:rPr>
            </w:pPr>
            <w:r>
              <w:rPr>
                <w:color w:val="auto"/>
                <w:sz w:val="20"/>
                <w:szCs w:val="20"/>
                <w:highlight w:val="none"/>
              </w:rPr>
              <w:t>人</w:t>
            </w:r>
          </w:p>
        </w:tc>
        <w:tc>
          <w:tcPr>
            <w:tcW w:w="1212" w:type="dxa"/>
            <w:noWrap/>
            <w:vAlign w:val="center"/>
          </w:tcPr>
          <w:p w14:paraId="6EAC2185">
            <w:pPr>
              <w:pStyle w:val="40"/>
              <w:jc w:val="center"/>
              <w:rPr>
                <w:color w:val="auto"/>
                <w:sz w:val="20"/>
                <w:szCs w:val="20"/>
                <w:highlight w:val="none"/>
              </w:rPr>
            </w:pPr>
            <w:r>
              <w:rPr>
                <w:color w:val="auto"/>
                <w:spacing w:val="12"/>
                <w:position w:val="1"/>
                <w:sz w:val="20"/>
                <w:szCs w:val="20"/>
                <w:highlight w:val="none"/>
              </w:rPr>
              <w:t>X≥300</w:t>
            </w:r>
          </w:p>
        </w:tc>
        <w:tc>
          <w:tcPr>
            <w:tcW w:w="1825" w:type="dxa"/>
            <w:noWrap/>
            <w:vAlign w:val="center"/>
          </w:tcPr>
          <w:p w14:paraId="6D24DE04">
            <w:pPr>
              <w:pStyle w:val="40"/>
              <w:jc w:val="center"/>
              <w:rPr>
                <w:color w:val="auto"/>
                <w:sz w:val="20"/>
                <w:szCs w:val="20"/>
                <w:highlight w:val="none"/>
              </w:rPr>
            </w:pPr>
            <w:r>
              <w:rPr>
                <w:color w:val="auto"/>
                <w:spacing w:val="11"/>
                <w:position w:val="1"/>
                <w:sz w:val="20"/>
                <w:szCs w:val="20"/>
                <w:highlight w:val="none"/>
              </w:rPr>
              <w:t>100≤X＜300</w:t>
            </w:r>
          </w:p>
        </w:tc>
        <w:tc>
          <w:tcPr>
            <w:tcW w:w="1534" w:type="dxa"/>
            <w:noWrap/>
            <w:vAlign w:val="center"/>
          </w:tcPr>
          <w:p w14:paraId="5DB0AA4C">
            <w:pPr>
              <w:pStyle w:val="40"/>
              <w:jc w:val="center"/>
              <w:rPr>
                <w:color w:val="auto"/>
                <w:sz w:val="20"/>
                <w:szCs w:val="20"/>
                <w:highlight w:val="none"/>
              </w:rPr>
            </w:pPr>
            <w:r>
              <w:rPr>
                <w:color w:val="auto"/>
                <w:spacing w:val="2"/>
                <w:sz w:val="20"/>
                <w:szCs w:val="20"/>
                <w:highlight w:val="none"/>
              </w:rPr>
              <w:t>10≤X＜10</w:t>
            </w:r>
            <w:r>
              <w:rPr>
                <w:color w:val="auto"/>
                <w:sz w:val="20"/>
                <w:szCs w:val="20"/>
                <w:highlight w:val="none"/>
              </w:rPr>
              <w:t>0</w:t>
            </w:r>
          </w:p>
        </w:tc>
        <w:tc>
          <w:tcPr>
            <w:tcW w:w="1073" w:type="dxa"/>
            <w:noWrap/>
            <w:vAlign w:val="center"/>
          </w:tcPr>
          <w:p w14:paraId="6040591E">
            <w:pPr>
              <w:pStyle w:val="40"/>
              <w:jc w:val="center"/>
              <w:rPr>
                <w:color w:val="auto"/>
                <w:sz w:val="20"/>
                <w:szCs w:val="20"/>
                <w:highlight w:val="none"/>
              </w:rPr>
            </w:pPr>
            <w:r>
              <w:rPr>
                <w:color w:val="auto"/>
                <w:spacing w:val="-5"/>
                <w:position w:val="1"/>
                <w:sz w:val="20"/>
                <w:szCs w:val="20"/>
                <w:highlight w:val="none"/>
              </w:rPr>
              <w:t>X＜10</w:t>
            </w:r>
          </w:p>
        </w:tc>
      </w:tr>
      <w:tr w14:paraId="3CA54435">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48" w:hRule="atLeast"/>
          <w:jc w:val="center"/>
        </w:trPr>
        <w:tc>
          <w:tcPr>
            <w:tcW w:w="2285" w:type="dxa"/>
            <w:vMerge w:val="continue"/>
            <w:tcBorders>
              <w:top w:val="nil"/>
            </w:tcBorders>
            <w:shd w:val="clear" w:color="auto" w:fill="auto"/>
            <w:noWrap/>
            <w:vAlign w:val="center"/>
          </w:tcPr>
          <w:p w14:paraId="5CD4ECDD">
            <w:pPr>
              <w:jc w:val="center"/>
              <w:rPr>
                <w:rFonts w:ascii="Arial"/>
                <w:color w:val="auto"/>
                <w:sz w:val="21"/>
                <w:highlight w:val="none"/>
              </w:rPr>
            </w:pPr>
          </w:p>
        </w:tc>
        <w:tc>
          <w:tcPr>
            <w:tcW w:w="1471" w:type="dxa"/>
            <w:shd w:val="clear" w:color="auto" w:fill="B8CCE4"/>
            <w:noWrap/>
            <w:vAlign w:val="center"/>
          </w:tcPr>
          <w:p w14:paraId="7F67C91C">
            <w:pPr>
              <w:pStyle w:val="40"/>
              <w:jc w:val="center"/>
              <w:rPr>
                <w:color w:val="auto"/>
                <w:sz w:val="20"/>
                <w:szCs w:val="20"/>
                <w:highlight w:val="none"/>
              </w:rPr>
            </w:pPr>
            <w:r>
              <w:rPr>
                <w:color w:val="auto"/>
                <w:spacing w:val="16"/>
                <w:sz w:val="20"/>
                <w:szCs w:val="20"/>
                <w:highlight w:val="none"/>
              </w:rPr>
              <w:t>营业收入(Y)</w:t>
            </w:r>
          </w:p>
        </w:tc>
        <w:tc>
          <w:tcPr>
            <w:tcW w:w="759" w:type="dxa"/>
            <w:shd w:val="clear" w:color="auto" w:fill="B8CCE4"/>
            <w:noWrap/>
            <w:vAlign w:val="center"/>
          </w:tcPr>
          <w:p w14:paraId="3C378DC3">
            <w:pPr>
              <w:pStyle w:val="40"/>
              <w:jc w:val="center"/>
              <w:rPr>
                <w:color w:val="auto"/>
                <w:sz w:val="20"/>
                <w:szCs w:val="20"/>
                <w:highlight w:val="none"/>
              </w:rPr>
            </w:pPr>
            <w:r>
              <w:rPr>
                <w:color w:val="auto"/>
                <w:spacing w:val="10"/>
                <w:sz w:val="20"/>
                <w:szCs w:val="20"/>
                <w:highlight w:val="none"/>
              </w:rPr>
              <w:t>万元</w:t>
            </w:r>
          </w:p>
        </w:tc>
        <w:tc>
          <w:tcPr>
            <w:tcW w:w="1212" w:type="dxa"/>
            <w:shd w:val="clear" w:color="auto" w:fill="B8CCE4"/>
            <w:noWrap/>
            <w:vAlign w:val="center"/>
          </w:tcPr>
          <w:p w14:paraId="110E25B5">
            <w:pPr>
              <w:pStyle w:val="40"/>
              <w:jc w:val="center"/>
              <w:rPr>
                <w:color w:val="auto"/>
                <w:sz w:val="20"/>
                <w:szCs w:val="20"/>
                <w:highlight w:val="none"/>
              </w:rPr>
            </w:pPr>
            <w:r>
              <w:rPr>
                <w:color w:val="auto"/>
                <w:spacing w:val="12"/>
                <w:position w:val="1"/>
                <w:sz w:val="20"/>
                <w:szCs w:val="20"/>
                <w:highlight w:val="none"/>
              </w:rPr>
              <w:t>Y≥10000</w:t>
            </w:r>
          </w:p>
        </w:tc>
        <w:tc>
          <w:tcPr>
            <w:tcW w:w="1825" w:type="dxa"/>
            <w:shd w:val="clear" w:color="auto" w:fill="B8CCE4"/>
            <w:noWrap/>
            <w:vAlign w:val="center"/>
          </w:tcPr>
          <w:p w14:paraId="6219E61C">
            <w:pPr>
              <w:pStyle w:val="40"/>
              <w:jc w:val="center"/>
              <w:rPr>
                <w:color w:val="auto"/>
                <w:sz w:val="20"/>
                <w:szCs w:val="20"/>
                <w:highlight w:val="none"/>
              </w:rPr>
            </w:pPr>
            <w:r>
              <w:rPr>
                <w:color w:val="auto"/>
                <w:spacing w:val="7"/>
                <w:position w:val="1"/>
                <w:sz w:val="20"/>
                <w:szCs w:val="20"/>
                <w:highlight w:val="none"/>
              </w:rPr>
              <w:t>2000≤Y＜10000</w:t>
            </w:r>
          </w:p>
        </w:tc>
        <w:tc>
          <w:tcPr>
            <w:tcW w:w="1534" w:type="dxa"/>
            <w:shd w:val="clear" w:color="auto" w:fill="B8CCE4"/>
            <w:noWrap/>
            <w:vAlign w:val="center"/>
          </w:tcPr>
          <w:p w14:paraId="0FF9C9A8">
            <w:pPr>
              <w:pStyle w:val="40"/>
              <w:jc w:val="center"/>
              <w:rPr>
                <w:color w:val="auto"/>
                <w:sz w:val="20"/>
                <w:szCs w:val="20"/>
                <w:highlight w:val="none"/>
              </w:rPr>
            </w:pPr>
            <w:r>
              <w:rPr>
                <w:color w:val="auto"/>
                <w:spacing w:val="11"/>
                <w:sz w:val="20"/>
                <w:szCs w:val="20"/>
                <w:highlight w:val="none"/>
              </w:rPr>
              <w:t>100≤Y＜2</w:t>
            </w:r>
            <w:r>
              <w:rPr>
                <w:color w:val="auto"/>
                <w:spacing w:val="5"/>
                <w:sz w:val="20"/>
                <w:szCs w:val="20"/>
                <w:highlight w:val="none"/>
              </w:rPr>
              <w:t>000</w:t>
            </w:r>
          </w:p>
        </w:tc>
        <w:tc>
          <w:tcPr>
            <w:tcW w:w="1073" w:type="dxa"/>
            <w:shd w:val="clear" w:color="auto" w:fill="B8CCE4"/>
            <w:noWrap/>
            <w:vAlign w:val="center"/>
          </w:tcPr>
          <w:p w14:paraId="70CE0471">
            <w:pPr>
              <w:pStyle w:val="40"/>
              <w:jc w:val="center"/>
              <w:rPr>
                <w:color w:val="auto"/>
                <w:sz w:val="20"/>
                <w:szCs w:val="20"/>
                <w:highlight w:val="none"/>
              </w:rPr>
            </w:pPr>
            <w:r>
              <w:rPr>
                <w:color w:val="auto"/>
                <w:spacing w:val="-1"/>
                <w:position w:val="1"/>
                <w:sz w:val="20"/>
                <w:szCs w:val="20"/>
                <w:highlight w:val="none"/>
              </w:rPr>
              <w:t>Y＜100</w:t>
            </w:r>
          </w:p>
        </w:tc>
      </w:tr>
      <w:tr w14:paraId="7681A27A">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50" w:hRule="atLeast"/>
          <w:jc w:val="center"/>
        </w:trPr>
        <w:tc>
          <w:tcPr>
            <w:tcW w:w="2285" w:type="dxa"/>
            <w:vMerge w:val="restart"/>
            <w:tcBorders>
              <w:bottom w:val="nil"/>
            </w:tcBorders>
            <w:noWrap/>
            <w:vAlign w:val="center"/>
          </w:tcPr>
          <w:p w14:paraId="318237E0">
            <w:pPr>
              <w:pStyle w:val="40"/>
              <w:jc w:val="center"/>
              <w:rPr>
                <w:color w:val="auto"/>
                <w:sz w:val="20"/>
                <w:szCs w:val="20"/>
                <w:highlight w:val="none"/>
              </w:rPr>
            </w:pPr>
            <w:r>
              <w:rPr>
                <w:color w:val="auto"/>
                <w:spacing w:val="17"/>
                <w:sz w:val="20"/>
                <w:szCs w:val="20"/>
                <w:highlight w:val="none"/>
              </w:rPr>
              <w:t>信息传输业*</w:t>
            </w:r>
          </w:p>
        </w:tc>
        <w:tc>
          <w:tcPr>
            <w:tcW w:w="1471" w:type="dxa"/>
            <w:noWrap/>
            <w:vAlign w:val="center"/>
          </w:tcPr>
          <w:p w14:paraId="0549EE7E">
            <w:pPr>
              <w:pStyle w:val="40"/>
              <w:jc w:val="center"/>
              <w:rPr>
                <w:color w:val="auto"/>
                <w:sz w:val="20"/>
                <w:szCs w:val="20"/>
                <w:highlight w:val="none"/>
              </w:rPr>
            </w:pPr>
            <w:r>
              <w:rPr>
                <w:color w:val="auto"/>
                <w:spacing w:val="8"/>
                <w:sz w:val="20"/>
                <w:szCs w:val="20"/>
                <w:highlight w:val="none"/>
              </w:rPr>
              <w:t>从业人员(X)</w:t>
            </w:r>
          </w:p>
        </w:tc>
        <w:tc>
          <w:tcPr>
            <w:tcW w:w="759" w:type="dxa"/>
            <w:noWrap/>
            <w:vAlign w:val="center"/>
          </w:tcPr>
          <w:p w14:paraId="4CE03BA8">
            <w:pPr>
              <w:pStyle w:val="40"/>
              <w:jc w:val="center"/>
              <w:rPr>
                <w:color w:val="auto"/>
                <w:sz w:val="20"/>
                <w:szCs w:val="20"/>
                <w:highlight w:val="none"/>
              </w:rPr>
            </w:pPr>
            <w:r>
              <w:rPr>
                <w:color w:val="auto"/>
                <w:sz w:val="20"/>
                <w:szCs w:val="20"/>
                <w:highlight w:val="none"/>
              </w:rPr>
              <w:t>人</w:t>
            </w:r>
          </w:p>
        </w:tc>
        <w:tc>
          <w:tcPr>
            <w:tcW w:w="1212" w:type="dxa"/>
            <w:noWrap/>
            <w:vAlign w:val="center"/>
          </w:tcPr>
          <w:p w14:paraId="747C6B1E">
            <w:pPr>
              <w:pStyle w:val="40"/>
              <w:jc w:val="center"/>
              <w:rPr>
                <w:color w:val="auto"/>
                <w:sz w:val="20"/>
                <w:szCs w:val="20"/>
                <w:highlight w:val="none"/>
              </w:rPr>
            </w:pPr>
            <w:r>
              <w:rPr>
                <w:color w:val="auto"/>
                <w:spacing w:val="12"/>
                <w:position w:val="1"/>
                <w:sz w:val="20"/>
                <w:szCs w:val="20"/>
                <w:highlight w:val="none"/>
              </w:rPr>
              <w:t>X≥2000</w:t>
            </w:r>
          </w:p>
        </w:tc>
        <w:tc>
          <w:tcPr>
            <w:tcW w:w="1825" w:type="dxa"/>
            <w:noWrap/>
            <w:vAlign w:val="center"/>
          </w:tcPr>
          <w:p w14:paraId="23A51EBD">
            <w:pPr>
              <w:pStyle w:val="40"/>
              <w:jc w:val="center"/>
              <w:rPr>
                <w:color w:val="auto"/>
                <w:sz w:val="20"/>
                <w:szCs w:val="20"/>
                <w:highlight w:val="none"/>
              </w:rPr>
            </w:pPr>
            <w:r>
              <w:rPr>
                <w:color w:val="auto"/>
                <w:spacing w:val="11"/>
                <w:position w:val="1"/>
                <w:sz w:val="20"/>
                <w:szCs w:val="20"/>
                <w:highlight w:val="none"/>
              </w:rPr>
              <w:t>100≤X＜2000</w:t>
            </w:r>
          </w:p>
        </w:tc>
        <w:tc>
          <w:tcPr>
            <w:tcW w:w="1534" w:type="dxa"/>
            <w:noWrap/>
            <w:vAlign w:val="center"/>
          </w:tcPr>
          <w:p w14:paraId="5955BF89">
            <w:pPr>
              <w:pStyle w:val="40"/>
              <w:jc w:val="center"/>
              <w:rPr>
                <w:color w:val="auto"/>
                <w:sz w:val="20"/>
                <w:szCs w:val="20"/>
                <w:highlight w:val="none"/>
              </w:rPr>
            </w:pPr>
            <w:r>
              <w:rPr>
                <w:color w:val="auto"/>
                <w:spacing w:val="2"/>
                <w:sz w:val="20"/>
                <w:szCs w:val="20"/>
                <w:highlight w:val="none"/>
              </w:rPr>
              <w:t>10≤X＜10</w:t>
            </w:r>
            <w:r>
              <w:rPr>
                <w:color w:val="auto"/>
                <w:sz w:val="20"/>
                <w:szCs w:val="20"/>
                <w:highlight w:val="none"/>
              </w:rPr>
              <w:t>0</w:t>
            </w:r>
          </w:p>
        </w:tc>
        <w:tc>
          <w:tcPr>
            <w:tcW w:w="1073" w:type="dxa"/>
            <w:noWrap/>
            <w:vAlign w:val="center"/>
          </w:tcPr>
          <w:p w14:paraId="17ECC06F">
            <w:pPr>
              <w:pStyle w:val="40"/>
              <w:jc w:val="center"/>
              <w:rPr>
                <w:color w:val="auto"/>
                <w:sz w:val="20"/>
                <w:szCs w:val="20"/>
                <w:highlight w:val="none"/>
              </w:rPr>
            </w:pPr>
            <w:r>
              <w:rPr>
                <w:color w:val="auto"/>
                <w:spacing w:val="-5"/>
                <w:position w:val="1"/>
                <w:sz w:val="20"/>
                <w:szCs w:val="20"/>
                <w:highlight w:val="none"/>
              </w:rPr>
              <w:t>X＜10</w:t>
            </w:r>
          </w:p>
        </w:tc>
      </w:tr>
      <w:tr w14:paraId="13372E89">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55" w:hRule="atLeast"/>
          <w:jc w:val="center"/>
        </w:trPr>
        <w:tc>
          <w:tcPr>
            <w:tcW w:w="2285" w:type="dxa"/>
            <w:vMerge w:val="continue"/>
            <w:tcBorders>
              <w:top w:val="nil"/>
            </w:tcBorders>
            <w:shd w:val="clear" w:color="auto" w:fill="auto"/>
            <w:noWrap/>
            <w:vAlign w:val="center"/>
          </w:tcPr>
          <w:p w14:paraId="08A6D571">
            <w:pPr>
              <w:jc w:val="center"/>
              <w:rPr>
                <w:rFonts w:ascii="Arial"/>
                <w:color w:val="auto"/>
                <w:sz w:val="21"/>
                <w:highlight w:val="none"/>
              </w:rPr>
            </w:pPr>
          </w:p>
        </w:tc>
        <w:tc>
          <w:tcPr>
            <w:tcW w:w="1471" w:type="dxa"/>
            <w:shd w:val="clear" w:color="auto" w:fill="B8CCE4"/>
            <w:noWrap/>
            <w:vAlign w:val="center"/>
          </w:tcPr>
          <w:p w14:paraId="296CBFEE">
            <w:pPr>
              <w:pStyle w:val="40"/>
              <w:jc w:val="center"/>
              <w:rPr>
                <w:color w:val="auto"/>
                <w:sz w:val="20"/>
                <w:szCs w:val="20"/>
                <w:highlight w:val="none"/>
              </w:rPr>
            </w:pPr>
            <w:r>
              <w:rPr>
                <w:color w:val="auto"/>
                <w:spacing w:val="16"/>
                <w:sz w:val="20"/>
                <w:szCs w:val="20"/>
                <w:highlight w:val="none"/>
              </w:rPr>
              <w:t>营业收入(Y)</w:t>
            </w:r>
          </w:p>
        </w:tc>
        <w:tc>
          <w:tcPr>
            <w:tcW w:w="759" w:type="dxa"/>
            <w:shd w:val="clear" w:color="auto" w:fill="B8CCE4"/>
            <w:noWrap/>
            <w:vAlign w:val="center"/>
          </w:tcPr>
          <w:p w14:paraId="0F6833AC">
            <w:pPr>
              <w:pStyle w:val="40"/>
              <w:jc w:val="center"/>
              <w:rPr>
                <w:color w:val="auto"/>
                <w:sz w:val="20"/>
                <w:szCs w:val="20"/>
                <w:highlight w:val="none"/>
              </w:rPr>
            </w:pPr>
            <w:r>
              <w:rPr>
                <w:color w:val="auto"/>
                <w:spacing w:val="10"/>
                <w:sz w:val="20"/>
                <w:szCs w:val="20"/>
                <w:highlight w:val="none"/>
              </w:rPr>
              <w:t>万元</w:t>
            </w:r>
          </w:p>
        </w:tc>
        <w:tc>
          <w:tcPr>
            <w:tcW w:w="1212" w:type="dxa"/>
            <w:shd w:val="clear" w:color="auto" w:fill="B8CCE4"/>
            <w:noWrap/>
            <w:vAlign w:val="center"/>
          </w:tcPr>
          <w:p w14:paraId="1BC719C1">
            <w:pPr>
              <w:pStyle w:val="40"/>
              <w:jc w:val="center"/>
              <w:rPr>
                <w:color w:val="auto"/>
                <w:sz w:val="20"/>
                <w:szCs w:val="20"/>
                <w:highlight w:val="none"/>
              </w:rPr>
            </w:pPr>
            <w:r>
              <w:rPr>
                <w:color w:val="auto"/>
                <w:spacing w:val="12"/>
                <w:sz w:val="20"/>
                <w:szCs w:val="20"/>
                <w:highlight w:val="none"/>
              </w:rPr>
              <w:t>Y≥10000</w:t>
            </w:r>
            <w:r>
              <w:rPr>
                <w:color w:val="auto"/>
                <w:sz w:val="20"/>
                <w:szCs w:val="20"/>
                <w:highlight w:val="none"/>
              </w:rPr>
              <w:t>0</w:t>
            </w:r>
          </w:p>
        </w:tc>
        <w:tc>
          <w:tcPr>
            <w:tcW w:w="1825" w:type="dxa"/>
            <w:shd w:val="clear" w:color="auto" w:fill="B8CCE4"/>
            <w:noWrap/>
            <w:vAlign w:val="center"/>
          </w:tcPr>
          <w:p w14:paraId="0C6D6B8F">
            <w:pPr>
              <w:pStyle w:val="40"/>
              <w:jc w:val="center"/>
              <w:rPr>
                <w:color w:val="auto"/>
                <w:sz w:val="20"/>
                <w:szCs w:val="20"/>
                <w:highlight w:val="none"/>
              </w:rPr>
            </w:pPr>
            <w:r>
              <w:rPr>
                <w:color w:val="auto"/>
                <w:spacing w:val="5"/>
                <w:sz w:val="20"/>
                <w:szCs w:val="20"/>
                <w:highlight w:val="none"/>
              </w:rPr>
              <w:t>1000≤Y＜100000</w:t>
            </w:r>
          </w:p>
        </w:tc>
        <w:tc>
          <w:tcPr>
            <w:tcW w:w="1534" w:type="dxa"/>
            <w:shd w:val="clear" w:color="auto" w:fill="B8CCE4"/>
            <w:noWrap/>
            <w:vAlign w:val="center"/>
          </w:tcPr>
          <w:p w14:paraId="54E148FE">
            <w:pPr>
              <w:pStyle w:val="40"/>
              <w:jc w:val="center"/>
              <w:rPr>
                <w:color w:val="auto"/>
                <w:sz w:val="20"/>
                <w:szCs w:val="20"/>
                <w:highlight w:val="none"/>
              </w:rPr>
            </w:pPr>
            <w:r>
              <w:rPr>
                <w:color w:val="auto"/>
                <w:spacing w:val="2"/>
                <w:sz w:val="20"/>
                <w:szCs w:val="20"/>
                <w:highlight w:val="none"/>
              </w:rPr>
              <w:t>100≤Y＜1</w:t>
            </w:r>
            <w:r>
              <w:rPr>
                <w:color w:val="auto"/>
                <w:spacing w:val="5"/>
                <w:sz w:val="20"/>
                <w:szCs w:val="20"/>
                <w:highlight w:val="none"/>
              </w:rPr>
              <w:t>000</w:t>
            </w:r>
          </w:p>
        </w:tc>
        <w:tc>
          <w:tcPr>
            <w:tcW w:w="1073" w:type="dxa"/>
            <w:shd w:val="clear" w:color="auto" w:fill="B8CCE4"/>
            <w:noWrap/>
            <w:vAlign w:val="center"/>
          </w:tcPr>
          <w:p w14:paraId="5F3C07D8">
            <w:pPr>
              <w:pStyle w:val="40"/>
              <w:jc w:val="center"/>
              <w:rPr>
                <w:color w:val="auto"/>
                <w:sz w:val="20"/>
                <w:szCs w:val="20"/>
                <w:highlight w:val="none"/>
              </w:rPr>
            </w:pPr>
            <w:r>
              <w:rPr>
                <w:color w:val="auto"/>
                <w:spacing w:val="-1"/>
                <w:position w:val="1"/>
                <w:sz w:val="20"/>
                <w:szCs w:val="20"/>
                <w:highlight w:val="none"/>
              </w:rPr>
              <w:t>Y＜100</w:t>
            </w:r>
          </w:p>
        </w:tc>
      </w:tr>
      <w:tr w14:paraId="24961C67">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66" w:hRule="atLeast"/>
          <w:jc w:val="center"/>
        </w:trPr>
        <w:tc>
          <w:tcPr>
            <w:tcW w:w="2285" w:type="dxa"/>
            <w:vMerge w:val="restart"/>
            <w:tcBorders>
              <w:top w:val="nil"/>
              <w:bottom w:val="nil"/>
            </w:tcBorders>
            <w:noWrap/>
            <w:vAlign w:val="center"/>
          </w:tcPr>
          <w:p w14:paraId="086485D4">
            <w:pPr>
              <w:pStyle w:val="40"/>
              <w:jc w:val="center"/>
              <w:rPr>
                <w:color w:val="auto"/>
                <w:sz w:val="20"/>
                <w:szCs w:val="20"/>
                <w:highlight w:val="none"/>
                <w:lang w:eastAsia="zh-CN"/>
              </w:rPr>
            </w:pPr>
            <w:r>
              <w:rPr>
                <w:color w:val="auto"/>
                <w:spacing w:val="-14"/>
                <w:sz w:val="20"/>
                <w:szCs w:val="20"/>
                <w:highlight w:val="none"/>
                <w:lang w:eastAsia="zh-CN"/>
              </w:rPr>
              <w:t>软件和信息技术服务业</w:t>
            </w:r>
          </w:p>
        </w:tc>
        <w:tc>
          <w:tcPr>
            <w:tcW w:w="1471" w:type="dxa"/>
            <w:tcBorders>
              <w:top w:val="nil"/>
            </w:tcBorders>
            <w:noWrap/>
            <w:vAlign w:val="center"/>
          </w:tcPr>
          <w:p w14:paraId="1169122F">
            <w:pPr>
              <w:pStyle w:val="40"/>
              <w:jc w:val="center"/>
              <w:rPr>
                <w:color w:val="auto"/>
                <w:sz w:val="20"/>
                <w:szCs w:val="20"/>
                <w:highlight w:val="none"/>
              </w:rPr>
            </w:pPr>
            <w:r>
              <w:rPr>
                <w:color w:val="auto"/>
                <w:spacing w:val="8"/>
                <w:sz w:val="20"/>
                <w:szCs w:val="20"/>
                <w:highlight w:val="none"/>
              </w:rPr>
              <w:t>从业人员(X)</w:t>
            </w:r>
          </w:p>
        </w:tc>
        <w:tc>
          <w:tcPr>
            <w:tcW w:w="759" w:type="dxa"/>
            <w:tcBorders>
              <w:top w:val="nil"/>
            </w:tcBorders>
            <w:noWrap/>
            <w:vAlign w:val="center"/>
          </w:tcPr>
          <w:p w14:paraId="6ECE659D">
            <w:pPr>
              <w:pStyle w:val="40"/>
              <w:jc w:val="center"/>
              <w:rPr>
                <w:color w:val="auto"/>
                <w:sz w:val="20"/>
                <w:szCs w:val="20"/>
                <w:highlight w:val="none"/>
              </w:rPr>
            </w:pPr>
            <w:r>
              <w:rPr>
                <w:color w:val="auto"/>
                <w:sz w:val="20"/>
                <w:szCs w:val="20"/>
                <w:highlight w:val="none"/>
              </w:rPr>
              <w:t>人</w:t>
            </w:r>
          </w:p>
        </w:tc>
        <w:tc>
          <w:tcPr>
            <w:tcW w:w="1212" w:type="dxa"/>
            <w:tcBorders>
              <w:top w:val="nil"/>
            </w:tcBorders>
            <w:noWrap/>
            <w:vAlign w:val="center"/>
          </w:tcPr>
          <w:p w14:paraId="6A729BC5">
            <w:pPr>
              <w:pStyle w:val="40"/>
              <w:jc w:val="center"/>
              <w:rPr>
                <w:color w:val="auto"/>
                <w:sz w:val="20"/>
                <w:szCs w:val="20"/>
                <w:highlight w:val="none"/>
              </w:rPr>
            </w:pPr>
            <w:r>
              <w:rPr>
                <w:color w:val="auto"/>
                <w:spacing w:val="12"/>
                <w:position w:val="1"/>
                <w:sz w:val="20"/>
                <w:szCs w:val="20"/>
                <w:highlight w:val="none"/>
              </w:rPr>
              <w:t>X≥300</w:t>
            </w:r>
          </w:p>
        </w:tc>
        <w:tc>
          <w:tcPr>
            <w:tcW w:w="1825" w:type="dxa"/>
            <w:tcBorders>
              <w:top w:val="nil"/>
            </w:tcBorders>
            <w:noWrap/>
            <w:vAlign w:val="center"/>
          </w:tcPr>
          <w:p w14:paraId="305E75BD">
            <w:pPr>
              <w:pStyle w:val="40"/>
              <w:jc w:val="center"/>
              <w:rPr>
                <w:color w:val="auto"/>
                <w:sz w:val="20"/>
                <w:szCs w:val="20"/>
                <w:highlight w:val="none"/>
              </w:rPr>
            </w:pPr>
            <w:r>
              <w:rPr>
                <w:color w:val="auto"/>
                <w:spacing w:val="11"/>
                <w:position w:val="1"/>
                <w:sz w:val="20"/>
                <w:szCs w:val="20"/>
                <w:highlight w:val="none"/>
              </w:rPr>
              <w:t>100≤X＜300</w:t>
            </w:r>
          </w:p>
        </w:tc>
        <w:tc>
          <w:tcPr>
            <w:tcW w:w="1534" w:type="dxa"/>
            <w:tcBorders>
              <w:top w:val="nil"/>
            </w:tcBorders>
            <w:noWrap/>
            <w:vAlign w:val="center"/>
          </w:tcPr>
          <w:p w14:paraId="24193DAF">
            <w:pPr>
              <w:pStyle w:val="40"/>
              <w:jc w:val="center"/>
              <w:rPr>
                <w:color w:val="auto"/>
                <w:sz w:val="20"/>
                <w:szCs w:val="20"/>
                <w:highlight w:val="none"/>
              </w:rPr>
            </w:pPr>
            <w:r>
              <w:rPr>
                <w:color w:val="auto"/>
                <w:spacing w:val="2"/>
                <w:sz w:val="20"/>
                <w:szCs w:val="20"/>
                <w:highlight w:val="none"/>
              </w:rPr>
              <w:t>10≤X＜10</w:t>
            </w:r>
            <w:r>
              <w:rPr>
                <w:color w:val="auto"/>
                <w:sz w:val="20"/>
                <w:szCs w:val="20"/>
                <w:highlight w:val="none"/>
              </w:rPr>
              <w:t>0</w:t>
            </w:r>
          </w:p>
        </w:tc>
        <w:tc>
          <w:tcPr>
            <w:tcW w:w="1073" w:type="dxa"/>
            <w:tcBorders>
              <w:top w:val="nil"/>
            </w:tcBorders>
            <w:noWrap/>
            <w:vAlign w:val="center"/>
          </w:tcPr>
          <w:p w14:paraId="2015A0E6">
            <w:pPr>
              <w:pStyle w:val="40"/>
              <w:jc w:val="center"/>
              <w:rPr>
                <w:color w:val="auto"/>
                <w:sz w:val="20"/>
                <w:szCs w:val="20"/>
                <w:highlight w:val="none"/>
              </w:rPr>
            </w:pPr>
            <w:r>
              <w:rPr>
                <w:color w:val="auto"/>
                <w:spacing w:val="-5"/>
                <w:position w:val="1"/>
                <w:sz w:val="20"/>
                <w:szCs w:val="20"/>
                <w:highlight w:val="none"/>
              </w:rPr>
              <w:t>X＜10</w:t>
            </w:r>
          </w:p>
        </w:tc>
      </w:tr>
      <w:tr w14:paraId="6C797C23">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48" w:hRule="atLeast"/>
          <w:jc w:val="center"/>
        </w:trPr>
        <w:tc>
          <w:tcPr>
            <w:tcW w:w="2285" w:type="dxa"/>
            <w:vMerge w:val="continue"/>
            <w:tcBorders>
              <w:top w:val="nil"/>
            </w:tcBorders>
            <w:shd w:val="clear" w:color="auto" w:fill="auto"/>
            <w:noWrap/>
            <w:vAlign w:val="center"/>
          </w:tcPr>
          <w:p w14:paraId="6ED193F5">
            <w:pPr>
              <w:jc w:val="center"/>
              <w:rPr>
                <w:rFonts w:ascii="Arial"/>
                <w:color w:val="auto"/>
                <w:sz w:val="21"/>
                <w:highlight w:val="none"/>
              </w:rPr>
            </w:pPr>
          </w:p>
        </w:tc>
        <w:tc>
          <w:tcPr>
            <w:tcW w:w="1471" w:type="dxa"/>
            <w:shd w:val="clear" w:color="auto" w:fill="B8CCE4"/>
            <w:noWrap/>
            <w:vAlign w:val="center"/>
          </w:tcPr>
          <w:p w14:paraId="083FE7F1">
            <w:pPr>
              <w:pStyle w:val="40"/>
              <w:jc w:val="center"/>
              <w:rPr>
                <w:color w:val="auto"/>
                <w:sz w:val="20"/>
                <w:szCs w:val="20"/>
                <w:highlight w:val="none"/>
              </w:rPr>
            </w:pPr>
            <w:r>
              <w:rPr>
                <w:color w:val="auto"/>
                <w:spacing w:val="16"/>
                <w:sz w:val="20"/>
                <w:szCs w:val="20"/>
                <w:highlight w:val="none"/>
              </w:rPr>
              <w:t>营业收入(Y)</w:t>
            </w:r>
          </w:p>
        </w:tc>
        <w:tc>
          <w:tcPr>
            <w:tcW w:w="759" w:type="dxa"/>
            <w:shd w:val="clear" w:color="auto" w:fill="B8CCE4"/>
            <w:noWrap/>
            <w:vAlign w:val="center"/>
          </w:tcPr>
          <w:p w14:paraId="63B94133">
            <w:pPr>
              <w:pStyle w:val="40"/>
              <w:jc w:val="center"/>
              <w:rPr>
                <w:color w:val="auto"/>
                <w:sz w:val="20"/>
                <w:szCs w:val="20"/>
                <w:highlight w:val="none"/>
              </w:rPr>
            </w:pPr>
            <w:r>
              <w:rPr>
                <w:color w:val="auto"/>
                <w:spacing w:val="10"/>
                <w:sz w:val="20"/>
                <w:szCs w:val="20"/>
                <w:highlight w:val="none"/>
              </w:rPr>
              <w:t>万元</w:t>
            </w:r>
          </w:p>
        </w:tc>
        <w:tc>
          <w:tcPr>
            <w:tcW w:w="1212" w:type="dxa"/>
            <w:shd w:val="clear" w:color="auto" w:fill="B8CCE4"/>
            <w:noWrap/>
            <w:vAlign w:val="center"/>
          </w:tcPr>
          <w:p w14:paraId="192FAA89">
            <w:pPr>
              <w:pStyle w:val="40"/>
              <w:jc w:val="center"/>
              <w:rPr>
                <w:color w:val="auto"/>
                <w:sz w:val="20"/>
                <w:szCs w:val="20"/>
                <w:highlight w:val="none"/>
              </w:rPr>
            </w:pPr>
            <w:r>
              <w:rPr>
                <w:color w:val="auto"/>
                <w:spacing w:val="12"/>
                <w:position w:val="1"/>
                <w:sz w:val="20"/>
                <w:szCs w:val="20"/>
                <w:highlight w:val="none"/>
              </w:rPr>
              <w:t>Y≥10000</w:t>
            </w:r>
          </w:p>
        </w:tc>
        <w:tc>
          <w:tcPr>
            <w:tcW w:w="1825" w:type="dxa"/>
            <w:shd w:val="clear" w:color="auto" w:fill="B8CCE4"/>
            <w:noWrap/>
            <w:vAlign w:val="center"/>
          </w:tcPr>
          <w:p w14:paraId="67355971">
            <w:pPr>
              <w:pStyle w:val="40"/>
              <w:jc w:val="center"/>
              <w:rPr>
                <w:color w:val="auto"/>
                <w:sz w:val="20"/>
                <w:szCs w:val="20"/>
                <w:highlight w:val="none"/>
              </w:rPr>
            </w:pPr>
            <w:r>
              <w:rPr>
                <w:color w:val="auto"/>
                <w:spacing w:val="6"/>
                <w:position w:val="1"/>
                <w:sz w:val="20"/>
                <w:szCs w:val="20"/>
                <w:highlight w:val="none"/>
              </w:rPr>
              <w:t>1000≤Y＜10000</w:t>
            </w:r>
          </w:p>
        </w:tc>
        <w:tc>
          <w:tcPr>
            <w:tcW w:w="1534" w:type="dxa"/>
            <w:shd w:val="clear" w:color="auto" w:fill="B8CCE4"/>
            <w:noWrap/>
            <w:vAlign w:val="center"/>
          </w:tcPr>
          <w:p w14:paraId="374E85A5">
            <w:pPr>
              <w:pStyle w:val="40"/>
              <w:jc w:val="center"/>
              <w:rPr>
                <w:color w:val="auto"/>
                <w:sz w:val="20"/>
                <w:szCs w:val="20"/>
                <w:highlight w:val="none"/>
              </w:rPr>
            </w:pPr>
            <w:r>
              <w:rPr>
                <w:color w:val="auto"/>
                <w:spacing w:val="27"/>
                <w:sz w:val="20"/>
                <w:szCs w:val="20"/>
                <w:highlight w:val="none"/>
              </w:rPr>
              <w:t>50≤Y&lt;</w:t>
            </w:r>
            <w:r>
              <w:rPr>
                <w:color w:val="auto"/>
                <w:spacing w:val="4"/>
                <w:sz w:val="20"/>
                <w:szCs w:val="20"/>
                <w:highlight w:val="none"/>
              </w:rPr>
              <w:t>1000</w:t>
            </w:r>
          </w:p>
        </w:tc>
        <w:tc>
          <w:tcPr>
            <w:tcW w:w="1073" w:type="dxa"/>
            <w:shd w:val="clear" w:color="auto" w:fill="B8CCE4"/>
            <w:noWrap/>
            <w:vAlign w:val="center"/>
          </w:tcPr>
          <w:p w14:paraId="64CEC8C9">
            <w:pPr>
              <w:pStyle w:val="40"/>
              <w:jc w:val="center"/>
              <w:rPr>
                <w:color w:val="auto"/>
                <w:sz w:val="20"/>
                <w:szCs w:val="20"/>
                <w:highlight w:val="none"/>
              </w:rPr>
            </w:pPr>
            <w:r>
              <w:rPr>
                <w:color w:val="auto"/>
                <w:spacing w:val="12"/>
                <w:position w:val="1"/>
                <w:sz w:val="20"/>
                <w:szCs w:val="20"/>
                <w:highlight w:val="none"/>
              </w:rPr>
              <w:t>Y＜50</w:t>
            </w:r>
          </w:p>
        </w:tc>
      </w:tr>
      <w:tr w14:paraId="39955194">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48" w:hRule="atLeast"/>
          <w:jc w:val="center"/>
        </w:trPr>
        <w:tc>
          <w:tcPr>
            <w:tcW w:w="2285" w:type="dxa"/>
            <w:vMerge w:val="restart"/>
            <w:tcBorders>
              <w:bottom w:val="nil"/>
            </w:tcBorders>
            <w:noWrap/>
            <w:vAlign w:val="center"/>
          </w:tcPr>
          <w:p w14:paraId="55FB6A15">
            <w:pPr>
              <w:pStyle w:val="40"/>
              <w:jc w:val="center"/>
              <w:rPr>
                <w:color w:val="auto"/>
                <w:sz w:val="20"/>
                <w:szCs w:val="20"/>
                <w:highlight w:val="none"/>
              </w:rPr>
            </w:pPr>
            <w:r>
              <w:rPr>
                <w:color w:val="auto"/>
                <w:spacing w:val="22"/>
                <w:sz w:val="20"/>
                <w:szCs w:val="20"/>
                <w:highlight w:val="none"/>
              </w:rPr>
              <w:t>房地产开发经营</w:t>
            </w:r>
          </w:p>
        </w:tc>
        <w:tc>
          <w:tcPr>
            <w:tcW w:w="1471" w:type="dxa"/>
            <w:noWrap/>
            <w:vAlign w:val="center"/>
          </w:tcPr>
          <w:p w14:paraId="256E6309">
            <w:pPr>
              <w:pStyle w:val="40"/>
              <w:jc w:val="center"/>
              <w:rPr>
                <w:color w:val="auto"/>
                <w:sz w:val="20"/>
                <w:szCs w:val="20"/>
                <w:highlight w:val="none"/>
              </w:rPr>
            </w:pPr>
            <w:r>
              <w:rPr>
                <w:color w:val="auto"/>
                <w:spacing w:val="16"/>
                <w:sz w:val="20"/>
                <w:szCs w:val="20"/>
                <w:highlight w:val="none"/>
              </w:rPr>
              <w:t>营业收入(Y)</w:t>
            </w:r>
          </w:p>
        </w:tc>
        <w:tc>
          <w:tcPr>
            <w:tcW w:w="759" w:type="dxa"/>
            <w:noWrap/>
            <w:vAlign w:val="center"/>
          </w:tcPr>
          <w:p w14:paraId="1F83661B">
            <w:pPr>
              <w:pStyle w:val="40"/>
              <w:jc w:val="center"/>
              <w:rPr>
                <w:color w:val="auto"/>
                <w:sz w:val="20"/>
                <w:szCs w:val="20"/>
                <w:highlight w:val="none"/>
              </w:rPr>
            </w:pPr>
            <w:r>
              <w:rPr>
                <w:color w:val="auto"/>
                <w:spacing w:val="10"/>
                <w:sz w:val="20"/>
                <w:szCs w:val="20"/>
                <w:highlight w:val="none"/>
              </w:rPr>
              <w:t>万元</w:t>
            </w:r>
          </w:p>
        </w:tc>
        <w:tc>
          <w:tcPr>
            <w:tcW w:w="1212" w:type="dxa"/>
            <w:noWrap/>
            <w:vAlign w:val="center"/>
          </w:tcPr>
          <w:p w14:paraId="2620DD23">
            <w:pPr>
              <w:pStyle w:val="40"/>
              <w:jc w:val="center"/>
              <w:rPr>
                <w:color w:val="auto"/>
                <w:sz w:val="20"/>
                <w:szCs w:val="20"/>
                <w:highlight w:val="none"/>
              </w:rPr>
            </w:pPr>
            <w:r>
              <w:rPr>
                <w:color w:val="auto"/>
                <w:spacing w:val="12"/>
                <w:sz w:val="20"/>
                <w:szCs w:val="20"/>
                <w:highlight w:val="none"/>
              </w:rPr>
              <w:t>Y≥20000</w:t>
            </w:r>
            <w:r>
              <w:rPr>
                <w:color w:val="auto"/>
                <w:sz w:val="20"/>
                <w:szCs w:val="20"/>
                <w:highlight w:val="none"/>
              </w:rPr>
              <w:t>0</w:t>
            </w:r>
          </w:p>
        </w:tc>
        <w:tc>
          <w:tcPr>
            <w:tcW w:w="1825" w:type="dxa"/>
            <w:noWrap/>
            <w:vAlign w:val="center"/>
          </w:tcPr>
          <w:p w14:paraId="238171DE">
            <w:pPr>
              <w:pStyle w:val="40"/>
              <w:jc w:val="center"/>
              <w:rPr>
                <w:color w:val="auto"/>
                <w:sz w:val="20"/>
                <w:szCs w:val="20"/>
                <w:highlight w:val="none"/>
              </w:rPr>
            </w:pPr>
            <w:r>
              <w:rPr>
                <w:color w:val="auto"/>
                <w:spacing w:val="12"/>
                <w:sz w:val="20"/>
                <w:szCs w:val="20"/>
                <w:highlight w:val="none"/>
              </w:rPr>
              <w:t>1000≤Y＜200</w:t>
            </w:r>
            <w:r>
              <w:rPr>
                <w:color w:val="auto"/>
                <w:spacing w:val="5"/>
                <w:sz w:val="20"/>
                <w:szCs w:val="20"/>
                <w:highlight w:val="none"/>
              </w:rPr>
              <w:t>000</w:t>
            </w:r>
          </w:p>
        </w:tc>
        <w:tc>
          <w:tcPr>
            <w:tcW w:w="1534" w:type="dxa"/>
            <w:noWrap/>
            <w:vAlign w:val="center"/>
          </w:tcPr>
          <w:p w14:paraId="5BEE72B3">
            <w:pPr>
              <w:pStyle w:val="40"/>
              <w:jc w:val="center"/>
              <w:rPr>
                <w:color w:val="auto"/>
                <w:sz w:val="20"/>
                <w:szCs w:val="20"/>
                <w:highlight w:val="none"/>
              </w:rPr>
            </w:pPr>
            <w:r>
              <w:rPr>
                <w:color w:val="auto"/>
                <w:spacing w:val="2"/>
                <w:sz w:val="20"/>
                <w:szCs w:val="20"/>
                <w:highlight w:val="none"/>
              </w:rPr>
              <w:t>100≤Y＜1</w:t>
            </w:r>
            <w:r>
              <w:rPr>
                <w:color w:val="auto"/>
                <w:spacing w:val="5"/>
                <w:sz w:val="20"/>
                <w:szCs w:val="20"/>
                <w:highlight w:val="none"/>
              </w:rPr>
              <w:t>000</w:t>
            </w:r>
          </w:p>
        </w:tc>
        <w:tc>
          <w:tcPr>
            <w:tcW w:w="1073" w:type="dxa"/>
            <w:noWrap/>
            <w:vAlign w:val="center"/>
          </w:tcPr>
          <w:p w14:paraId="3303FF64">
            <w:pPr>
              <w:pStyle w:val="40"/>
              <w:jc w:val="center"/>
              <w:rPr>
                <w:color w:val="auto"/>
                <w:sz w:val="20"/>
                <w:szCs w:val="20"/>
                <w:highlight w:val="none"/>
              </w:rPr>
            </w:pPr>
            <w:r>
              <w:rPr>
                <w:color w:val="auto"/>
                <w:spacing w:val="-1"/>
                <w:position w:val="1"/>
                <w:sz w:val="20"/>
                <w:szCs w:val="20"/>
                <w:highlight w:val="none"/>
              </w:rPr>
              <w:t>Y＜100</w:t>
            </w:r>
          </w:p>
        </w:tc>
      </w:tr>
      <w:tr w14:paraId="788A96A1">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49" w:hRule="atLeast"/>
          <w:jc w:val="center"/>
        </w:trPr>
        <w:tc>
          <w:tcPr>
            <w:tcW w:w="2285" w:type="dxa"/>
            <w:vMerge w:val="continue"/>
            <w:tcBorders>
              <w:top w:val="nil"/>
            </w:tcBorders>
            <w:shd w:val="clear" w:color="auto" w:fill="auto"/>
            <w:noWrap/>
            <w:vAlign w:val="center"/>
          </w:tcPr>
          <w:p w14:paraId="77C6D920">
            <w:pPr>
              <w:jc w:val="center"/>
              <w:rPr>
                <w:rFonts w:ascii="Arial"/>
                <w:color w:val="auto"/>
                <w:sz w:val="21"/>
                <w:highlight w:val="none"/>
              </w:rPr>
            </w:pPr>
          </w:p>
        </w:tc>
        <w:tc>
          <w:tcPr>
            <w:tcW w:w="1471" w:type="dxa"/>
            <w:shd w:val="clear" w:color="auto" w:fill="B8CCE4"/>
            <w:noWrap/>
            <w:vAlign w:val="center"/>
          </w:tcPr>
          <w:p w14:paraId="0D029611">
            <w:pPr>
              <w:pStyle w:val="40"/>
              <w:jc w:val="center"/>
              <w:rPr>
                <w:color w:val="auto"/>
                <w:sz w:val="20"/>
                <w:szCs w:val="20"/>
                <w:highlight w:val="none"/>
              </w:rPr>
            </w:pPr>
            <w:r>
              <w:rPr>
                <w:color w:val="auto"/>
                <w:spacing w:val="16"/>
                <w:sz w:val="20"/>
                <w:szCs w:val="20"/>
                <w:highlight w:val="none"/>
              </w:rPr>
              <w:t>资产总额(Z)</w:t>
            </w:r>
          </w:p>
        </w:tc>
        <w:tc>
          <w:tcPr>
            <w:tcW w:w="759" w:type="dxa"/>
            <w:shd w:val="clear" w:color="auto" w:fill="B8CCE4"/>
            <w:noWrap/>
            <w:vAlign w:val="center"/>
          </w:tcPr>
          <w:p w14:paraId="759C9A23">
            <w:pPr>
              <w:pStyle w:val="40"/>
              <w:jc w:val="center"/>
              <w:rPr>
                <w:color w:val="auto"/>
                <w:sz w:val="20"/>
                <w:szCs w:val="20"/>
                <w:highlight w:val="none"/>
              </w:rPr>
            </w:pPr>
            <w:r>
              <w:rPr>
                <w:color w:val="auto"/>
                <w:spacing w:val="10"/>
                <w:sz w:val="20"/>
                <w:szCs w:val="20"/>
                <w:highlight w:val="none"/>
              </w:rPr>
              <w:t>万元</w:t>
            </w:r>
          </w:p>
        </w:tc>
        <w:tc>
          <w:tcPr>
            <w:tcW w:w="1212" w:type="dxa"/>
            <w:shd w:val="clear" w:color="auto" w:fill="B8CCE4"/>
            <w:noWrap/>
            <w:vAlign w:val="center"/>
          </w:tcPr>
          <w:p w14:paraId="212409AC">
            <w:pPr>
              <w:pStyle w:val="40"/>
              <w:jc w:val="center"/>
              <w:rPr>
                <w:color w:val="auto"/>
                <w:sz w:val="20"/>
                <w:szCs w:val="20"/>
                <w:highlight w:val="none"/>
              </w:rPr>
            </w:pPr>
            <w:r>
              <w:rPr>
                <w:color w:val="auto"/>
                <w:spacing w:val="12"/>
                <w:position w:val="1"/>
                <w:sz w:val="20"/>
                <w:szCs w:val="20"/>
                <w:highlight w:val="none"/>
              </w:rPr>
              <w:t>Z≥10000</w:t>
            </w:r>
          </w:p>
        </w:tc>
        <w:tc>
          <w:tcPr>
            <w:tcW w:w="1825" w:type="dxa"/>
            <w:shd w:val="clear" w:color="auto" w:fill="B8CCE4"/>
            <w:noWrap/>
            <w:vAlign w:val="center"/>
          </w:tcPr>
          <w:p w14:paraId="3FB71A75">
            <w:pPr>
              <w:pStyle w:val="40"/>
              <w:jc w:val="center"/>
              <w:rPr>
                <w:color w:val="auto"/>
                <w:sz w:val="20"/>
                <w:szCs w:val="20"/>
                <w:highlight w:val="none"/>
              </w:rPr>
            </w:pPr>
            <w:r>
              <w:rPr>
                <w:color w:val="auto"/>
                <w:spacing w:val="7"/>
                <w:position w:val="1"/>
                <w:sz w:val="20"/>
                <w:szCs w:val="20"/>
                <w:highlight w:val="none"/>
              </w:rPr>
              <w:t>5000≤Z＜10000</w:t>
            </w:r>
          </w:p>
        </w:tc>
        <w:tc>
          <w:tcPr>
            <w:tcW w:w="1534" w:type="dxa"/>
            <w:shd w:val="clear" w:color="auto" w:fill="B8CCE4"/>
            <w:noWrap/>
            <w:vAlign w:val="center"/>
          </w:tcPr>
          <w:p w14:paraId="433C1E87">
            <w:pPr>
              <w:pStyle w:val="40"/>
              <w:jc w:val="center"/>
              <w:rPr>
                <w:color w:val="auto"/>
                <w:sz w:val="20"/>
                <w:szCs w:val="20"/>
                <w:highlight w:val="none"/>
              </w:rPr>
            </w:pPr>
            <w:r>
              <w:rPr>
                <w:color w:val="auto"/>
                <w:spacing w:val="13"/>
                <w:sz w:val="20"/>
                <w:szCs w:val="20"/>
                <w:highlight w:val="none"/>
              </w:rPr>
              <w:t>2000≤Z＜50</w:t>
            </w:r>
            <w:r>
              <w:rPr>
                <w:color w:val="auto"/>
                <w:spacing w:val="2"/>
                <w:sz w:val="20"/>
                <w:szCs w:val="20"/>
                <w:highlight w:val="none"/>
              </w:rPr>
              <w:t>00</w:t>
            </w:r>
          </w:p>
        </w:tc>
        <w:tc>
          <w:tcPr>
            <w:tcW w:w="1073" w:type="dxa"/>
            <w:shd w:val="clear" w:color="auto" w:fill="B8CCE4"/>
            <w:noWrap/>
            <w:vAlign w:val="center"/>
          </w:tcPr>
          <w:p w14:paraId="043267CB">
            <w:pPr>
              <w:pStyle w:val="40"/>
              <w:jc w:val="center"/>
              <w:rPr>
                <w:color w:val="auto"/>
                <w:sz w:val="20"/>
                <w:szCs w:val="20"/>
                <w:highlight w:val="none"/>
              </w:rPr>
            </w:pPr>
            <w:r>
              <w:rPr>
                <w:color w:val="auto"/>
                <w:spacing w:val="11"/>
                <w:position w:val="1"/>
                <w:sz w:val="20"/>
                <w:szCs w:val="20"/>
                <w:highlight w:val="none"/>
              </w:rPr>
              <w:t>Z＜2000</w:t>
            </w:r>
          </w:p>
        </w:tc>
      </w:tr>
      <w:tr w14:paraId="0ABED9A4">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49" w:hRule="atLeast"/>
          <w:jc w:val="center"/>
        </w:trPr>
        <w:tc>
          <w:tcPr>
            <w:tcW w:w="2285" w:type="dxa"/>
            <w:vMerge w:val="restart"/>
            <w:tcBorders>
              <w:bottom w:val="nil"/>
            </w:tcBorders>
            <w:noWrap/>
            <w:vAlign w:val="center"/>
          </w:tcPr>
          <w:p w14:paraId="78855F91">
            <w:pPr>
              <w:pStyle w:val="40"/>
              <w:jc w:val="center"/>
              <w:rPr>
                <w:color w:val="auto"/>
                <w:sz w:val="20"/>
                <w:szCs w:val="20"/>
                <w:highlight w:val="none"/>
              </w:rPr>
            </w:pPr>
            <w:r>
              <w:rPr>
                <w:color w:val="auto"/>
                <w:spacing w:val="19"/>
                <w:sz w:val="20"/>
                <w:szCs w:val="20"/>
                <w:highlight w:val="none"/>
              </w:rPr>
              <w:t>物业管理</w:t>
            </w:r>
          </w:p>
        </w:tc>
        <w:tc>
          <w:tcPr>
            <w:tcW w:w="1471" w:type="dxa"/>
            <w:noWrap/>
            <w:vAlign w:val="center"/>
          </w:tcPr>
          <w:p w14:paraId="5247F781">
            <w:pPr>
              <w:pStyle w:val="40"/>
              <w:jc w:val="center"/>
              <w:rPr>
                <w:color w:val="auto"/>
                <w:sz w:val="20"/>
                <w:szCs w:val="20"/>
                <w:highlight w:val="none"/>
              </w:rPr>
            </w:pPr>
            <w:r>
              <w:rPr>
                <w:color w:val="auto"/>
                <w:spacing w:val="8"/>
                <w:sz w:val="20"/>
                <w:szCs w:val="20"/>
                <w:highlight w:val="none"/>
              </w:rPr>
              <w:t>从业人员(X)</w:t>
            </w:r>
          </w:p>
        </w:tc>
        <w:tc>
          <w:tcPr>
            <w:tcW w:w="759" w:type="dxa"/>
            <w:noWrap/>
            <w:vAlign w:val="center"/>
          </w:tcPr>
          <w:p w14:paraId="01ADD58C">
            <w:pPr>
              <w:pStyle w:val="40"/>
              <w:jc w:val="center"/>
              <w:rPr>
                <w:color w:val="auto"/>
                <w:sz w:val="20"/>
                <w:szCs w:val="20"/>
                <w:highlight w:val="none"/>
              </w:rPr>
            </w:pPr>
            <w:r>
              <w:rPr>
                <w:color w:val="auto"/>
                <w:sz w:val="20"/>
                <w:szCs w:val="20"/>
                <w:highlight w:val="none"/>
              </w:rPr>
              <w:t>人</w:t>
            </w:r>
          </w:p>
        </w:tc>
        <w:tc>
          <w:tcPr>
            <w:tcW w:w="1212" w:type="dxa"/>
            <w:noWrap/>
            <w:vAlign w:val="center"/>
          </w:tcPr>
          <w:p w14:paraId="13FDA3FA">
            <w:pPr>
              <w:pStyle w:val="40"/>
              <w:jc w:val="center"/>
              <w:rPr>
                <w:color w:val="auto"/>
                <w:sz w:val="20"/>
                <w:szCs w:val="20"/>
                <w:highlight w:val="none"/>
              </w:rPr>
            </w:pPr>
            <w:r>
              <w:rPr>
                <w:color w:val="auto"/>
                <w:spacing w:val="12"/>
                <w:position w:val="1"/>
                <w:sz w:val="20"/>
                <w:szCs w:val="20"/>
                <w:highlight w:val="none"/>
              </w:rPr>
              <w:t>X≥1000</w:t>
            </w:r>
          </w:p>
        </w:tc>
        <w:tc>
          <w:tcPr>
            <w:tcW w:w="1825" w:type="dxa"/>
            <w:noWrap/>
            <w:vAlign w:val="center"/>
          </w:tcPr>
          <w:p w14:paraId="073E3D1A">
            <w:pPr>
              <w:pStyle w:val="40"/>
              <w:jc w:val="center"/>
              <w:rPr>
                <w:color w:val="auto"/>
                <w:sz w:val="20"/>
                <w:szCs w:val="20"/>
                <w:highlight w:val="none"/>
              </w:rPr>
            </w:pPr>
            <w:r>
              <w:rPr>
                <w:color w:val="auto"/>
                <w:spacing w:val="6"/>
                <w:position w:val="1"/>
                <w:sz w:val="20"/>
                <w:szCs w:val="20"/>
                <w:highlight w:val="none"/>
              </w:rPr>
              <w:t>300≤X＜1000</w:t>
            </w:r>
          </w:p>
        </w:tc>
        <w:tc>
          <w:tcPr>
            <w:tcW w:w="1534" w:type="dxa"/>
            <w:noWrap/>
            <w:vAlign w:val="center"/>
          </w:tcPr>
          <w:p w14:paraId="7979F996">
            <w:pPr>
              <w:pStyle w:val="40"/>
              <w:jc w:val="center"/>
              <w:rPr>
                <w:color w:val="auto"/>
                <w:sz w:val="20"/>
                <w:szCs w:val="20"/>
                <w:highlight w:val="none"/>
              </w:rPr>
            </w:pPr>
            <w:r>
              <w:rPr>
                <w:color w:val="auto"/>
                <w:spacing w:val="12"/>
                <w:position w:val="1"/>
                <w:sz w:val="20"/>
                <w:szCs w:val="20"/>
                <w:highlight w:val="none"/>
              </w:rPr>
              <w:t>100≤X＜300</w:t>
            </w:r>
          </w:p>
        </w:tc>
        <w:tc>
          <w:tcPr>
            <w:tcW w:w="1073" w:type="dxa"/>
            <w:noWrap/>
            <w:vAlign w:val="center"/>
          </w:tcPr>
          <w:p w14:paraId="6E7AAE39">
            <w:pPr>
              <w:pStyle w:val="40"/>
              <w:jc w:val="center"/>
              <w:rPr>
                <w:color w:val="auto"/>
                <w:sz w:val="20"/>
                <w:szCs w:val="20"/>
                <w:highlight w:val="none"/>
              </w:rPr>
            </w:pPr>
            <w:r>
              <w:rPr>
                <w:color w:val="auto"/>
                <w:spacing w:val="-2"/>
                <w:position w:val="1"/>
                <w:sz w:val="20"/>
                <w:szCs w:val="20"/>
                <w:highlight w:val="none"/>
              </w:rPr>
              <w:t>X＜100</w:t>
            </w:r>
          </w:p>
        </w:tc>
      </w:tr>
      <w:tr w14:paraId="70DFE1E4">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48" w:hRule="atLeast"/>
          <w:jc w:val="center"/>
        </w:trPr>
        <w:tc>
          <w:tcPr>
            <w:tcW w:w="2285" w:type="dxa"/>
            <w:vMerge w:val="continue"/>
            <w:tcBorders>
              <w:top w:val="nil"/>
            </w:tcBorders>
            <w:shd w:val="clear" w:color="auto" w:fill="auto"/>
            <w:noWrap/>
            <w:vAlign w:val="center"/>
          </w:tcPr>
          <w:p w14:paraId="69F4A3F3">
            <w:pPr>
              <w:jc w:val="center"/>
              <w:rPr>
                <w:rFonts w:ascii="Arial"/>
                <w:color w:val="auto"/>
                <w:sz w:val="21"/>
                <w:highlight w:val="none"/>
              </w:rPr>
            </w:pPr>
          </w:p>
        </w:tc>
        <w:tc>
          <w:tcPr>
            <w:tcW w:w="1471" w:type="dxa"/>
            <w:shd w:val="clear" w:color="auto" w:fill="B8CCE4"/>
            <w:noWrap/>
            <w:vAlign w:val="center"/>
          </w:tcPr>
          <w:p w14:paraId="2A3F9972">
            <w:pPr>
              <w:pStyle w:val="40"/>
              <w:jc w:val="center"/>
              <w:rPr>
                <w:color w:val="auto"/>
                <w:sz w:val="20"/>
                <w:szCs w:val="20"/>
                <w:highlight w:val="none"/>
              </w:rPr>
            </w:pPr>
            <w:r>
              <w:rPr>
                <w:color w:val="auto"/>
                <w:spacing w:val="16"/>
                <w:sz w:val="20"/>
                <w:szCs w:val="20"/>
                <w:highlight w:val="none"/>
              </w:rPr>
              <w:t>营业收入(Y)</w:t>
            </w:r>
          </w:p>
        </w:tc>
        <w:tc>
          <w:tcPr>
            <w:tcW w:w="759" w:type="dxa"/>
            <w:shd w:val="clear" w:color="auto" w:fill="B8CCE4"/>
            <w:noWrap/>
            <w:vAlign w:val="center"/>
          </w:tcPr>
          <w:p w14:paraId="4E88AEB4">
            <w:pPr>
              <w:pStyle w:val="40"/>
              <w:jc w:val="center"/>
              <w:rPr>
                <w:color w:val="auto"/>
                <w:sz w:val="20"/>
                <w:szCs w:val="20"/>
                <w:highlight w:val="none"/>
              </w:rPr>
            </w:pPr>
            <w:r>
              <w:rPr>
                <w:color w:val="auto"/>
                <w:spacing w:val="10"/>
                <w:sz w:val="20"/>
                <w:szCs w:val="20"/>
                <w:highlight w:val="none"/>
              </w:rPr>
              <w:t>万元</w:t>
            </w:r>
          </w:p>
        </w:tc>
        <w:tc>
          <w:tcPr>
            <w:tcW w:w="1212" w:type="dxa"/>
            <w:shd w:val="clear" w:color="auto" w:fill="B8CCE4"/>
            <w:noWrap/>
            <w:vAlign w:val="center"/>
          </w:tcPr>
          <w:p w14:paraId="0D484457">
            <w:pPr>
              <w:pStyle w:val="40"/>
              <w:jc w:val="center"/>
              <w:rPr>
                <w:color w:val="auto"/>
                <w:sz w:val="20"/>
                <w:szCs w:val="20"/>
                <w:highlight w:val="none"/>
              </w:rPr>
            </w:pPr>
            <w:r>
              <w:rPr>
                <w:color w:val="auto"/>
                <w:spacing w:val="12"/>
                <w:position w:val="1"/>
                <w:sz w:val="20"/>
                <w:szCs w:val="20"/>
                <w:highlight w:val="none"/>
              </w:rPr>
              <w:t>Y≥5000</w:t>
            </w:r>
          </w:p>
        </w:tc>
        <w:tc>
          <w:tcPr>
            <w:tcW w:w="1825" w:type="dxa"/>
            <w:shd w:val="clear" w:color="auto" w:fill="B8CCE4"/>
            <w:noWrap/>
            <w:vAlign w:val="center"/>
          </w:tcPr>
          <w:p w14:paraId="446FB79A">
            <w:pPr>
              <w:pStyle w:val="40"/>
              <w:jc w:val="center"/>
              <w:rPr>
                <w:color w:val="auto"/>
                <w:sz w:val="20"/>
                <w:szCs w:val="20"/>
                <w:highlight w:val="none"/>
              </w:rPr>
            </w:pPr>
            <w:r>
              <w:rPr>
                <w:color w:val="auto"/>
                <w:spacing w:val="12"/>
                <w:position w:val="1"/>
                <w:sz w:val="20"/>
                <w:szCs w:val="20"/>
                <w:highlight w:val="none"/>
              </w:rPr>
              <w:t>1000≤Y＜5000</w:t>
            </w:r>
          </w:p>
        </w:tc>
        <w:tc>
          <w:tcPr>
            <w:tcW w:w="1534" w:type="dxa"/>
            <w:shd w:val="clear" w:color="auto" w:fill="B8CCE4"/>
            <w:noWrap/>
            <w:vAlign w:val="center"/>
          </w:tcPr>
          <w:p w14:paraId="18F6E201">
            <w:pPr>
              <w:pStyle w:val="40"/>
              <w:jc w:val="center"/>
              <w:rPr>
                <w:color w:val="auto"/>
                <w:sz w:val="20"/>
                <w:szCs w:val="20"/>
                <w:highlight w:val="none"/>
              </w:rPr>
            </w:pPr>
            <w:r>
              <w:rPr>
                <w:color w:val="auto"/>
                <w:spacing w:val="4"/>
                <w:sz w:val="20"/>
                <w:szCs w:val="20"/>
                <w:highlight w:val="none"/>
              </w:rPr>
              <w:t>500≤Y＜1</w:t>
            </w:r>
            <w:r>
              <w:rPr>
                <w:color w:val="auto"/>
                <w:spacing w:val="5"/>
                <w:sz w:val="20"/>
                <w:szCs w:val="20"/>
                <w:highlight w:val="none"/>
              </w:rPr>
              <w:t>000</w:t>
            </w:r>
          </w:p>
        </w:tc>
        <w:tc>
          <w:tcPr>
            <w:tcW w:w="1073" w:type="dxa"/>
            <w:shd w:val="clear" w:color="auto" w:fill="B8CCE4"/>
            <w:noWrap/>
            <w:vAlign w:val="center"/>
          </w:tcPr>
          <w:p w14:paraId="291762C2">
            <w:pPr>
              <w:pStyle w:val="40"/>
              <w:jc w:val="center"/>
              <w:rPr>
                <w:color w:val="auto"/>
                <w:sz w:val="20"/>
                <w:szCs w:val="20"/>
                <w:highlight w:val="none"/>
              </w:rPr>
            </w:pPr>
            <w:r>
              <w:rPr>
                <w:color w:val="auto"/>
                <w:spacing w:val="12"/>
                <w:position w:val="1"/>
                <w:sz w:val="20"/>
                <w:szCs w:val="20"/>
                <w:highlight w:val="none"/>
              </w:rPr>
              <w:t>Y＜500</w:t>
            </w:r>
          </w:p>
        </w:tc>
      </w:tr>
      <w:tr w14:paraId="67DF56CE">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49" w:hRule="atLeast"/>
          <w:jc w:val="center"/>
        </w:trPr>
        <w:tc>
          <w:tcPr>
            <w:tcW w:w="2285" w:type="dxa"/>
            <w:vMerge w:val="restart"/>
            <w:tcBorders>
              <w:bottom w:val="nil"/>
            </w:tcBorders>
            <w:noWrap/>
            <w:vAlign w:val="center"/>
          </w:tcPr>
          <w:p w14:paraId="31BDDB1C">
            <w:pPr>
              <w:pStyle w:val="40"/>
              <w:jc w:val="center"/>
              <w:rPr>
                <w:color w:val="auto"/>
                <w:sz w:val="20"/>
                <w:szCs w:val="20"/>
                <w:highlight w:val="none"/>
              </w:rPr>
            </w:pPr>
            <w:r>
              <w:rPr>
                <w:color w:val="auto"/>
                <w:spacing w:val="22"/>
                <w:sz w:val="20"/>
                <w:szCs w:val="20"/>
                <w:highlight w:val="none"/>
              </w:rPr>
              <w:t>租赁和商务服务业</w:t>
            </w:r>
          </w:p>
        </w:tc>
        <w:tc>
          <w:tcPr>
            <w:tcW w:w="1471" w:type="dxa"/>
            <w:noWrap/>
            <w:vAlign w:val="center"/>
          </w:tcPr>
          <w:p w14:paraId="21BCD767">
            <w:pPr>
              <w:pStyle w:val="40"/>
              <w:jc w:val="center"/>
              <w:rPr>
                <w:color w:val="auto"/>
                <w:sz w:val="20"/>
                <w:szCs w:val="20"/>
                <w:highlight w:val="none"/>
              </w:rPr>
            </w:pPr>
            <w:r>
              <w:rPr>
                <w:color w:val="auto"/>
                <w:spacing w:val="8"/>
                <w:sz w:val="20"/>
                <w:szCs w:val="20"/>
                <w:highlight w:val="none"/>
              </w:rPr>
              <w:t>从业人员(X)</w:t>
            </w:r>
          </w:p>
        </w:tc>
        <w:tc>
          <w:tcPr>
            <w:tcW w:w="759" w:type="dxa"/>
            <w:noWrap/>
            <w:vAlign w:val="center"/>
          </w:tcPr>
          <w:p w14:paraId="003DA46C">
            <w:pPr>
              <w:pStyle w:val="40"/>
              <w:jc w:val="center"/>
              <w:rPr>
                <w:color w:val="auto"/>
                <w:sz w:val="20"/>
                <w:szCs w:val="20"/>
                <w:highlight w:val="none"/>
              </w:rPr>
            </w:pPr>
            <w:r>
              <w:rPr>
                <w:color w:val="auto"/>
                <w:sz w:val="20"/>
                <w:szCs w:val="20"/>
                <w:highlight w:val="none"/>
              </w:rPr>
              <w:t>人</w:t>
            </w:r>
          </w:p>
        </w:tc>
        <w:tc>
          <w:tcPr>
            <w:tcW w:w="1212" w:type="dxa"/>
            <w:noWrap/>
            <w:vAlign w:val="center"/>
          </w:tcPr>
          <w:p w14:paraId="5EDE0CCA">
            <w:pPr>
              <w:pStyle w:val="40"/>
              <w:jc w:val="center"/>
              <w:rPr>
                <w:color w:val="auto"/>
                <w:sz w:val="20"/>
                <w:szCs w:val="20"/>
                <w:highlight w:val="none"/>
              </w:rPr>
            </w:pPr>
            <w:r>
              <w:rPr>
                <w:color w:val="auto"/>
                <w:spacing w:val="12"/>
                <w:position w:val="1"/>
                <w:sz w:val="20"/>
                <w:szCs w:val="20"/>
                <w:highlight w:val="none"/>
              </w:rPr>
              <w:t>X≥300</w:t>
            </w:r>
          </w:p>
        </w:tc>
        <w:tc>
          <w:tcPr>
            <w:tcW w:w="1825" w:type="dxa"/>
            <w:noWrap/>
            <w:vAlign w:val="center"/>
          </w:tcPr>
          <w:p w14:paraId="3EB0F6EA">
            <w:pPr>
              <w:pStyle w:val="40"/>
              <w:jc w:val="center"/>
              <w:rPr>
                <w:color w:val="auto"/>
                <w:sz w:val="20"/>
                <w:szCs w:val="20"/>
                <w:highlight w:val="none"/>
              </w:rPr>
            </w:pPr>
            <w:r>
              <w:rPr>
                <w:color w:val="auto"/>
                <w:spacing w:val="11"/>
                <w:position w:val="1"/>
                <w:sz w:val="20"/>
                <w:szCs w:val="20"/>
                <w:highlight w:val="none"/>
              </w:rPr>
              <w:t>100≤X＜300</w:t>
            </w:r>
          </w:p>
        </w:tc>
        <w:tc>
          <w:tcPr>
            <w:tcW w:w="1534" w:type="dxa"/>
            <w:noWrap/>
            <w:vAlign w:val="center"/>
          </w:tcPr>
          <w:p w14:paraId="7F4CE65D">
            <w:pPr>
              <w:pStyle w:val="40"/>
              <w:jc w:val="center"/>
              <w:rPr>
                <w:color w:val="auto"/>
                <w:sz w:val="20"/>
                <w:szCs w:val="20"/>
                <w:highlight w:val="none"/>
              </w:rPr>
            </w:pPr>
            <w:r>
              <w:rPr>
                <w:color w:val="auto"/>
                <w:spacing w:val="2"/>
                <w:sz w:val="20"/>
                <w:szCs w:val="20"/>
                <w:highlight w:val="none"/>
              </w:rPr>
              <w:t>10≤X＜10</w:t>
            </w:r>
            <w:r>
              <w:rPr>
                <w:color w:val="auto"/>
                <w:sz w:val="20"/>
                <w:szCs w:val="20"/>
                <w:highlight w:val="none"/>
              </w:rPr>
              <w:t>0</w:t>
            </w:r>
          </w:p>
        </w:tc>
        <w:tc>
          <w:tcPr>
            <w:tcW w:w="1073" w:type="dxa"/>
            <w:noWrap/>
            <w:vAlign w:val="center"/>
          </w:tcPr>
          <w:p w14:paraId="30B4C1F0">
            <w:pPr>
              <w:pStyle w:val="40"/>
              <w:jc w:val="center"/>
              <w:rPr>
                <w:color w:val="auto"/>
                <w:sz w:val="20"/>
                <w:szCs w:val="20"/>
                <w:highlight w:val="none"/>
              </w:rPr>
            </w:pPr>
            <w:r>
              <w:rPr>
                <w:color w:val="auto"/>
                <w:spacing w:val="-5"/>
                <w:position w:val="1"/>
                <w:sz w:val="20"/>
                <w:szCs w:val="20"/>
                <w:highlight w:val="none"/>
              </w:rPr>
              <w:t>X＜10</w:t>
            </w:r>
          </w:p>
        </w:tc>
      </w:tr>
      <w:tr w14:paraId="0E90B41C">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49" w:hRule="atLeast"/>
          <w:jc w:val="center"/>
        </w:trPr>
        <w:tc>
          <w:tcPr>
            <w:tcW w:w="2285" w:type="dxa"/>
            <w:vMerge w:val="continue"/>
            <w:tcBorders>
              <w:top w:val="nil"/>
            </w:tcBorders>
            <w:shd w:val="clear" w:color="auto" w:fill="auto"/>
            <w:noWrap/>
            <w:vAlign w:val="center"/>
          </w:tcPr>
          <w:p w14:paraId="063278AE">
            <w:pPr>
              <w:jc w:val="center"/>
              <w:rPr>
                <w:rFonts w:ascii="Arial"/>
                <w:color w:val="auto"/>
                <w:sz w:val="21"/>
                <w:highlight w:val="none"/>
              </w:rPr>
            </w:pPr>
          </w:p>
        </w:tc>
        <w:tc>
          <w:tcPr>
            <w:tcW w:w="1471" w:type="dxa"/>
            <w:shd w:val="clear" w:color="auto" w:fill="B8CCE4"/>
            <w:noWrap/>
            <w:vAlign w:val="center"/>
          </w:tcPr>
          <w:p w14:paraId="21E399A1">
            <w:pPr>
              <w:pStyle w:val="40"/>
              <w:jc w:val="center"/>
              <w:rPr>
                <w:color w:val="auto"/>
                <w:sz w:val="20"/>
                <w:szCs w:val="20"/>
                <w:highlight w:val="none"/>
              </w:rPr>
            </w:pPr>
            <w:r>
              <w:rPr>
                <w:color w:val="auto"/>
                <w:spacing w:val="16"/>
                <w:sz w:val="20"/>
                <w:szCs w:val="20"/>
                <w:highlight w:val="none"/>
              </w:rPr>
              <w:t>资产总额(Z)</w:t>
            </w:r>
          </w:p>
        </w:tc>
        <w:tc>
          <w:tcPr>
            <w:tcW w:w="759" w:type="dxa"/>
            <w:shd w:val="clear" w:color="auto" w:fill="B8CCE4"/>
            <w:noWrap/>
            <w:vAlign w:val="center"/>
          </w:tcPr>
          <w:p w14:paraId="7455950D">
            <w:pPr>
              <w:pStyle w:val="40"/>
              <w:jc w:val="center"/>
              <w:rPr>
                <w:color w:val="auto"/>
                <w:sz w:val="20"/>
                <w:szCs w:val="20"/>
                <w:highlight w:val="none"/>
              </w:rPr>
            </w:pPr>
            <w:r>
              <w:rPr>
                <w:color w:val="auto"/>
                <w:spacing w:val="10"/>
                <w:sz w:val="20"/>
                <w:szCs w:val="20"/>
                <w:highlight w:val="none"/>
              </w:rPr>
              <w:t>万元</w:t>
            </w:r>
          </w:p>
        </w:tc>
        <w:tc>
          <w:tcPr>
            <w:tcW w:w="1212" w:type="dxa"/>
            <w:shd w:val="clear" w:color="auto" w:fill="B8CCE4"/>
            <w:noWrap/>
            <w:vAlign w:val="center"/>
          </w:tcPr>
          <w:p w14:paraId="6A9C6ACC">
            <w:pPr>
              <w:pStyle w:val="40"/>
              <w:jc w:val="center"/>
              <w:rPr>
                <w:color w:val="auto"/>
                <w:sz w:val="20"/>
                <w:szCs w:val="20"/>
                <w:highlight w:val="none"/>
              </w:rPr>
            </w:pPr>
            <w:r>
              <w:rPr>
                <w:color w:val="auto"/>
                <w:spacing w:val="12"/>
                <w:sz w:val="20"/>
                <w:szCs w:val="20"/>
                <w:highlight w:val="none"/>
              </w:rPr>
              <w:t>Z≥12000</w:t>
            </w:r>
            <w:r>
              <w:rPr>
                <w:color w:val="auto"/>
                <w:sz w:val="20"/>
                <w:szCs w:val="20"/>
                <w:highlight w:val="none"/>
              </w:rPr>
              <w:t>0</w:t>
            </w:r>
          </w:p>
        </w:tc>
        <w:tc>
          <w:tcPr>
            <w:tcW w:w="1825" w:type="dxa"/>
            <w:shd w:val="clear" w:color="auto" w:fill="B8CCE4"/>
            <w:noWrap/>
            <w:vAlign w:val="center"/>
          </w:tcPr>
          <w:p w14:paraId="63A8C2F5">
            <w:pPr>
              <w:pStyle w:val="40"/>
              <w:jc w:val="center"/>
              <w:rPr>
                <w:color w:val="auto"/>
                <w:sz w:val="20"/>
                <w:szCs w:val="20"/>
                <w:highlight w:val="none"/>
              </w:rPr>
            </w:pPr>
            <w:r>
              <w:rPr>
                <w:color w:val="auto"/>
                <w:spacing w:val="7"/>
                <w:sz w:val="20"/>
                <w:szCs w:val="20"/>
                <w:highlight w:val="none"/>
              </w:rPr>
              <w:t>8000≤Z＜120</w:t>
            </w:r>
            <w:r>
              <w:rPr>
                <w:color w:val="auto"/>
                <w:spacing w:val="5"/>
                <w:sz w:val="20"/>
                <w:szCs w:val="20"/>
                <w:highlight w:val="none"/>
              </w:rPr>
              <w:t>000</w:t>
            </w:r>
          </w:p>
        </w:tc>
        <w:tc>
          <w:tcPr>
            <w:tcW w:w="1534" w:type="dxa"/>
            <w:shd w:val="clear" w:color="auto" w:fill="B8CCE4"/>
            <w:noWrap/>
            <w:vAlign w:val="center"/>
          </w:tcPr>
          <w:p w14:paraId="0D47CA0A">
            <w:pPr>
              <w:pStyle w:val="40"/>
              <w:jc w:val="center"/>
              <w:rPr>
                <w:color w:val="auto"/>
                <w:sz w:val="20"/>
                <w:szCs w:val="20"/>
                <w:highlight w:val="none"/>
              </w:rPr>
            </w:pPr>
            <w:r>
              <w:rPr>
                <w:color w:val="auto"/>
                <w:spacing w:val="11"/>
                <w:sz w:val="20"/>
                <w:szCs w:val="20"/>
                <w:highlight w:val="none"/>
              </w:rPr>
              <w:t>100≤Z＜8</w:t>
            </w:r>
            <w:r>
              <w:rPr>
                <w:color w:val="auto"/>
                <w:spacing w:val="5"/>
                <w:sz w:val="20"/>
                <w:szCs w:val="20"/>
                <w:highlight w:val="none"/>
              </w:rPr>
              <w:t>000</w:t>
            </w:r>
          </w:p>
        </w:tc>
        <w:tc>
          <w:tcPr>
            <w:tcW w:w="1073" w:type="dxa"/>
            <w:shd w:val="clear" w:color="auto" w:fill="B8CCE4"/>
            <w:noWrap/>
            <w:vAlign w:val="center"/>
          </w:tcPr>
          <w:p w14:paraId="6635C2E2">
            <w:pPr>
              <w:pStyle w:val="40"/>
              <w:jc w:val="center"/>
              <w:rPr>
                <w:color w:val="auto"/>
                <w:sz w:val="20"/>
                <w:szCs w:val="20"/>
                <w:highlight w:val="none"/>
              </w:rPr>
            </w:pPr>
            <w:r>
              <w:rPr>
                <w:color w:val="auto"/>
                <w:spacing w:val="-2"/>
                <w:position w:val="1"/>
                <w:sz w:val="20"/>
                <w:szCs w:val="20"/>
                <w:highlight w:val="none"/>
              </w:rPr>
              <w:t>Z＜100</w:t>
            </w:r>
          </w:p>
        </w:tc>
      </w:tr>
      <w:tr w14:paraId="7300F130">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56" w:hRule="atLeast"/>
          <w:jc w:val="center"/>
        </w:trPr>
        <w:tc>
          <w:tcPr>
            <w:tcW w:w="2285" w:type="dxa"/>
            <w:noWrap/>
            <w:vAlign w:val="center"/>
          </w:tcPr>
          <w:p w14:paraId="2C1907D7">
            <w:pPr>
              <w:pStyle w:val="40"/>
              <w:jc w:val="center"/>
              <w:rPr>
                <w:color w:val="auto"/>
                <w:sz w:val="20"/>
                <w:szCs w:val="20"/>
                <w:highlight w:val="none"/>
              </w:rPr>
            </w:pPr>
            <w:r>
              <w:rPr>
                <w:color w:val="auto"/>
                <w:spacing w:val="19"/>
                <w:sz w:val="20"/>
                <w:szCs w:val="20"/>
                <w:highlight w:val="none"/>
              </w:rPr>
              <w:t>其他未列明行业*</w:t>
            </w:r>
          </w:p>
        </w:tc>
        <w:tc>
          <w:tcPr>
            <w:tcW w:w="1471" w:type="dxa"/>
            <w:noWrap/>
            <w:vAlign w:val="center"/>
          </w:tcPr>
          <w:p w14:paraId="3D016ABE">
            <w:pPr>
              <w:pStyle w:val="40"/>
              <w:jc w:val="center"/>
              <w:rPr>
                <w:color w:val="auto"/>
                <w:sz w:val="20"/>
                <w:szCs w:val="20"/>
                <w:highlight w:val="none"/>
              </w:rPr>
            </w:pPr>
            <w:r>
              <w:rPr>
                <w:color w:val="auto"/>
                <w:spacing w:val="8"/>
                <w:sz w:val="20"/>
                <w:szCs w:val="20"/>
                <w:highlight w:val="none"/>
              </w:rPr>
              <w:t>从业人员(X)</w:t>
            </w:r>
          </w:p>
        </w:tc>
        <w:tc>
          <w:tcPr>
            <w:tcW w:w="759" w:type="dxa"/>
            <w:noWrap/>
            <w:vAlign w:val="center"/>
          </w:tcPr>
          <w:p w14:paraId="1800F438">
            <w:pPr>
              <w:pStyle w:val="40"/>
              <w:jc w:val="center"/>
              <w:rPr>
                <w:color w:val="auto"/>
                <w:sz w:val="20"/>
                <w:szCs w:val="20"/>
                <w:highlight w:val="none"/>
              </w:rPr>
            </w:pPr>
            <w:r>
              <w:rPr>
                <w:color w:val="auto"/>
                <w:sz w:val="20"/>
                <w:szCs w:val="20"/>
                <w:highlight w:val="none"/>
              </w:rPr>
              <w:t>人</w:t>
            </w:r>
          </w:p>
        </w:tc>
        <w:tc>
          <w:tcPr>
            <w:tcW w:w="1212" w:type="dxa"/>
            <w:noWrap/>
            <w:vAlign w:val="center"/>
          </w:tcPr>
          <w:p w14:paraId="075FBC1A">
            <w:pPr>
              <w:pStyle w:val="40"/>
              <w:jc w:val="center"/>
              <w:rPr>
                <w:color w:val="auto"/>
                <w:sz w:val="20"/>
                <w:szCs w:val="20"/>
                <w:highlight w:val="none"/>
              </w:rPr>
            </w:pPr>
            <w:r>
              <w:rPr>
                <w:color w:val="auto"/>
                <w:spacing w:val="12"/>
                <w:position w:val="1"/>
                <w:sz w:val="20"/>
                <w:szCs w:val="20"/>
                <w:highlight w:val="none"/>
              </w:rPr>
              <w:t>X≥300</w:t>
            </w:r>
          </w:p>
        </w:tc>
        <w:tc>
          <w:tcPr>
            <w:tcW w:w="1825" w:type="dxa"/>
            <w:noWrap/>
            <w:vAlign w:val="center"/>
          </w:tcPr>
          <w:p w14:paraId="103AA2CD">
            <w:pPr>
              <w:pStyle w:val="40"/>
              <w:jc w:val="center"/>
              <w:rPr>
                <w:color w:val="auto"/>
                <w:sz w:val="20"/>
                <w:szCs w:val="20"/>
                <w:highlight w:val="none"/>
              </w:rPr>
            </w:pPr>
            <w:r>
              <w:rPr>
                <w:color w:val="auto"/>
                <w:spacing w:val="11"/>
                <w:position w:val="1"/>
                <w:sz w:val="20"/>
                <w:szCs w:val="20"/>
                <w:highlight w:val="none"/>
              </w:rPr>
              <w:t>100≤X＜300</w:t>
            </w:r>
          </w:p>
        </w:tc>
        <w:tc>
          <w:tcPr>
            <w:tcW w:w="1534" w:type="dxa"/>
            <w:noWrap/>
            <w:vAlign w:val="center"/>
          </w:tcPr>
          <w:p w14:paraId="426611AE">
            <w:pPr>
              <w:pStyle w:val="40"/>
              <w:jc w:val="center"/>
              <w:rPr>
                <w:color w:val="auto"/>
                <w:sz w:val="20"/>
                <w:szCs w:val="20"/>
                <w:highlight w:val="none"/>
              </w:rPr>
            </w:pPr>
            <w:r>
              <w:rPr>
                <w:color w:val="auto"/>
                <w:spacing w:val="2"/>
                <w:sz w:val="20"/>
                <w:szCs w:val="20"/>
                <w:highlight w:val="none"/>
              </w:rPr>
              <w:t>10≤X＜10</w:t>
            </w:r>
            <w:r>
              <w:rPr>
                <w:color w:val="auto"/>
                <w:sz w:val="20"/>
                <w:szCs w:val="20"/>
                <w:highlight w:val="none"/>
              </w:rPr>
              <w:t>0</w:t>
            </w:r>
          </w:p>
        </w:tc>
        <w:tc>
          <w:tcPr>
            <w:tcW w:w="1073" w:type="dxa"/>
            <w:noWrap/>
            <w:vAlign w:val="center"/>
          </w:tcPr>
          <w:p w14:paraId="27D1AD14">
            <w:pPr>
              <w:pStyle w:val="40"/>
              <w:jc w:val="center"/>
              <w:rPr>
                <w:color w:val="auto"/>
                <w:sz w:val="20"/>
                <w:szCs w:val="20"/>
                <w:highlight w:val="none"/>
              </w:rPr>
            </w:pPr>
            <w:r>
              <w:rPr>
                <w:color w:val="auto"/>
                <w:spacing w:val="-5"/>
                <w:position w:val="1"/>
                <w:sz w:val="20"/>
                <w:szCs w:val="20"/>
                <w:highlight w:val="none"/>
              </w:rPr>
              <w:t>X＜10</w:t>
            </w:r>
          </w:p>
        </w:tc>
      </w:tr>
    </w:tbl>
    <w:p w14:paraId="5CF2EE45">
      <w:pPr>
        <w:spacing w:line="360" w:lineRule="auto"/>
        <w:ind w:firstLine="440" w:firstLineChars="200"/>
        <w:rPr>
          <w:color w:val="auto"/>
          <w:highlight w:val="none"/>
        </w:rPr>
      </w:pPr>
      <w:r>
        <w:rPr>
          <w:rFonts w:hint="eastAsia"/>
          <w:color w:val="auto"/>
          <w:highlight w:val="none"/>
        </w:rPr>
        <w:t>说明：</w:t>
      </w:r>
    </w:p>
    <w:p w14:paraId="425DA1E5">
      <w:pPr>
        <w:spacing w:line="360" w:lineRule="auto"/>
        <w:ind w:firstLine="440" w:firstLineChars="200"/>
        <w:rPr>
          <w:color w:val="auto"/>
          <w:highlight w:val="none"/>
        </w:rPr>
      </w:pPr>
      <w:r>
        <w:rPr>
          <w:rFonts w:hint="eastAsia"/>
          <w:color w:val="auto"/>
          <w:highlight w:val="none"/>
        </w:rPr>
        <w:t>1.大型、中型和小型企业须同时满足所列指标的下限，否则下划一档；微型企业只须满足所列指标中的一项即可。</w:t>
      </w:r>
    </w:p>
    <w:p w14:paraId="682712E7">
      <w:pPr>
        <w:spacing w:line="360" w:lineRule="auto"/>
        <w:ind w:firstLine="440" w:firstLineChars="200"/>
        <w:rPr>
          <w:color w:val="auto"/>
          <w:highlight w:val="none"/>
        </w:rPr>
      </w:pPr>
      <w:r>
        <w:rPr>
          <w:rFonts w:hint="eastAsia"/>
          <w:color w:val="auto"/>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0C04AA8">
      <w:pPr>
        <w:spacing w:line="360" w:lineRule="auto"/>
        <w:ind w:firstLine="440" w:firstLineChars="200"/>
        <w:rPr>
          <w:color w:val="auto"/>
          <w:highlight w:val="none"/>
        </w:rPr>
      </w:pPr>
      <w:r>
        <w:rPr>
          <w:rFonts w:hint="eastAsia"/>
          <w:color w:val="auto"/>
          <w:highlight w:val="none"/>
        </w:rPr>
        <w:t>3.企业划分指标以现行统计制度为准。</w:t>
      </w:r>
    </w:p>
    <w:p w14:paraId="5DD7E87F">
      <w:pPr>
        <w:spacing w:line="360" w:lineRule="auto"/>
        <w:ind w:firstLine="440" w:firstLineChars="200"/>
        <w:rPr>
          <w:color w:val="auto"/>
          <w:highlight w:val="none"/>
        </w:rPr>
      </w:pPr>
      <w:r>
        <w:rPr>
          <w:rFonts w:hint="eastAsia"/>
          <w:color w:val="auto"/>
          <w:highlight w:val="none"/>
        </w:rPr>
        <w:t>（1）从业人员，是指期末从业人员数，没有期末从业人员数的，采用全年平均人员数代替。</w:t>
      </w:r>
    </w:p>
    <w:p w14:paraId="62B13465">
      <w:pPr>
        <w:spacing w:line="360" w:lineRule="auto"/>
        <w:ind w:firstLine="440" w:firstLineChars="200"/>
        <w:rPr>
          <w:color w:val="auto"/>
          <w:highlight w:val="none"/>
        </w:rPr>
      </w:pPr>
      <w:r>
        <w:rPr>
          <w:rFonts w:hint="eastAsia"/>
          <w:color w:val="auto"/>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4C135D57">
      <w:pPr>
        <w:rPr>
          <w:color w:val="auto"/>
          <w:highlight w:val="none"/>
        </w:rPr>
      </w:pPr>
      <w:r>
        <w:rPr>
          <w:rFonts w:hint="eastAsia"/>
          <w:color w:val="auto"/>
          <w:highlight w:val="none"/>
        </w:rPr>
        <w:t>（3）资产总额，采用资产总计代替。</w:t>
      </w:r>
    </w:p>
    <w:p w14:paraId="3DE7C10B">
      <w:pPr>
        <w:rPr>
          <w:color w:val="auto"/>
          <w:highlight w:val="none"/>
        </w:rPr>
      </w:pPr>
      <w:r>
        <w:rPr>
          <w:color w:val="auto"/>
          <w:highlight w:val="none"/>
        </w:rPr>
        <w:br w:type="page"/>
      </w:r>
    </w:p>
    <w:p w14:paraId="58207ACC">
      <w:pPr>
        <w:pStyle w:val="2"/>
        <w:ind w:left="140"/>
        <w:rPr>
          <w:color w:val="auto"/>
          <w:highlight w:val="none"/>
        </w:rPr>
      </w:pPr>
      <w:bookmarkStart w:id="86" w:name="_bookmark14"/>
      <w:bookmarkEnd w:id="86"/>
      <w:bookmarkStart w:id="87" w:name="_bookmark13"/>
      <w:bookmarkEnd w:id="87"/>
      <w:bookmarkStart w:id="88" w:name="_Toc27404"/>
      <w:bookmarkStart w:id="89" w:name="_Toc21318"/>
      <w:bookmarkStart w:id="90" w:name="_Toc26444"/>
      <w:bookmarkStart w:id="91" w:name="_Toc1084"/>
      <w:bookmarkStart w:id="92" w:name="_Toc14937"/>
      <w:bookmarkStart w:id="93" w:name="_Toc9054"/>
      <w:bookmarkStart w:id="94" w:name="_Toc18063"/>
      <w:r>
        <w:rPr>
          <w:rFonts w:hint="eastAsia"/>
          <w:color w:val="auto"/>
          <w:highlight w:val="none"/>
        </w:rPr>
        <w:t>第三章 合同条款及格式</w:t>
      </w:r>
      <w:bookmarkEnd w:id="88"/>
      <w:bookmarkEnd w:id="89"/>
      <w:bookmarkEnd w:id="90"/>
      <w:bookmarkEnd w:id="91"/>
      <w:bookmarkEnd w:id="92"/>
      <w:bookmarkEnd w:id="93"/>
      <w:bookmarkEnd w:id="94"/>
    </w:p>
    <w:p w14:paraId="58DEFF21">
      <w:pPr>
        <w:jc w:val="center"/>
        <w:rPr>
          <w:b/>
          <w:color w:val="auto"/>
          <w:szCs w:val="32"/>
          <w:highlight w:val="none"/>
        </w:rPr>
      </w:pPr>
      <w:r>
        <w:rPr>
          <w:rFonts w:hint="eastAsia"/>
          <w:b/>
          <w:bCs/>
          <w:color w:val="auto"/>
          <w:sz w:val="32"/>
          <w:szCs w:val="32"/>
          <w:highlight w:val="none"/>
        </w:rPr>
        <w:t>（参考）</w:t>
      </w:r>
    </w:p>
    <w:p w14:paraId="20C8259D">
      <w:pPr>
        <w:spacing w:before="1"/>
        <w:ind w:left="138"/>
        <w:jc w:val="both"/>
        <w:rPr>
          <w:color w:val="auto"/>
          <w:sz w:val="28"/>
          <w:highlight w:val="none"/>
        </w:rPr>
      </w:pPr>
    </w:p>
    <w:p w14:paraId="18ABA28B">
      <w:pPr>
        <w:jc w:val="center"/>
        <w:rPr>
          <w:b/>
          <w:color w:val="auto"/>
          <w:sz w:val="44"/>
          <w:szCs w:val="44"/>
          <w:highlight w:val="none"/>
        </w:rPr>
      </w:pPr>
      <w:bookmarkStart w:id="95" w:name="_bookmark21"/>
      <w:bookmarkEnd w:id="95"/>
      <w:r>
        <w:rPr>
          <w:rFonts w:hint="eastAsia"/>
          <w:b/>
          <w:color w:val="auto"/>
          <w:sz w:val="44"/>
          <w:szCs w:val="44"/>
          <w:highlight w:val="none"/>
        </w:rPr>
        <w:t>郑州师范学院</w:t>
      </w:r>
    </w:p>
    <w:p w14:paraId="4C024A79">
      <w:pPr>
        <w:jc w:val="center"/>
        <w:rPr>
          <w:b/>
          <w:color w:val="auto"/>
          <w:sz w:val="44"/>
          <w:szCs w:val="44"/>
          <w:highlight w:val="none"/>
        </w:rPr>
      </w:pPr>
      <w:r>
        <w:rPr>
          <w:rFonts w:hint="eastAsia"/>
          <w:b/>
          <w:color w:val="auto"/>
          <w:sz w:val="44"/>
          <w:szCs w:val="44"/>
          <w:highlight w:val="none"/>
        </w:rPr>
        <w:t>项目合同（参考模板）</w:t>
      </w:r>
    </w:p>
    <w:p w14:paraId="1A04974E">
      <w:pPr>
        <w:jc w:val="center"/>
        <w:rPr>
          <w:color w:val="auto"/>
          <w:sz w:val="28"/>
          <w:szCs w:val="28"/>
          <w:highlight w:val="none"/>
        </w:rPr>
      </w:pPr>
      <w:r>
        <w:rPr>
          <w:color w:val="auto"/>
          <w:sz w:val="28"/>
          <w:szCs w:val="28"/>
          <w:highlight w:val="none"/>
        </w:rPr>
        <w:t>招标编号：</w:t>
      </w:r>
    </w:p>
    <w:p w14:paraId="103AB2B9">
      <w:pPr>
        <w:autoSpaceDE/>
        <w:autoSpaceDN/>
        <w:spacing w:line="360" w:lineRule="auto"/>
        <w:ind w:firstLine="440" w:firstLineChars="200"/>
        <w:rPr>
          <w:color w:val="auto"/>
          <w:highlight w:val="none"/>
          <w:u w:val="single"/>
          <w:lang w:val="en-US"/>
        </w:rPr>
      </w:pPr>
      <w:r>
        <w:rPr>
          <w:rFonts w:hint="eastAsia"/>
          <w:color w:val="auto"/>
          <w:highlight w:val="none"/>
        </w:rPr>
        <w:t>甲方：</w:t>
      </w:r>
      <w:r>
        <w:rPr>
          <w:rFonts w:hint="eastAsia"/>
          <w:color w:val="auto"/>
          <w:highlight w:val="none"/>
          <w:u w:val="single"/>
        </w:rPr>
        <w:t>郑州师范学院</w:t>
      </w:r>
    </w:p>
    <w:p w14:paraId="6E412DDF">
      <w:pPr>
        <w:autoSpaceDE/>
        <w:autoSpaceDN/>
        <w:spacing w:line="360" w:lineRule="auto"/>
        <w:ind w:firstLine="440" w:firstLineChars="200"/>
        <w:rPr>
          <w:color w:val="auto"/>
          <w:highlight w:val="none"/>
          <w:lang w:val="en-US"/>
        </w:rPr>
      </w:pPr>
      <w:r>
        <w:rPr>
          <w:rFonts w:hint="eastAsia"/>
          <w:color w:val="auto"/>
          <w:highlight w:val="none"/>
        </w:rPr>
        <w:t>乙方：</w:t>
      </w:r>
    </w:p>
    <w:p w14:paraId="4E26FAA4">
      <w:pPr>
        <w:autoSpaceDE/>
        <w:autoSpaceDN/>
        <w:spacing w:line="360" w:lineRule="auto"/>
        <w:ind w:firstLine="440" w:firstLineChars="200"/>
        <w:rPr>
          <w:color w:val="auto"/>
          <w:highlight w:val="none"/>
        </w:rPr>
      </w:pPr>
      <w:r>
        <w:rPr>
          <w:rFonts w:hint="eastAsia"/>
          <w:color w:val="auto"/>
          <w:highlight w:val="none"/>
        </w:rPr>
        <w:t>一、项目概况：</w:t>
      </w:r>
    </w:p>
    <w:p w14:paraId="602D6541">
      <w:pPr>
        <w:autoSpaceDE/>
        <w:autoSpaceDN/>
        <w:spacing w:line="360" w:lineRule="auto"/>
        <w:ind w:firstLine="440" w:firstLineChars="200"/>
        <w:rPr>
          <w:color w:val="auto"/>
          <w:highlight w:val="none"/>
          <w:u w:val="single"/>
        </w:rPr>
      </w:pPr>
      <w:r>
        <w:rPr>
          <w:rFonts w:hint="eastAsia"/>
          <w:color w:val="auto"/>
          <w:highlight w:val="none"/>
        </w:rPr>
        <w:t>二、合同金额：</w:t>
      </w:r>
      <w:r>
        <w:rPr>
          <w:rFonts w:hint="eastAsia"/>
          <w:color w:val="auto"/>
          <w:highlight w:val="none"/>
          <w:u w:val="single"/>
        </w:rPr>
        <w:t>元（大写：        ）</w:t>
      </w:r>
    </w:p>
    <w:p w14:paraId="478108D5">
      <w:pPr>
        <w:autoSpaceDE/>
        <w:autoSpaceDN/>
        <w:spacing w:line="360" w:lineRule="auto"/>
        <w:ind w:firstLine="440" w:firstLineChars="200"/>
        <w:rPr>
          <w:color w:val="auto"/>
          <w:highlight w:val="none"/>
        </w:rPr>
      </w:pPr>
      <w:r>
        <w:rPr>
          <w:rFonts w:hint="eastAsia"/>
          <w:color w:val="auto"/>
          <w:highlight w:val="none"/>
        </w:rPr>
        <w:t>三、供货日期：合同签订之日起</w:t>
      </w:r>
      <w:r>
        <w:rPr>
          <w:rFonts w:hint="eastAsia"/>
          <w:color w:val="auto"/>
          <w:highlight w:val="none"/>
          <w:lang w:val="en-US"/>
        </w:rPr>
        <w:t>4</w:t>
      </w:r>
      <w:r>
        <w:rPr>
          <w:rFonts w:hint="eastAsia"/>
          <w:color w:val="auto"/>
          <w:highlight w:val="none"/>
        </w:rPr>
        <w:t>0天供货安装</w:t>
      </w:r>
      <w:r>
        <w:rPr>
          <w:rFonts w:hint="eastAsia"/>
          <w:color w:val="auto"/>
          <w:highlight w:val="none"/>
          <w:lang w:val="en-US"/>
        </w:rPr>
        <w:t>调试</w:t>
      </w:r>
      <w:r>
        <w:rPr>
          <w:rFonts w:hint="eastAsia"/>
          <w:color w:val="auto"/>
          <w:highlight w:val="none"/>
        </w:rPr>
        <w:t>完毕。</w:t>
      </w:r>
    </w:p>
    <w:p w14:paraId="62846F89">
      <w:pPr>
        <w:autoSpaceDE/>
        <w:autoSpaceDN/>
        <w:spacing w:line="360" w:lineRule="auto"/>
        <w:ind w:firstLine="440" w:firstLineChars="200"/>
        <w:rPr>
          <w:color w:val="auto"/>
          <w:highlight w:val="none"/>
          <w:u w:val="single"/>
        </w:rPr>
      </w:pPr>
      <w:r>
        <w:rPr>
          <w:rFonts w:hint="eastAsia"/>
          <w:color w:val="auto"/>
          <w:highlight w:val="none"/>
        </w:rPr>
        <w:t>四、转包分包要求：乙方不得将本合同的全部项目或部分项目转包或分包给其它公司，否则，所产生的一切后果由乙方负责。</w:t>
      </w:r>
    </w:p>
    <w:p w14:paraId="628F0EF5">
      <w:pPr>
        <w:autoSpaceDE/>
        <w:autoSpaceDN/>
        <w:spacing w:line="360" w:lineRule="auto"/>
        <w:ind w:firstLine="440" w:firstLineChars="200"/>
        <w:rPr>
          <w:color w:val="auto"/>
          <w:highlight w:val="none"/>
        </w:rPr>
      </w:pPr>
      <w:r>
        <w:rPr>
          <w:rFonts w:hint="eastAsia"/>
          <w:color w:val="auto"/>
          <w:highlight w:val="none"/>
        </w:rPr>
        <w:t>五、</w:t>
      </w:r>
      <w:bookmarkStart w:id="96" w:name="OLE_LINK10"/>
      <w:bookmarkStart w:id="97" w:name="OLE_LINK11"/>
      <w:r>
        <w:rPr>
          <w:rFonts w:hint="eastAsia"/>
          <w:color w:val="auto"/>
          <w:highlight w:val="none"/>
        </w:rPr>
        <w:t>付款方式：</w:t>
      </w:r>
      <w:bookmarkStart w:id="98" w:name="OLE_LINK12"/>
      <w:bookmarkStart w:id="99" w:name="OLE_LINK13"/>
      <w:r>
        <w:rPr>
          <w:rFonts w:hint="eastAsia"/>
          <w:color w:val="auto"/>
          <w:highlight w:val="none"/>
          <w:lang w:val="en-US"/>
        </w:rPr>
        <w:t>所有货物送达用户指定地点经开箱验收合格，</w:t>
      </w:r>
      <w:r>
        <w:rPr>
          <w:rFonts w:hint="eastAsia"/>
          <w:iCs/>
          <w:color w:val="auto"/>
          <w:highlight w:val="none"/>
          <w:lang w:val="en-US"/>
        </w:rPr>
        <w:t>安装调试完毕，经学校相关部门组织验收合格后，且乙方开具全额合规增值税发票，</w:t>
      </w:r>
      <w:r>
        <w:rPr>
          <w:rFonts w:hint="eastAsia"/>
          <w:color w:val="auto"/>
          <w:highlight w:val="none"/>
        </w:rPr>
        <w:t>根据财政资金拨付进度支付合同金额的90%，即（¥          ）。</w:t>
      </w:r>
      <w:r>
        <w:rPr>
          <w:rFonts w:hint="eastAsia"/>
          <w:color w:val="auto"/>
          <w:highlight w:val="none"/>
          <w:lang w:val="en-US"/>
        </w:rPr>
        <w:t>余</w:t>
      </w:r>
      <w:r>
        <w:rPr>
          <w:rFonts w:hint="eastAsia"/>
          <w:color w:val="auto"/>
          <w:highlight w:val="none"/>
        </w:rPr>
        <w:t>款10%即（¥         ）项目正常使用</w:t>
      </w:r>
      <w:r>
        <w:rPr>
          <w:rFonts w:hint="eastAsia"/>
          <w:color w:val="auto"/>
          <w:highlight w:val="none"/>
          <w:lang w:val="en-US"/>
        </w:rPr>
        <w:t>三年</w:t>
      </w:r>
      <w:r>
        <w:rPr>
          <w:rFonts w:hint="eastAsia"/>
          <w:color w:val="auto"/>
          <w:highlight w:val="none"/>
        </w:rPr>
        <w:t>后无息支付。</w:t>
      </w:r>
    </w:p>
    <w:bookmarkEnd w:id="96"/>
    <w:bookmarkEnd w:id="97"/>
    <w:bookmarkEnd w:id="98"/>
    <w:bookmarkEnd w:id="99"/>
    <w:p w14:paraId="49D758F5">
      <w:pPr>
        <w:autoSpaceDE/>
        <w:autoSpaceDN/>
        <w:spacing w:line="360" w:lineRule="auto"/>
        <w:ind w:firstLine="440" w:firstLineChars="200"/>
        <w:rPr>
          <w:color w:val="auto"/>
          <w:highlight w:val="none"/>
        </w:rPr>
      </w:pPr>
      <w:r>
        <w:rPr>
          <w:rFonts w:hint="eastAsia"/>
          <w:color w:val="auto"/>
          <w:highlight w:val="none"/>
        </w:rPr>
        <w:t>六、货物清单要用表格形式列出明细，内容和样式如下：详见附件一（中标产品明细及数量、价格表，与投标文件参数一致）。</w:t>
      </w:r>
    </w:p>
    <w:p w14:paraId="3597B489">
      <w:pPr>
        <w:autoSpaceDE/>
        <w:autoSpaceDN/>
        <w:spacing w:line="360" w:lineRule="auto"/>
        <w:ind w:firstLine="440" w:firstLineChars="200"/>
        <w:rPr>
          <w:color w:val="auto"/>
          <w:highlight w:val="none"/>
        </w:rPr>
      </w:pPr>
      <w:r>
        <w:rPr>
          <w:rFonts w:hint="eastAsia"/>
          <w:color w:val="auto"/>
          <w:highlight w:val="none"/>
        </w:rPr>
        <w:t>七、详细售后服务计划：详见附件二（售后服务计划及优惠承诺，与投标文件承诺一致）。</w:t>
      </w:r>
    </w:p>
    <w:p w14:paraId="274BC26B">
      <w:pPr>
        <w:autoSpaceDE/>
        <w:autoSpaceDN/>
        <w:spacing w:line="360" w:lineRule="auto"/>
        <w:ind w:firstLine="440" w:firstLineChars="200"/>
        <w:rPr>
          <w:color w:val="auto"/>
          <w:highlight w:val="none"/>
        </w:rPr>
      </w:pPr>
      <w:r>
        <w:rPr>
          <w:rFonts w:hint="eastAsia"/>
          <w:color w:val="auto"/>
          <w:highlight w:val="none"/>
        </w:rPr>
        <w:t>八、合同份数，甲方需要四份，乙方需要</w:t>
      </w:r>
      <w:r>
        <w:rPr>
          <w:rFonts w:hint="eastAsia"/>
          <w:color w:val="auto"/>
          <w:highlight w:val="none"/>
          <w:lang w:val="en-US"/>
        </w:rPr>
        <w:t>份，共份</w:t>
      </w:r>
      <w:r>
        <w:rPr>
          <w:rFonts w:hint="eastAsia"/>
          <w:color w:val="auto"/>
          <w:highlight w:val="none"/>
        </w:rPr>
        <w:t>。</w:t>
      </w:r>
    </w:p>
    <w:p w14:paraId="2D5A0FF6">
      <w:pPr>
        <w:autoSpaceDE/>
        <w:autoSpaceDN/>
        <w:spacing w:line="360" w:lineRule="auto"/>
        <w:ind w:firstLine="440" w:firstLineChars="200"/>
        <w:rPr>
          <w:color w:val="auto"/>
          <w:highlight w:val="none"/>
        </w:rPr>
      </w:pPr>
      <w:r>
        <w:rPr>
          <w:rFonts w:hint="eastAsia"/>
          <w:color w:val="auto"/>
          <w:highlight w:val="none"/>
        </w:rPr>
        <w:t>九、违约纠纷：</w:t>
      </w:r>
    </w:p>
    <w:p w14:paraId="61DA8724">
      <w:pPr>
        <w:autoSpaceDE/>
        <w:autoSpaceDN/>
        <w:spacing w:line="360" w:lineRule="auto"/>
        <w:ind w:firstLine="440" w:firstLineChars="200"/>
        <w:rPr>
          <w:color w:val="auto"/>
          <w:highlight w:val="none"/>
        </w:rPr>
      </w:pPr>
      <w:r>
        <w:rPr>
          <w:rFonts w:hint="eastAsia"/>
          <w:color w:val="auto"/>
          <w:highlight w:val="none"/>
        </w:rPr>
        <w:t>1、</w:t>
      </w:r>
      <w:r>
        <w:rPr>
          <w:rFonts w:hint="eastAsia"/>
          <w:color w:val="auto"/>
          <w:highlight w:val="none"/>
          <w:lang w:val="en-US"/>
        </w:rPr>
        <w:t>乙方</w:t>
      </w:r>
      <w:r>
        <w:rPr>
          <w:rFonts w:hint="eastAsia"/>
          <w:color w:val="auto"/>
          <w:highlight w:val="none"/>
        </w:rPr>
        <w:t>承担货物验收合格前毁损、灭失责任，所交的设备、货物品种、型号、规格、质量不符合合同规定，</w:t>
      </w:r>
      <w:r>
        <w:rPr>
          <w:rFonts w:hint="eastAsia"/>
          <w:color w:val="auto"/>
          <w:highlight w:val="none"/>
          <w:lang w:val="en-US"/>
        </w:rPr>
        <w:t>甲方</w:t>
      </w:r>
      <w:r>
        <w:rPr>
          <w:rFonts w:hint="eastAsia"/>
          <w:color w:val="auto"/>
          <w:highlight w:val="none"/>
        </w:rPr>
        <w:t>有权拒收设备，</w:t>
      </w:r>
      <w:r>
        <w:rPr>
          <w:rFonts w:hint="eastAsia"/>
          <w:color w:val="auto"/>
          <w:highlight w:val="none"/>
          <w:lang w:val="en-US"/>
        </w:rPr>
        <w:t>乙</w:t>
      </w:r>
      <w:r>
        <w:rPr>
          <w:rFonts w:hint="eastAsia"/>
          <w:color w:val="auto"/>
          <w:highlight w:val="none"/>
        </w:rPr>
        <w:t>方应负责更换并承担因更换而支付的实际费用。因更换而造成逾期交货，则按逾期交货处理。</w:t>
      </w:r>
    </w:p>
    <w:p w14:paraId="40852378">
      <w:pPr>
        <w:autoSpaceDE/>
        <w:autoSpaceDN/>
        <w:spacing w:line="360" w:lineRule="auto"/>
        <w:ind w:firstLine="440" w:firstLineChars="200"/>
        <w:rPr>
          <w:color w:val="auto"/>
          <w:highlight w:val="none"/>
        </w:rPr>
      </w:pPr>
      <w:r>
        <w:rPr>
          <w:rFonts w:hint="eastAsia"/>
          <w:color w:val="auto"/>
          <w:highlight w:val="none"/>
        </w:rPr>
        <w:t>2、</w:t>
      </w:r>
      <w:r>
        <w:rPr>
          <w:rFonts w:hint="eastAsia"/>
          <w:color w:val="auto"/>
          <w:highlight w:val="none"/>
          <w:lang w:val="en-US"/>
        </w:rPr>
        <w:t>乙方</w:t>
      </w:r>
      <w:r>
        <w:rPr>
          <w:rFonts w:hint="eastAsia"/>
          <w:color w:val="auto"/>
          <w:highlight w:val="none"/>
        </w:rPr>
        <w:t>不能交付设备、货物，乙方向甲方支付未交付部分货款总额5%的违约金。</w:t>
      </w:r>
    </w:p>
    <w:p w14:paraId="47EF3ED1">
      <w:pPr>
        <w:autoSpaceDE/>
        <w:autoSpaceDN/>
        <w:spacing w:line="360" w:lineRule="auto"/>
        <w:ind w:firstLine="440" w:firstLineChars="200"/>
        <w:rPr>
          <w:color w:val="auto"/>
          <w:highlight w:val="none"/>
        </w:rPr>
      </w:pPr>
      <w:r>
        <w:rPr>
          <w:rFonts w:hint="eastAsia"/>
          <w:color w:val="auto"/>
          <w:highlight w:val="none"/>
        </w:rPr>
        <w:t>3、</w:t>
      </w:r>
      <w:r>
        <w:rPr>
          <w:rFonts w:hint="eastAsia"/>
          <w:color w:val="auto"/>
          <w:highlight w:val="none"/>
          <w:lang w:val="en-US"/>
        </w:rPr>
        <w:t>乙方</w:t>
      </w:r>
      <w:r>
        <w:rPr>
          <w:rFonts w:hint="eastAsia"/>
          <w:color w:val="auto"/>
          <w:highlight w:val="none"/>
        </w:rPr>
        <w:t>逾期交付设备、货物，乙方向甲方每日偿付逾期交货部分总额0.05%的赔偿费。乙方逾期完工按照逾期交付承担违约责任，</w:t>
      </w:r>
      <w:r>
        <w:rPr>
          <w:rFonts w:hint="eastAsia"/>
          <w:color w:val="auto"/>
          <w:highlight w:val="none"/>
          <w:lang w:val="en-US"/>
        </w:rPr>
        <w:t>逾期交货或逾期完工超过十个工作日的，甲方有权解除合同</w:t>
      </w:r>
      <w:r>
        <w:rPr>
          <w:rFonts w:hint="eastAsia"/>
          <w:color w:val="auto"/>
          <w:highlight w:val="none"/>
        </w:rPr>
        <w:t>。</w:t>
      </w:r>
    </w:p>
    <w:p w14:paraId="548C0AA1">
      <w:pPr>
        <w:autoSpaceDE/>
        <w:autoSpaceDN/>
        <w:snapToGrid w:val="0"/>
        <w:spacing w:line="360" w:lineRule="auto"/>
        <w:ind w:firstLine="440" w:firstLineChars="200"/>
        <w:rPr>
          <w:color w:val="auto"/>
          <w:highlight w:val="none"/>
        </w:rPr>
      </w:pPr>
      <w:r>
        <w:rPr>
          <w:rFonts w:hint="eastAsia"/>
          <w:color w:val="auto"/>
          <w:highlight w:val="none"/>
        </w:rPr>
        <w:t>4、乙方安装、调试、质保、维修等过程中需严格按照安全操作规程作业，发生安全事故的（含现行疫情感染传播救治），乙方承担全部责任，因此给甲方造成经济损失或导致甲方承担赔偿责任的，甲方有权向乙方据实追偿。</w:t>
      </w:r>
    </w:p>
    <w:p w14:paraId="477F0CFB">
      <w:pPr>
        <w:autoSpaceDE/>
        <w:autoSpaceDN/>
        <w:snapToGrid w:val="0"/>
        <w:spacing w:line="360" w:lineRule="auto"/>
        <w:ind w:firstLine="440" w:firstLineChars="200"/>
        <w:rPr>
          <w:color w:val="auto"/>
          <w:highlight w:val="none"/>
        </w:rPr>
      </w:pPr>
      <w:r>
        <w:rPr>
          <w:rFonts w:hint="eastAsia"/>
          <w:color w:val="auto"/>
          <w:highlight w:val="none"/>
        </w:rPr>
        <w:t>5、乙方承诺其提供的货物不涉及任何权属纠纷，否则，由乙方承担全部责任；因此给甲方造成经济损失、名誉损毁或导致甲方向第三方承担赔偿责任的，甲方有权另行追偿，并有权要求乙方支付合同总价款10%的惩罚性违约金。乙方承担验收合格前货物的毁损、灭失责任，安装、调试、维修等过程中不得随意拆改原建筑物结构及各种设备管线，严格按照约定安装调试履行合同。</w:t>
      </w:r>
    </w:p>
    <w:p w14:paraId="6C233513">
      <w:pPr>
        <w:autoSpaceDE/>
        <w:autoSpaceDN/>
        <w:snapToGrid w:val="0"/>
        <w:spacing w:line="360" w:lineRule="auto"/>
        <w:ind w:firstLine="440" w:firstLineChars="200"/>
        <w:rPr>
          <w:color w:val="auto"/>
          <w:highlight w:val="none"/>
        </w:rPr>
      </w:pPr>
      <w:r>
        <w:rPr>
          <w:rFonts w:hint="eastAsia"/>
          <w:color w:val="auto"/>
          <w:highlight w:val="none"/>
        </w:rPr>
        <w:t>6、乙方承诺本合同履行过程中出现其他违约行为（含未经甲方书面同意私自转包分包），自愿向甲方支付合同总价款10%违约金，并采取补救措施，完整履行合同义务。因此给甲方造成经济损失的，甲方有权另行追偿，追偿范围包含但不限于诉讼费、差旅费、鉴定费、律师费。</w:t>
      </w:r>
    </w:p>
    <w:p w14:paraId="3247E1DE">
      <w:pPr>
        <w:autoSpaceDE/>
        <w:autoSpaceDN/>
        <w:snapToGrid w:val="0"/>
        <w:spacing w:line="360" w:lineRule="auto"/>
        <w:ind w:firstLine="440" w:firstLineChars="200"/>
        <w:rPr>
          <w:color w:val="auto"/>
          <w:highlight w:val="none"/>
          <w:lang w:val="en-US"/>
        </w:rPr>
      </w:pPr>
      <w:r>
        <w:rPr>
          <w:rFonts w:hint="eastAsia"/>
          <w:color w:val="auto"/>
          <w:highlight w:val="none"/>
          <w:lang w:val="en-US"/>
        </w:rPr>
        <w:t>7、乙方保证其所供货为正品合格货物。如所供货存在假冒伪劣货物的，乙方应按货物价值3倍对甲方进行赔偿；如所供货物存在质量问题的，甲方有权要求对问题货物进行更换或退货。</w:t>
      </w:r>
    </w:p>
    <w:p w14:paraId="0FAA788A">
      <w:pPr>
        <w:autoSpaceDE/>
        <w:autoSpaceDN/>
        <w:snapToGrid w:val="0"/>
        <w:spacing w:line="360" w:lineRule="auto"/>
        <w:ind w:firstLine="440" w:firstLineChars="200"/>
        <w:rPr>
          <w:color w:val="auto"/>
          <w:highlight w:val="none"/>
          <w:lang w:val="en-US"/>
        </w:rPr>
      </w:pPr>
      <w:r>
        <w:rPr>
          <w:rFonts w:hint="eastAsia"/>
          <w:color w:val="auto"/>
          <w:highlight w:val="none"/>
          <w:lang w:val="en-US"/>
        </w:rPr>
        <w:t>8、甲方应当为乙方交付设备、货物提供相应的便利，如因甲方原因造成乙方延迟履行合同的，乙方不承担延迟履行的责任，甲方应按乙方所耗工作量承担相应违约责任。</w:t>
      </w:r>
    </w:p>
    <w:p w14:paraId="54DD1F33">
      <w:pPr>
        <w:autoSpaceDE/>
        <w:autoSpaceDN/>
        <w:snapToGrid w:val="0"/>
        <w:spacing w:line="360" w:lineRule="auto"/>
        <w:ind w:firstLine="440" w:firstLineChars="200"/>
        <w:rPr>
          <w:color w:val="auto"/>
          <w:highlight w:val="none"/>
          <w:lang w:val="en-US"/>
        </w:rPr>
      </w:pPr>
      <w:r>
        <w:rPr>
          <w:rFonts w:hint="eastAsia"/>
          <w:color w:val="auto"/>
          <w:highlight w:val="none"/>
          <w:lang w:val="en-US"/>
        </w:rPr>
        <w:t>9、甲方应当按照本合同第五条的约定，按约履行付款义务，如无故延迟履行该义务，应承担延迟部分价款1%的违约金。</w:t>
      </w:r>
    </w:p>
    <w:p w14:paraId="0313BF45">
      <w:pPr>
        <w:autoSpaceDE/>
        <w:autoSpaceDN/>
        <w:snapToGrid w:val="0"/>
        <w:spacing w:line="360" w:lineRule="auto"/>
        <w:ind w:firstLine="440" w:firstLineChars="200"/>
        <w:rPr>
          <w:color w:val="auto"/>
          <w:highlight w:val="none"/>
          <w:lang w:val="en-US"/>
        </w:rPr>
      </w:pPr>
      <w:r>
        <w:rPr>
          <w:rFonts w:hint="eastAsia"/>
          <w:color w:val="auto"/>
          <w:highlight w:val="none"/>
          <w:lang w:val="en-US"/>
        </w:rPr>
        <w:t>10、合同未尽事宜双方协商解决，协商不成的，可向甲方所在地人民法院起诉。</w:t>
      </w:r>
    </w:p>
    <w:p w14:paraId="29EE5413">
      <w:pPr>
        <w:autoSpaceDE/>
        <w:autoSpaceDN/>
        <w:spacing w:line="360" w:lineRule="auto"/>
        <w:rPr>
          <w:b/>
          <w:color w:val="auto"/>
          <w:highlight w:val="none"/>
        </w:rPr>
      </w:pPr>
    </w:p>
    <w:p w14:paraId="02901E14">
      <w:pPr>
        <w:autoSpaceDE/>
        <w:autoSpaceDN/>
        <w:spacing w:line="360" w:lineRule="auto"/>
        <w:ind w:firstLine="442" w:firstLineChars="200"/>
        <w:rPr>
          <w:color w:val="auto"/>
          <w:highlight w:val="none"/>
        </w:rPr>
      </w:pPr>
      <w:r>
        <w:rPr>
          <w:rFonts w:hint="eastAsia"/>
          <w:b/>
          <w:color w:val="auto"/>
          <w:highlight w:val="none"/>
        </w:rPr>
        <w:t>甲方：郑州师范学院                          乙方：</w:t>
      </w:r>
    </w:p>
    <w:p w14:paraId="3869A62E">
      <w:pPr>
        <w:autoSpaceDE/>
        <w:autoSpaceDN/>
        <w:spacing w:line="360" w:lineRule="auto"/>
        <w:ind w:firstLine="4859" w:firstLineChars="2209"/>
        <w:rPr>
          <w:color w:val="auto"/>
          <w:highlight w:val="none"/>
        </w:rPr>
      </w:pPr>
      <w:r>
        <w:rPr>
          <w:rFonts w:hint="eastAsia"/>
          <w:color w:val="auto"/>
          <w:highlight w:val="none"/>
        </w:rPr>
        <w:t>开户银行：</w:t>
      </w:r>
    </w:p>
    <w:p w14:paraId="2C47CBC0">
      <w:pPr>
        <w:autoSpaceDE/>
        <w:autoSpaceDN/>
        <w:spacing w:line="360" w:lineRule="auto"/>
        <w:ind w:firstLine="440" w:firstLineChars="200"/>
        <w:rPr>
          <w:color w:val="auto"/>
          <w:highlight w:val="none"/>
        </w:rPr>
      </w:pPr>
      <w:r>
        <w:rPr>
          <w:rFonts w:hint="eastAsia"/>
          <w:color w:val="auto"/>
          <w:highlight w:val="none"/>
        </w:rPr>
        <w:t>法人或授权委托人：                          账号：</w:t>
      </w:r>
    </w:p>
    <w:p w14:paraId="757A7369">
      <w:pPr>
        <w:autoSpaceDE/>
        <w:autoSpaceDN/>
        <w:spacing w:line="360" w:lineRule="auto"/>
        <w:ind w:firstLine="4620" w:firstLineChars="2100"/>
        <w:rPr>
          <w:color w:val="auto"/>
          <w:highlight w:val="none"/>
        </w:rPr>
      </w:pPr>
      <w:r>
        <w:rPr>
          <w:rFonts w:hint="eastAsia"/>
          <w:color w:val="auto"/>
          <w:highlight w:val="none"/>
        </w:rPr>
        <w:t>法定代表人：</w:t>
      </w:r>
    </w:p>
    <w:p w14:paraId="661D0E88">
      <w:pPr>
        <w:autoSpaceDE/>
        <w:autoSpaceDN/>
        <w:spacing w:line="360" w:lineRule="auto"/>
        <w:ind w:firstLine="440" w:firstLineChars="200"/>
        <w:rPr>
          <w:color w:val="auto"/>
          <w:highlight w:val="none"/>
        </w:rPr>
      </w:pPr>
      <w:r>
        <w:rPr>
          <w:rFonts w:hint="eastAsia"/>
          <w:color w:val="auto"/>
          <w:highlight w:val="none"/>
        </w:rPr>
        <w:t xml:space="preserve">项目部门负责人签字：                      委托人： </w:t>
      </w:r>
    </w:p>
    <w:p w14:paraId="4814DB2A">
      <w:pPr>
        <w:autoSpaceDE/>
        <w:autoSpaceDN/>
        <w:spacing w:line="360" w:lineRule="auto"/>
        <w:ind w:firstLine="5280" w:firstLineChars="2400"/>
        <w:rPr>
          <w:color w:val="auto"/>
          <w:highlight w:val="none"/>
        </w:rPr>
      </w:pPr>
      <w:r>
        <w:rPr>
          <w:rFonts w:hint="eastAsia"/>
          <w:color w:val="auto"/>
          <w:highlight w:val="none"/>
        </w:rPr>
        <w:t>地址：</w:t>
      </w:r>
    </w:p>
    <w:p w14:paraId="73870D4E">
      <w:pPr>
        <w:autoSpaceDE/>
        <w:autoSpaceDN/>
        <w:spacing w:line="360" w:lineRule="auto"/>
        <w:ind w:firstLine="440" w:firstLineChars="200"/>
        <w:rPr>
          <w:color w:val="auto"/>
          <w:highlight w:val="none"/>
        </w:rPr>
      </w:pPr>
      <w:r>
        <w:rPr>
          <w:rFonts w:hint="eastAsia"/>
          <w:color w:val="auto"/>
          <w:highlight w:val="none"/>
        </w:rPr>
        <w:t>项目负责人：                                电话：</w:t>
      </w:r>
    </w:p>
    <w:p w14:paraId="52B11BFA">
      <w:pPr>
        <w:autoSpaceDE/>
        <w:autoSpaceDN/>
        <w:spacing w:line="360" w:lineRule="auto"/>
        <w:ind w:firstLine="5280" w:firstLineChars="2400"/>
        <w:rPr>
          <w:color w:val="auto"/>
          <w:highlight w:val="none"/>
        </w:rPr>
      </w:pPr>
      <w:r>
        <w:rPr>
          <w:rFonts w:hint="eastAsia"/>
          <w:color w:val="auto"/>
          <w:highlight w:val="none"/>
        </w:rPr>
        <w:t>手机：</w:t>
      </w:r>
    </w:p>
    <w:p w14:paraId="1C1EE6AD">
      <w:pPr>
        <w:autoSpaceDE/>
        <w:autoSpaceDN/>
        <w:spacing w:line="360" w:lineRule="auto"/>
        <w:ind w:firstLine="440" w:firstLineChars="200"/>
        <w:rPr>
          <w:rFonts w:ascii="黑体" w:eastAsia="黑体"/>
          <w:color w:val="auto"/>
          <w:sz w:val="24"/>
          <w:szCs w:val="24"/>
          <w:highlight w:val="none"/>
        </w:rPr>
      </w:pPr>
      <w:r>
        <w:rPr>
          <w:rFonts w:hint="eastAsia"/>
          <w:color w:val="auto"/>
          <w:highlight w:val="none"/>
        </w:rPr>
        <w:t>签约时间：      年    月    日          签约时间：      年     月      日</w:t>
      </w:r>
    </w:p>
    <w:p w14:paraId="6BC43A64">
      <w:pPr>
        <w:rPr>
          <w:rFonts w:ascii="黑体" w:eastAsia="黑体"/>
          <w:color w:val="auto"/>
          <w:sz w:val="24"/>
          <w:szCs w:val="24"/>
          <w:highlight w:val="none"/>
        </w:rPr>
        <w:sectPr>
          <w:headerReference r:id="rId9" w:type="default"/>
          <w:footerReference r:id="rId10" w:type="default"/>
          <w:pgSz w:w="11906" w:h="16838"/>
          <w:pgMar w:top="1418" w:right="1531" w:bottom="1417" w:left="1531" w:header="851" w:footer="992" w:gutter="0"/>
          <w:cols w:space="720" w:num="1"/>
          <w:docGrid w:type="lines" w:linePitch="312" w:charSpace="0"/>
        </w:sectPr>
      </w:pPr>
    </w:p>
    <w:p w14:paraId="55CBDA7C">
      <w:pPr>
        <w:rPr>
          <w:b/>
          <w:color w:val="auto"/>
          <w:sz w:val="28"/>
          <w:szCs w:val="28"/>
          <w:highlight w:val="none"/>
        </w:rPr>
      </w:pPr>
      <w:r>
        <w:rPr>
          <w:rFonts w:hint="eastAsia"/>
          <w:b/>
          <w:color w:val="auto"/>
          <w:sz w:val="28"/>
          <w:szCs w:val="28"/>
          <w:highlight w:val="none"/>
        </w:rPr>
        <w:t>附件一：</w:t>
      </w:r>
    </w:p>
    <w:p w14:paraId="7ECFB695">
      <w:pPr>
        <w:jc w:val="center"/>
        <w:rPr>
          <w:color w:val="auto"/>
          <w:sz w:val="28"/>
          <w:szCs w:val="28"/>
          <w:highlight w:val="none"/>
        </w:rPr>
      </w:pPr>
      <w:r>
        <w:rPr>
          <w:rFonts w:hint="eastAsia"/>
          <w:color w:val="auto"/>
          <w:sz w:val="28"/>
          <w:szCs w:val="28"/>
          <w:highlight w:val="none"/>
        </w:rPr>
        <w:t>中标产品明细及数量、价格表</w:t>
      </w:r>
    </w:p>
    <w:tbl>
      <w:tblPr>
        <w:tblStyle w:val="18"/>
        <w:tblpPr w:leftFromText="180" w:rightFromText="180" w:vertAnchor="text" w:horzAnchor="page" w:tblpXSpec="center" w:tblpY="589"/>
        <w:tblOverlap w:val="never"/>
        <w:tblW w:w="507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87"/>
        <w:gridCol w:w="1020"/>
        <w:gridCol w:w="3891"/>
        <w:gridCol w:w="2876"/>
        <w:gridCol w:w="1532"/>
        <w:gridCol w:w="983"/>
        <w:gridCol w:w="651"/>
        <w:gridCol w:w="540"/>
        <w:gridCol w:w="728"/>
        <w:gridCol w:w="747"/>
        <w:gridCol w:w="450"/>
      </w:tblGrid>
      <w:tr w14:paraId="16B1D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277" w:type="pct"/>
            <w:tcBorders>
              <w:top w:val="single" w:color="000000" w:sz="4" w:space="0"/>
              <w:right w:val="single" w:color="000000" w:sz="4" w:space="0"/>
            </w:tcBorders>
            <w:vAlign w:val="center"/>
          </w:tcPr>
          <w:p w14:paraId="7E01B276">
            <w:pPr>
              <w:jc w:val="center"/>
              <w:rPr>
                <w:color w:val="auto"/>
                <w:highlight w:val="none"/>
              </w:rPr>
            </w:pPr>
            <w:r>
              <w:rPr>
                <w:rFonts w:hint="eastAsia"/>
                <w:color w:val="auto"/>
                <w:highlight w:val="none"/>
              </w:rPr>
              <w:t>序号</w:t>
            </w:r>
          </w:p>
        </w:tc>
        <w:tc>
          <w:tcPr>
            <w:tcW w:w="359" w:type="pct"/>
            <w:tcBorders>
              <w:top w:val="single" w:color="000000" w:sz="4" w:space="0"/>
              <w:left w:val="single" w:color="000000" w:sz="4" w:space="0"/>
              <w:right w:val="single" w:color="000000" w:sz="4" w:space="0"/>
            </w:tcBorders>
            <w:vAlign w:val="center"/>
          </w:tcPr>
          <w:p w14:paraId="22304217">
            <w:pPr>
              <w:jc w:val="center"/>
              <w:rPr>
                <w:color w:val="auto"/>
                <w:highlight w:val="none"/>
              </w:rPr>
            </w:pPr>
            <w:r>
              <w:rPr>
                <w:rFonts w:hint="eastAsia"/>
                <w:color w:val="auto"/>
                <w:highlight w:val="none"/>
              </w:rPr>
              <w:t>产品名称</w:t>
            </w:r>
          </w:p>
        </w:tc>
        <w:tc>
          <w:tcPr>
            <w:tcW w:w="1369" w:type="pct"/>
            <w:tcBorders>
              <w:top w:val="single" w:color="000000" w:sz="4" w:space="0"/>
              <w:left w:val="single" w:color="000000" w:sz="4" w:space="0"/>
              <w:right w:val="single" w:color="auto" w:sz="4" w:space="0"/>
            </w:tcBorders>
            <w:vAlign w:val="center"/>
          </w:tcPr>
          <w:p w14:paraId="710D1285">
            <w:pPr>
              <w:jc w:val="center"/>
              <w:rPr>
                <w:color w:val="auto"/>
                <w:highlight w:val="none"/>
              </w:rPr>
            </w:pPr>
            <w:r>
              <w:rPr>
                <w:rFonts w:hint="eastAsia"/>
                <w:color w:val="auto"/>
                <w:highlight w:val="none"/>
              </w:rPr>
              <w:t>品牌型号</w:t>
            </w:r>
          </w:p>
        </w:tc>
        <w:tc>
          <w:tcPr>
            <w:tcW w:w="1012" w:type="pct"/>
            <w:tcBorders>
              <w:top w:val="single" w:color="000000" w:sz="4" w:space="0"/>
              <w:left w:val="single" w:color="auto" w:sz="4" w:space="0"/>
              <w:right w:val="single" w:color="000000" w:sz="4" w:space="0"/>
            </w:tcBorders>
            <w:vAlign w:val="center"/>
          </w:tcPr>
          <w:p w14:paraId="4958F428">
            <w:pPr>
              <w:jc w:val="center"/>
              <w:rPr>
                <w:color w:val="auto"/>
                <w:highlight w:val="none"/>
              </w:rPr>
            </w:pPr>
            <w:r>
              <w:rPr>
                <w:rFonts w:hint="eastAsia"/>
                <w:color w:val="auto"/>
                <w:highlight w:val="none"/>
              </w:rPr>
              <w:t>规格参数</w:t>
            </w:r>
          </w:p>
        </w:tc>
        <w:tc>
          <w:tcPr>
            <w:tcW w:w="539" w:type="pct"/>
            <w:tcBorders>
              <w:top w:val="single" w:color="000000" w:sz="4" w:space="0"/>
              <w:left w:val="single" w:color="000000" w:sz="4" w:space="0"/>
              <w:right w:val="single" w:color="000000" w:sz="4" w:space="0"/>
            </w:tcBorders>
            <w:vAlign w:val="center"/>
          </w:tcPr>
          <w:p w14:paraId="1305752D">
            <w:pPr>
              <w:jc w:val="center"/>
              <w:rPr>
                <w:color w:val="auto"/>
                <w:highlight w:val="none"/>
              </w:rPr>
            </w:pPr>
            <w:r>
              <w:rPr>
                <w:rFonts w:hint="eastAsia"/>
                <w:color w:val="auto"/>
                <w:highlight w:val="none"/>
              </w:rPr>
              <w:t>制造商</w:t>
            </w:r>
          </w:p>
        </w:tc>
        <w:tc>
          <w:tcPr>
            <w:tcW w:w="346" w:type="pct"/>
            <w:tcBorders>
              <w:top w:val="single" w:color="000000" w:sz="4" w:space="0"/>
              <w:left w:val="single" w:color="000000" w:sz="4" w:space="0"/>
              <w:right w:val="single" w:color="000000" w:sz="4" w:space="0"/>
            </w:tcBorders>
            <w:vAlign w:val="center"/>
          </w:tcPr>
          <w:p w14:paraId="1AE05665">
            <w:pPr>
              <w:jc w:val="center"/>
              <w:rPr>
                <w:color w:val="auto"/>
                <w:highlight w:val="none"/>
              </w:rPr>
            </w:pPr>
            <w:r>
              <w:rPr>
                <w:rFonts w:hint="eastAsia"/>
                <w:color w:val="auto"/>
                <w:highlight w:val="none"/>
              </w:rPr>
              <w:t>产地</w:t>
            </w:r>
          </w:p>
        </w:tc>
        <w:tc>
          <w:tcPr>
            <w:tcW w:w="229" w:type="pct"/>
            <w:tcBorders>
              <w:top w:val="single" w:color="000000" w:sz="4" w:space="0"/>
              <w:left w:val="single" w:color="000000" w:sz="4" w:space="0"/>
              <w:right w:val="single" w:color="000000" w:sz="4" w:space="0"/>
            </w:tcBorders>
            <w:vAlign w:val="center"/>
          </w:tcPr>
          <w:p w14:paraId="68A254DD">
            <w:pPr>
              <w:jc w:val="center"/>
              <w:rPr>
                <w:color w:val="auto"/>
                <w:highlight w:val="none"/>
              </w:rPr>
            </w:pPr>
            <w:r>
              <w:rPr>
                <w:rFonts w:hint="eastAsia"/>
                <w:color w:val="auto"/>
                <w:highlight w:val="none"/>
              </w:rPr>
              <w:t>单位</w:t>
            </w:r>
          </w:p>
        </w:tc>
        <w:tc>
          <w:tcPr>
            <w:tcW w:w="190" w:type="pct"/>
            <w:tcBorders>
              <w:top w:val="single" w:color="000000" w:sz="4" w:space="0"/>
              <w:left w:val="single" w:color="000000" w:sz="4" w:space="0"/>
              <w:right w:val="single" w:color="000000" w:sz="4" w:space="0"/>
            </w:tcBorders>
            <w:vAlign w:val="center"/>
          </w:tcPr>
          <w:p w14:paraId="7B45F793">
            <w:pPr>
              <w:jc w:val="center"/>
              <w:rPr>
                <w:color w:val="auto"/>
                <w:highlight w:val="none"/>
              </w:rPr>
            </w:pPr>
            <w:r>
              <w:rPr>
                <w:rFonts w:hint="eastAsia"/>
                <w:color w:val="auto"/>
                <w:highlight w:val="none"/>
              </w:rPr>
              <w:t>数量</w:t>
            </w:r>
          </w:p>
        </w:tc>
        <w:tc>
          <w:tcPr>
            <w:tcW w:w="256" w:type="pct"/>
            <w:tcBorders>
              <w:top w:val="single" w:color="000000" w:sz="4" w:space="0"/>
              <w:left w:val="single" w:color="000000" w:sz="4" w:space="0"/>
              <w:right w:val="single" w:color="000000" w:sz="4" w:space="0"/>
            </w:tcBorders>
            <w:vAlign w:val="center"/>
          </w:tcPr>
          <w:p w14:paraId="4EA28E75">
            <w:pPr>
              <w:jc w:val="center"/>
              <w:rPr>
                <w:color w:val="auto"/>
                <w:highlight w:val="none"/>
              </w:rPr>
            </w:pPr>
            <w:r>
              <w:rPr>
                <w:rFonts w:hint="eastAsia"/>
                <w:color w:val="auto"/>
                <w:highlight w:val="none"/>
              </w:rPr>
              <w:t>单价（元）</w:t>
            </w:r>
          </w:p>
        </w:tc>
        <w:tc>
          <w:tcPr>
            <w:tcW w:w="263" w:type="pct"/>
            <w:tcBorders>
              <w:top w:val="single" w:color="000000" w:sz="4" w:space="0"/>
              <w:left w:val="single" w:color="000000" w:sz="4" w:space="0"/>
              <w:right w:val="single" w:color="000000" w:sz="4" w:space="0"/>
            </w:tcBorders>
            <w:vAlign w:val="center"/>
          </w:tcPr>
          <w:p w14:paraId="4A1F0CF7">
            <w:pPr>
              <w:jc w:val="center"/>
              <w:rPr>
                <w:color w:val="auto"/>
                <w:highlight w:val="none"/>
              </w:rPr>
            </w:pPr>
            <w:r>
              <w:rPr>
                <w:rFonts w:hint="eastAsia"/>
                <w:color w:val="auto"/>
                <w:highlight w:val="none"/>
              </w:rPr>
              <w:t>合价（元）</w:t>
            </w:r>
          </w:p>
        </w:tc>
        <w:tc>
          <w:tcPr>
            <w:tcW w:w="156" w:type="pct"/>
            <w:tcBorders>
              <w:top w:val="single" w:color="000000" w:sz="4" w:space="0"/>
              <w:left w:val="single" w:color="000000" w:sz="4" w:space="0"/>
            </w:tcBorders>
            <w:vAlign w:val="center"/>
          </w:tcPr>
          <w:p w14:paraId="5DF51053">
            <w:pPr>
              <w:jc w:val="center"/>
              <w:rPr>
                <w:color w:val="auto"/>
                <w:highlight w:val="none"/>
              </w:rPr>
            </w:pPr>
            <w:r>
              <w:rPr>
                <w:rFonts w:hint="eastAsia"/>
                <w:color w:val="auto"/>
                <w:highlight w:val="none"/>
              </w:rPr>
              <w:t>备注</w:t>
            </w:r>
          </w:p>
        </w:tc>
      </w:tr>
      <w:tr w14:paraId="63DD0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277" w:type="pct"/>
            <w:vAlign w:val="center"/>
          </w:tcPr>
          <w:p w14:paraId="06DC7A40">
            <w:pPr>
              <w:jc w:val="center"/>
              <w:rPr>
                <w:color w:val="auto"/>
                <w:highlight w:val="none"/>
                <w:lang w:val="en-US"/>
              </w:rPr>
            </w:pPr>
            <w:r>
              <w:rPr>
                <w:rFonts w:hint="eastAsia"/>
                <w:color w:val="auto"/>
                <w:highlight w:val="none"/>
                <w:lang w:val="en-US"/>
              </w:rPr>
              <w:t>1</w:t>
            </w:r>
          </w:p>
        </w:tc>
        <w:tc>
          <w:tcPr>
            <w:tcW w:w="359" w:type="pct"/>
            <w:vAlign w:val="center"/>
          </w:tcPr>
          <w:p w14:paraId="5CB2FF0F">
            <w:pPr>
              <w:jc w:val="center"/>
              <w:rPr>
                <w:color w:val="auto"/>
                <w:highlight w:val="none"/>
              </w:rPr>
            </w:pPr>
          </w:p>
        </w:tc>
        <w:tc>
          <w:tcPr>
            <w:tcW w:w="1369" w:type="pct"/>
            <w:tcBorders>
              <w:top w:val="single" w:color="auto" w:sz="4" w:space="0"/>
              <w:right w:val="single" w:color="auto" w:sz="4" w:space="0"/>
            </w:tcBorders>
            <w:vAlign w:val="center"/>
          </w:tcPr>
          <w:p w14:paraId="1BC99B49">
            <w:pPr>
              <w:jc w:val="center"/>
              <w:rPr>
                <w:color w:val="auto"/>
                <w:highlight w:val="none"/>
              </w:rPr>
            </w:pPr>
          </w:p>
        </w:tc>
        <w:tc>
          <w:tcPr>
            <w:tcW w:w="1012" w:type="pct"/>
            <w:tcBorders>
              <w:top w:val="single" w:color="auto" w:sz="4" w:space="0"/>
              <w:left w:val="single" w:color="auto" w:sz="4" w:space="0"/>
            </w:tcBorders>
            <w:vAlign w:val="center"/>
          </w:tcPr>
          <w:p w14:paraId="6773B2CD">
            <w:pPr>
              <w:jc w:val="center"/>
              <w:rPr>
                <w:color w:val="auto"/>
                <w:highlight w:val="none"/>
              </w:rPr>
            </w:pPr>
          </w:p>
        </w:tc>
        <w:tc>
          <w:tcPr>
            <w:tcW w:w="539" w:type="pct"/>
            <w:vAlign w:val="center"/>
          </w:tcPr>
          <w:p w14:paraId="25DE2C62">
            <w:pPr>
              <w:jc w:val="center"/>
              <w:rPr>
                <w:color w:val="auto"/>
                <w:highlight w:val="none"/>
              </w:rPr>
            </w:pPr>
          </w:p>
        </w:tc>
        <w:tc>
          <w:tcPr>
            <w:tcW w:w="346" w:type="pct"/>
            <w:vAlign w:val="center"/>
          </w:tcPr>
          <w:p w14:paraId="63F54716">
            <w:pPr>
              <w:jc w:val="center"/>
              <w:rPr>
                <w:color w:val="auto"/>
                <w:highlight w:val="none"/>
              </w:rPr>
            </w:pPr>
          </w:p>
        </w:tc>
        <w:tc>
          <w:tcPr>
            <w:tcW w:w="229" w:type="pct"/>
            <w:vAlign w:val="center"/>
          </w:tcPr>
          <w:p w14:paraId="4AC4B282">
            <w:pPr>
              <w:jc w:val="center"/>
              <w:rPr>
                <w:color w:val="auto"/>
                <w:highlight w:val="none"/>
              </w:rPr>
            </w:pPr>
          </w:p>
        </w:tc>
        <w:tc>
          <w:tcPr>
            <w:tcW w:w="190" w:type="pct"/>
            <w:vAlign w:val="center"/>
          </w:tcPr>
          <w:p w14:paraId="044E910B">
            <w:pPr>
              <w:jc w:val="center"/>
              <w:rPr>
                <w:color w:val="auto"/>
                <w:highlight w:val="none"/>
              </w:rPr>
            </w:pPr>
          </w:p>
        </w:tc>
        <w:tc>
          <w:tcPr>
            <w:tcW w:w="256" w:type="pct"/>
            <w:vAlign w:val="center"/>
          </w:tcPr>
          <w:p w14:paraId="367B6FAC">
            <w:pPr>
              <w:jc w:val="center"/>
              <w:rPr>
                <w:color w:val="auto"/>
                <w:highlight w:val="none"/>
              </w:rPr>
            </w:pPr>
          </w:p>
        </w:tc>
        <w:tc>
          <w:tcPr>
            <w:tcW w:w="263" w:type="pct"/>
            <w:vAlign w:val="center"/>
          </w:tcPr>
          <w:p w14:paraId="458D2AC6">
            <w:pPr>
              <w:jc w:val="center"/>
              <w:rPr>
                <w:color w:val="auto"/>
                <w:highlight w:val="none"/>
              </w:rPr>
            </w:pPr>
          </w:p>
        </w:tc>
        <w:tc>
          <w:tcPr>
            <w:tcW w:w="156" w:type="pct"/>
            <w:vAlign w:val="center"/>
          </w:tcPr>
          <w:p w14:paraId="38C921C2">
            <w:pPr>
              <w:jc w:val="center"/>
              <w:rPr>
                <w:color w:val="auto"/>
                <w:highlight w:val="none"/>
              </w:rPr>
            </w:pPr>
          </w:p>
        </w:tc>
      </w:tr>
      <w:tr w14:paraId="0EDF0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277" w:type="pct"/>
            <w:vAlign w:val="center"/>
          </w:tcPr>
          <w:p w14:paraId="535ABA30">
            <w:pPr>
              <w:jc w:val="center"/>
              <w:rPr>
                <w:color w:val="auto"/>
                <w:highlight w:val="none"/>
                <w:lang w:val="en-US"/>
              </w:rPr>
            </w:pPr>
            <w:r>
              <w:rPr>
                <w:rFonts w:hint="eastAsia"/>
                <w:color w:val="auto"/>
                <w:highlight w:val="none"/>
                <w:lang w:val="en-US"/>
              </w:rPr>
              <w:t>2</w:t>
            </w:r>
          </w:p>
        </w:tc>
        <w:tc>
          <w:tcPr>
            <w:tcW w:w="359" w:type="pct"/>
            <w:vAlign w:val="center"/>
          </w:tcPr>
          <w:p w14:paraId="2BC97DBA">
            <w:pPr>
              <w:jc w:val="center"/>
              <w:rPr>
                <w:color w:val="auto"/>
                <w:highlight w:val="none"/>
              </w:rPr>
            </w:pPr>
          </w:p>
        </w:tc>
        <w:tc>
          <w:tcPr>
            <w:tcW w:w="1369" w:type="pct"/>
            <w:tcBorders>
              <w:top w:val="single" w:color="auto" w:sz="4" w:space="0"/>
              <w:right w:val="single" w:color="auto" w:sz="4" w:space="0"/>
            </w:tcBorders>
            <w:vAlign w:val="center"/>
          </w:tcPr>
          <w:p w14:paraId="2D809E05">
            <w:pPr>
              <w:jc w:val="center"/>
              <w:rPr>
                <w:color w:val="auto"/>
                <w:highlight w:val="none"/>
              </w:rPr>
            </w:pPr>
          </w:p>
        </w:tc>
        <w:tc>
          <w:tcPr>
            <w:tcW w:w="1012" w:type="pct"/>
            <w:tcBorders>
              <w:top w:val="single" w:color="auto" w:sz="4" w:space="0"/>
              <w:left w:val="single" w:color="auto" w:sz="4" w:space="0"/>
            </w:tcBorders>
            <w:vAlign w:val="center"/>
          </w:tcPr>
          <w:p w14:paraId="01BAEEB9">
            <w:pPr>
              <w:jc w:val="center"/>
              <w:rPr>
                <w:color w:val="auto"/>
                <w:highlight w:val="none"/>
              </w:rPr>
            </w:pPr>
          </w:p>
        </w:tc>
        <w:tc>
          <w:tcPr>
            <w:tcW w:w="539" w:type="pct"/>
            <w:vAlign w:val="center"/>
          </w:tcPr>
          <w:p w14:paraId="05B1C86E">
            <w:pPr>
              <w:jc w:val="center"/>
              <w:rPr>
                <w:color w:val="auto"/>
                <w:highlight w:val="none"/>
              </w:rPr>
            </w:pPr>
          </w:p>
        </w:tc>
        <w:tc>
          <w:tcPr>
            <w:tcW w:w="346" w:type="pct"/>
            <w:vAlign w:val="center"/>
          </w:tcPr>
          <w:p w14:paraId="5EB81AB1">
            <w:pPr>
              <w:jc w:val="center"/>
              <w:rPr>
                <w:color w:val="auto"/>
                <w:highlight w:val="none"/>
              </w:rPr>
            </w:pPr>
          </w:p>
        </w:tc>
        <w:tc>
          <w:tcPr>
            <w:tcW w:w="229" w:type="pct"/>
            <w:vAlign w:val="center"/>
          </w:tcPr>
          <w:p w14:paraId="15BF194E">
            <w:pPr>
              <w:jc w:val="center"/>
              <w:rPr>
                <w:color w:val="auto"/>
                <w:highlight w:val="none"/>
              </w:rPr>
            </w:pPr>
          </w:p>
        </w:tc>
        <w:tc>
          <w:tcPr>
            <w:tcW w:w="190" w:type="pct"/>
            <w:vAlign w:val="center"/>
          </w:tcPr>
          <w:p w14:paraId="3BCA9650">
            <w:pPr>
              <w:jc w:val="center"/>
              <w:rPr>
                <w:color w:val="auto"/>
                <w:highlight w:val="none"/>
              </w:rPr>
            </w:pPr>
          </w:p>
        </w:tc>
        <w:tc>
          <w:tcPr>
            <w:tcW w:w="256" w:type="pct"/>
            <w:vAlign w:val="center"/>
          </w:tcPr>
          <w:p w14:paraId="67A2550D">
            <w:pPr>
              <w:jc w:val="center"/>
              <w:rPr>
                <w:color w:val="auto"/>
                <w:highlight w:val="none"/>
              </w:rPr>
            </w:pPr>
          </w:p>
        </w:tc>
        <w:tc>
          <w:tcPr>
            <w:tcW w:w="263" w:type="pct"/>
            <w:vAlign w:val="center"/>
          </w:tcPr>
          <w:p w14:paraId="5B7378C2">
            <w:pPr>
              <w:jc w:val="center"/>
              <w:rPr>
                <w:color w:val="auto"/>
                <w:highlight w:val="none"/>
              </w:rPr>
            </w:pPr>
          </w:p>
        </w:tc>
        <w:tc>
          <w:tcPr>
            <w:tcW w:w="156" w:type="pct"/>
            <w:vAlign w:val="center"/>
          </w:tcPr>
          <w:p w14:paraId="05511E9F">
            <w:pPr>
              <w:jc w:val="center"/>
              <w:rPr>
                <w:color w:val="auto"/>
                <w:highlight w:val="none"/>
              </w:rPr>
            </w:pPr>
          </w:p>
        </w:tc>
      </w:tr>
      <w:tr w14:paraId="6AF03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277" w:type="pct"/>
            <w:vAlign w:val="center"/>
          </w:tcPr>
          <w:p w14:paraId="3026AFD8">
            <w:pPr>
              <w:jc w:val="center"/>
              <w:rPr>
                <w:color w:val="auto"/>
                <w:highlight w:val="none"/>
              </w:rPr>
            </w:pPr>
          </w:p>
        </w:tc>
        <w:tc>
          <w:tcPr>
            <w:tcW w:w="359" w:type="pct"/>
            <w:vAlign w:val="center"/>
          </w:tcPr>
          <w:p w14:paraId="5CDDD1B0">
            <w:pPr>
              <w:jc w:val="center"/>
              <w:rPr>
                <w:color w:val="auto"/>
                <w:highlight w:val="none"/>
              </w:rPr>
            </w:pPr>
            <w:r>
              <w:rPr>
                <w:rFonts w:hint="eastAsia"/>
                <w:color w:val="auto"/>
                <w:highlight w:val="none"/>
              </w:rPr>
              <w:t>总价</w:t>
            </w:r>
          </w:p>
        </w:tc>
        <w:tc>
          <w:tcPr>
            <w:tcW w:w="4362" w:type="pct"/>
            <w:gridSpan w:val="9"/>
            <w:vAlign w:val="center"/>
          </w:tcPr>
          <w:p w14:paraId="32B50D4A">
            <w:pPr>
              <w:jc w:val="center"/>
              <w:rPr>
                <w:color w:val="auto"/>
                <w:highlight w:val="none"/>
              </w:rPr>
            </w:pPr>
            <w:r>
              <w:rPr>
                <w:rFonts w:hint="eastAsia"/>
                <w:color w:val="auto"/>
                <w:highlight w:val="none"/>
              </w:rPr>
              <w:t>¥：（元）（大写：）</w:t>
            </w:r>
          </w:p>
        </w:tc>
      </w:tr>
    </w:tbl>
    <w:p w14:paraId="58DEE50F">
      <w:pPr>
        <w:rPr>
          <w:rFonts w:ascii="黑体" w:eastAsia="黑体"/>
          <w:color w:val="auto"/>
          <w:sz w:val="24"/>
          <w:szCs w:val="24"/>
          <w:highlight w:val="none"/>
        </w:rPr>
      </w:pPr>
    </w:p>
    <w:p w14:paraId="515C62E4">
      <w:pPr>
        <w:pStyle w:val="37"/>
        <w:spacing w:line="720" w:lineRule="auto"/>
        <w:ind w:firstLine="560"/>
        <w:rPr>
          <w:color w:val="auto"/>
          <w:sz w:val="22"/>
          <w:szCs w:val="22"/>
          <w:highlight w:val="none"/>
        </w:rPr>
      </w:pPr>
      <w:r>
        <w:rPr>
          <w:rFonts w:hint="eastAsia"/>
          <w:color w:val="auto"/>
          <w:sz w:val="22"/>
          <w:szCs w:val="22"/>
          <w:highlight w:val="none"/>
        </w:rPr>
        <w:t>项目由需求部门组织实施。</w:t>
      </w:r>
    </w:p>
    <w:p w14:paraId="3E6EB605">
      <w:pPr>
        <w:ind w:firstLine="720" w:firstLineChars="300"/>
        <w:rPr>
          <w:rFonts w:ascii="黑体" w:eastAsia="黑体"/>
          <w:color w:val="auto"/>
          <w:sz w:val="24"/>
          <w:szCs w:val="24"/>
          <w:highlight w:val="none"/>
          <w:lang w:val="en-US"/>
        </w:rPr>
      </w:pPr>
    </w:p>
    <w:p w14:paraId="751534F7">
      <w:pPr>
        <w:ind w:firstLine="720" w:firstLineChars="300"/>
        <w:rPr>
          <w:rFonts w:ascii="黑体" w:eastAsia="黑体"/>
          <w:color w:val="auto"/>
          <w:sz w:val="24"/>
          <w:szCs w:val="24"/>
          <w:highlight w:val="none"/>
          <w:lang w:val="en-US"/>
        </w:rPr>
      </w:pPr>
    </w:p>
    <w:p w14:paraId="05AE982B">
      <w:pPr>
        <w:ind w:firstLine="720" w:firstLineChars="300"/>
        <w:rPr>
          <w:rFonts w:ascii="黑体" w:eastAsia="黑体"/>
          <w:color w:val="auto"/>
          <w:sz w:val="24"/>
          <w:szCs w:val="24"/>
          <w:highlight w:val="none"/>
          <w:lang w:val="en-US"/>
        </w:rPr>
      </w:pPr>
    </w:p>
    <w:p w14:paraId="6030F9DE">
      <w:pPr>
        <w:ind w:firstLine="720" w:firstLineChars="300"/>
        <w:rPr>
          <w:rFonts w:ascii="黑体" w:eastAsia="黑体"/>
          <w:color w:val="auto"/>
          <w:sz w:val="24"/>
          <w:szCs w:val="24"/>
          <w:highlight w:val="none"/>
          <w:lang w:val="en-US"/>
        </w:rPr>
        <w:sectPr>
          <w:headerReference r:id="rId11" w:type="default"/>
          <w:footerReference r:id="rId12" w:type="default"/>
          <w:pgSz w:w="16838" w:h="11906" w:orient="landscape"/>
          <w:pgMar w:top="1531" w:right="1418" w:bottom="1134" w:left="1440" w:header="851" w:footer="992" w:gutter="0"/>
          <w:cols w:space="720" w:num="1"/>
          <w:docGrid w:type="lines" w:linePitch="312" w:charSpace="0"/>
        </w:sectPr>
      </w:pPr>
    </w:p>
    <w:p w14:paraId="68239E5C">
      <w:pPr>
        <w:rPr>
          <w:b/>
          <w:color w:val="auto"/>
          <w:sz w:val="28"/>
          <w:szCs w:val="28"/>
          <w:highlight w:val="none"/>
        </w:rPr>
      </w:pPr>
      <w:r>
        <w:rPr>
          <w:rFonts w:hint="eastAsia"/>
          <w:b/>
          <w:color w:val="auto"/>
          <w:sz w:val="28"/>
          <w:szCs w:val="28"/>
          <w:highlight w:val="none"/>
        </w:rPr>
        <w:t>附件二：</w:t>
      </w:r>
    </w:p>
    <w:p w14:paraId="1E0A2E13">
      <w:pPr>
        <w:jc w:val="center"/>
        <w:rPr>
          <w:rFonts w:ascii="黑体" w:eastAsia="黑体"/>
          <w:color w:val="auto"/>
          <w:kern w:val="2"/>
          <w:szCs w:val="28"/>
          <w:highlight w:val="none"/>
        </w:rPr>
      </w:pPr>
      <w:r>
        <w:rPr>
          <w:rFonts w:hint="eastAsia"/>
          <w:color w:val="auto"/>
          <w:sz w:val="28"/>
          <w:szCs w:val="28"/>
          <w:highlight w:val="none"/>
        </w:rPr>
        <w:t>售后服务计划及优惠承诺</w:t>
      </w:r>
    </w:p>
    <w:p w14:paraId="3BB2A70B">
      <w:pPr>
        <w:pStyle w:val="16"/>
        <w:ind w:firstLine="210"/>
        <w:rPr>
          <w:color w:val="auto"/>
          <w:highlight w:val="none"/>
        </w:rPr>
      </w:pPr>
    </w:p>
    <w:p w14:paraId="3CD4028A">
      <w:pPr>
        <w:pStyle w:val="16"/>
        <w:ind w:firstLine="210"/>
        <w:rPr>
          <w:color w:val="auto"/>
          <w:highlight w:val="none"/>
        </w:rPr>
      </w:pPr>
    </w:p>
    <w:p w14:paraId="54186437">
      <w:pPr>
        <w:ind w:left="-187" w:leftChars="-85" w:firstLine="216" w:firstLineChars="49"/>
        <w:jc w:val="center"/>
        <w:rPr>
          <w:rFonts w:ascii="黑体" w:eastAsia="黑体"/>
          <w:b/>
          <w:color w:val="auto"/>
          <w:sz w:val="44"/>
          <w:szCs w:val="44"/>
          <w:highlight w:val="none"/>
        </w:rPr>
      </w:pPr>
    </w:p>
    <w:p w14:paraId="75CC31DA">
      <w:pPr>
        <w:ind w:left="-187" w:leftChars="-85" w:firstLine="216" w:firstLineChars="49"/>
        <w:jc w:val="center"/>
        <w:rPr>
          <w:rFonts w:ascii="黑体" w:eastAsia="黑体"/>
          <w:b/>
          <w:color w:val="auto"/>
          <w:sz w:val="44"/>
          <w:szCs w:val="44"/>
          <w:highlight w:val="none"/>
        </w:rPr>
      </w:pPr>
    </w:p>
    <w:p w14:paraId="0338548D">
      <w:pPr>
        <w:ind w:left="-187" w:leftChars="-85" w:firstLine="216" w:firstLineChars="49"/>
        <w:jc w:val="center"/>
        <w:rPr>
          <w:rFonts w:ascii="黑体" w:eastAsia="黑体"/>
          <w:b/>
          <w:color w:val="auto"/>
          <w:sz w:val="44"/>
          <w:szCs w:val="44"/>
          <w:highlight w:val="none"/>
        </w:rPr>
      </w:pPr>
    </w:p>
    <w:p w14:paraId="49CBB538">
      <w:pPr>
        <w:ind w:left="-187" w:leftChars="-85" w:firstLine="216" w:firstLineChars="49"/>
        <w:jc w:val="center"/>
        <w:rPr>
          <w:rFonts w:ascii="黑体" w:eastAsia="黑体"/>
          <w:b/>
          <w:color w:val="auto"/>
          <w:sz w:val="44"/>
          <w:szCs w:val="44"/>
          <w:highlight w:val="none"/>
        </w:rPr>
      </w:pPr>
    </w:p>
    <w:p w14:paraId="3B6FB516">
      <w:pPr>
        <w:ind w:left="-187" w:leftChars="-85" w:firstLine="216" w:firstLineChars="49"/>
        <w:jc w:val="center"/>
        <w:rPr>
          <w:rFonts w:ascii="黑体" w:eastAsia="黑体"/>
          <w:b/>
          <w:color w:val="auto"/>
          <w:sz w:val="44"/>
          <w:szCs w:val="44"/>
          <w:highlight w:val="none"/>
        </w:rPr>
      </w:pPr>
    </w:p>
    <w:p w14:paraId="0195E0CA">
      <w:pPr>
        <w:ind w:left="-187" w:leftChars="-85" w:firstLine="216" w:firstLineChars="49"/>
        <w:jc w:val="center"/>
        <w:rPr>
          <w:rFonts w:ascii="黑体" w:eastAsia="黑体"/>
          <w:b/>
          <w:color w:val="auto"/>
          <w:sz w:val="44"/>
          <w:szCs w:val="44"/>
          <w:highlight w:val="none"/>
        </w:rPr>
      </w:pPr>
    </w:p>
    <w:p w14:paraId="62A41134">
      <w:pPr>
        <w:ind w:left="-187" w:leftChars="-85" w:firstLine="216" w:firstLineChars="49"/>
        <w:jc w:val="center"/>
        <w:rPr>
          <w:rFonts w:ascii="黑体" w:eastAsia="黑体"/>
          <w:b/>
          <w:color w:val="auto"/>
          <w:sz w:val="44"/>
          <w:szCs w:val="44"/>
          <w:highlight w:val="none"/>
        </w:rPr>
      </w:pPr>
    </w:p>
    <w:p w14:paraId="5964BC9C">
      <w:pPr>
        <w:ind w:left="-187" w:leftChars="-85" w:firstLine="216" w:firstLineChars="49"/>
        <w:jc w:val="center"/>
        <w:rPr>
          <w:rFonts w:ascii="黑体" w:eastAsia="黑体"/>
          <w:b/>
          <w:color w:val="auto"/>
          <w:sz w:val="44"/>
          <w:szCs w:val="44"/>
          <w:highlight w:val="none"/>
        </w:rPr>
      </w:pPr>
    </w:p>
    <w:p w14:paraId="3508E83A">
      <w:pPr>
        <w:ind w:left="-187" w:leftChars="-85" w:firstLine="216" w:firstLineChars="49"/>
        <w:jc w:val="center"/>
        <w:rPr>
          <w:rFonts w:ascii="黑体" w:eastAsia="黑体"/>
          <w:b/>
          <w:color w:val="auto"/>
          <w:sz w:val="44"/>
          <w:szCs w:val="44"/>
          <w:highlight w:val="none"/>
        </w:rPr>
      </w:pPr>
    </w:p>
    <w:p w14:paraId="2EBFD240">
      <w:pPr>
        <w:ind w:left="-187" w:leftChars="-85" w:firstLine="216" w:firstLineChars="49"/>
        <w:jc w:val="center"/>
        <w:rPr>
          <w:rFonts w:ascii="黑体" w:eastAsia="黑体"/>
          <w:b/>
          <w:color w:val="auto"/>
          <w:sz w:val="44"/>
          <w:szCs w:val="44"/>
          <w:highlight w:val="none"/>
        </w:rPr>
      </w:pPr>
    </w:p>
    <w:p w14:paraId="7300B3D3">
      <w:pPr>
        <w:ind w:left="-187" w:leftChars="-85" w:firstLine="216" w:firstLineChars="49"/>
        <w:jc w:val="center"/>
        <w:rPr>
          <w:rFonts w:ascii="黑体" w:eastAsia="黑体"/>
          <w:b/>
          <w:color w:val="auto"/>
          <w:sz w:val="44"/>
          <w:szCs w:val="44"/>
          <w:highlight w:val="none"/>
        </w:rPr>
      </w:pPr>
    </w:p>
    <w:p w14:paraId="1994A0C6">
      <w:pPr>
        <w:ind w:left="-187" w:leftChars="-85" w:firstLine="216" w:firstLineChars="49"/>
        <w:jc w:val="center"/>
        <w:rPr>
          <w:rFonts w:ascii="黑体" w:eastAsia="黑体"/>
          <w:b/>
          <w:color w:val="auto"/>
          <w:sz w:val="44"/>
          <w:szCs w:val="44"/>
          <w:highlight w:val="none"/>
        </w:rPr>
      </w:pPr>
    </w:p>
    <w:p w14:paraId="052CE0DC">
      <w:pPr>
        <w:ind w:left="-187" w:leftChars="-85" w:firstLine="216" w:firstLineChars="49"/>
        <w:jc w:val="center"/>
        <w:rPr>
          <w:rFonts w:ascii="黑体" w:eastAsia="黑体"/>
          <w:b/>
          <w:color w:val="auto"/>
          <w:sz w:val="44"/>
          <w:szCs w:val="44"/>
          <w:highlight w:val="none"/>
        </w:rPr>
      </w:pPr>
    </w:p>
    <w:p w14:paraId="0893BC8A">
      <w:pPr>
        <w:rPr>
          <w:color w:val="auto"/>
          <w:highlight w:val="none"/>
        </w:rPr>
      </w:pPr>
    </w:p>
    <w:p w14:paraId="70F591F8">
      <w:pPr>
        <w:pStyle w:val="4"/>
        <w:spacing w:line="360" w:lineRule="auto"/>
        <w:ind w:firstLine="659" w:firstLineChars="314"/>
        <w:rPr>
          <w:color w:val="auto"/>
          <w:sz w:val="21"/>
          <w:szCs w:val="21"/>
          <w:highlight w:val="none"/>
        </w:rPr>
      </w:pPr>
    </w:p>
    <w:p w14:paraId="2C2CB688">
      <w:pPr>
        <w:pStyle w:val="4"/>
        <w:rPr>
          <w:color w:val="auto"/>
          <w:highlight w:val="none"/>
        </w:rPr>
      </w:pPr>
    </w:p>
    <w:p w14:paraId="3FF92247">
      <w:pPr>
        <w:pStyle w:val="4"/>
        <w:rPr>
          <w:b/>
          <w:bCs/>
          <w:color w:val="auto"/>
          <w:szCs w:val="21"/>
          <w:highlight w:val="none"/>
        </w:rPr>
      </w:pPr>
    </w:p>
    <w:p w14:paraId="1B476AF9">
      <w:pPr>
        <w:pStyle w:val="4"/>
        <w:rPr>
          <w:b/>
          <w:bCs/>
          <w:color w:val="auto"/>
          <w:szCs w:val="21"/>
          <w:highlight w:val="none"/>
        </w:rPr>
      </w:pPr>
    </w:p>
    <w:p w14:paraId="2EA9031C">
      <w:pPr>
        <w:pStyle w:val="4"/>
        <w:rPr>
          <w:b/>
          <w:bCs/>
          <w:color w:val="auto"/>
          <w:szCs w:val="21"/>
          <w:highlight w:val="none"/>
        </w:rPr>
      </w:pPr>
    </w:p>
    <w:p w14:paraId="5B5BB856">
      <w:pPr>
        <w:pStyle w:val="4"/>
        <w:rPr>
          <w:b/>
          <w:bCs/>
          <w:color w:val="auto"/>
          <w:szCs w:val="21"/>
          <w:highlight w:val="none"/>
        </w:rPr>
      </w:pPr>
    </w:p>
    <w:p w14:paraId="2C9B4F9F">
      <w:pPr>
        <w:pStyle w:val="4"/>
        <w:rPr>
          <w:b/>
          <w:bCs/>
          <w:color w:val="auto"/>
          <w:szCs w:val="21"/>
          <w:highlight w:val="none"/>
        </w:rPr>
      </w:pPr>
    </w:p>
    <w:p w14:paraId="14EF8209">
      <w:pPr>
        <w:pStyle w:val="4"/>
        <w:rPr>
          <w:b/>
          <w:bCs/>
          <w:color w:val="auto"/>
          <w:szCs w:val="21"/>
          <w:highlight w:val="none"/>
        </w:rPr>
      </w:pPr>
    </w:p>
    <w:p w14:paraId="306B1DAF">
      <w:pPr>
        <w:pStyle w:val="4"/>
        <w:rPr>
          <w:b/>
          <w:bCs/>
          <w:color w:val="auto"/>
          <w:szCs w:val="21"/>
          <w:highlight w:val="none"/>
        </w:rPr>
      </w:pPr>
    </w:p>
    <w:p w14:paraId="0D6FFF6D">
      <w:pPr>
        <w:pStyle w:val="4"/>
        <w:rPr>
          <w:b/>
          <w:bCs/>
          <w:color w:val="auto"/>
          <w:szCs w:val="21"/>
          <w:highlight w:val="none"/>
        </w:rPr>
      </w:pPr>
    </w:p>
    <w:p w14:paraId="4E63D192">
      <w:pPr>
        <w:pStyle w:val="4"/>
        <w:rPr>
          <w:b/>
          <w:bCs/>
          <w:color w:val="auto"/>
          <w:szCs w:val="21"/>
          <w:highlight w:val="none"/>
        </w:rPr>
      </w:pPr>
    </w:p>
    <w:p w14:paraId="63F948D5">
      <w:pPr>
        <w:pStyle w:val="4"/>
        <w:rPr>
          <w:b/>
          <w:bCs/>
          <w:color w:val="auto"/>
          <w:szCs w:val="21"/>
          <w:highlight w:val="none"/>
        </w:rPr>
      </w:pPr>
    </w:p>
    <w:p w14:paraId="45770F18">
      <w:pPr>
        <w:pStyle w:val="4"/>
        <w:ind w:firstLine="422" w:firstLineChars="200"/>
        <w:rPr>
          <w:b/>
          <w:bCs/>
          <w:color w:val="auto"/>
          <w:sz w:val="21"/>
          <w:highlight w:val="none"/>
        </w:rPr>
      </w:pPr>
    </w:p>
    <w:p w14:paraId="2263B1DF">
      <w:pPr>
        <w:pStyle w:val="4"/>
        <w:ind w:firstLine="422" w:firstLineChars="200"/>
        <w:rPr>
          <w:b/>
          <w:bCs/>
          <w:color w:val="auto"/>
          <w:sz w:val="21"/>
          <w:highlight w:val="none"/>
        </w:rPr>
      </w:pPr>
    </w:p>
    <w:p w14:paraId="32F6D13F">
      <w:pPr>
        <w:pStyle w:val="4"/>
        <w:ind w:firstLine="422" w:firstLineChars="200"/>
        <w:rPr>
          <w:b/>
          <w:bCs/>
          <w:color w:val="auto"/>
          <w:sz w:val="21"/>
          <w:highlight w:val="none"/>
        </w:rPr>
      </w:pPr>
    </w:p>
    <w:p w14:paraId="78BFC212">
      <w:pPr>
        <w:pStyle w:val="4"/>
        <w:ind w:firstLine="422" w:firstLineChars="200"/>
        <w:rPr>
          <w:b/>
          <w:bCs/>
          <w:color w:val="auto"/>
          <w:sz w:val="21"/>
          <w:highlight w:val="none"/>
        </w:rPr>
      </w:pPr>
    </w:p>
    <w:p w14:paraId="6EF7E01E">
      <w:pPr>
        <w:pStyle w:val="4"/>
        <w:ind w:firstLineChars="200"/>
        <w:rPr>
          <w:color w:val="auto"/>
          <w:sz w:val="21"/>
          <w:highlight w:val="none"/>
        </w:rPr>
      </w:pPr>
    </w:p>
    <w:p w14:paraId="061124BE">
      <w:pPr>
        <w:rPr>
          <w:color w:val="auto"/>
          <w:highlight w:val="none"/>
        </w:rPr>
      </w:pPr>
      <w:r>
        <w:rPr>
          <w:color w:val="auto"/>
          <w:highlight w:val="none"/>
        </w:rPr>
        <w:br w:type="page"/>
      </w:r>
    </w:p>
    <w:p w14:paraId="56844098">
      <w:pPr>
        <w:pStyle w:val="2"/>
        <w:rPr>
          <w:color w:val="auto"/>
          <w:highlight w:val="none"/>
        </w:rPr>
      </w:pPr>
      <w:bookmarkStart w:id="100" w:name="_Toc11053"/>
      <w:bookmarkStart w:id="101" w:name="_Toc31962"/>
      <w:bookmarkStart w:id="102" w:name="_Toc12827"/>
      <w:bookmarkStart w:id="103" w:name="_Toc17275"/>
      <w:bookmarkStart w:id="104" w:name="_Toc12413"/>
      <w:bookmarkStart w:id="105" w:name="_Toc21186"/>
      <w:bookmarkStart w:id="106" w:name="_Toc26723"/>
      <w:r>
        <w:rPr>
          <w:rFonts w:hint="eastAsia"/>
          <w:color w:val="auto"/>
          <w:highlight w:val="none"/>
        </w:rPr>
        <w:t>第四章 投标文件格式</w:t>
      </w:r>
      <w:bookmarkEnd w:id="100"/>
      <w:bookmarkEnd w:id="101"/>
      <w:bookmarkEnd w:id="102"/>
      <w:bookmarkEnd w:id="103"/>
      <w:bookmarkEnd w:id="104"/>
      <w:bookmarkEnd w:id="105"/>
      <w:bookmarkEnd w:id="106"/>
    </w:p>
    <w:p w14:paraId="36D79990">
      <w:pPr>
        <w:pStyle w:val="6"/>
        <w:spacing w:before="10"/>
        <w:rPr>
          <w:b/>
          <w:color w:val="auto"/>
          <w:sz w:val="38"/>
          <w:highlight w:val="none"/>
        </w:rPr>
      </w:pPr>
    </w:p>
    <w:p w14:paraId="5019D8CE">
      <w:pPr>
        <w:spacing w:line="360" w:lineRule="auto"/>
        <w:ind w:firstLine="422" w:firstLineChars="200"/>
        <w:rPr>
          <w:b/>
          <w:color w:val="auto"/>
          <w:sz w:val="21"/>
          <w:szCs w:val="21"/>
          <w:highlight w:val="none"/>
        </w:rPr>
      </w:pPr>
      <w:r>
        <w:rPr>
          <w:rFonts w:hint="eastAsia"/>
          <w:b/>
          <w:color w:val="auto"/>
          <w:sz w:val="21"/>
          <w:szCs w:val="21"/>
          <w:highlight w:val="none"/>
        </w:rPr>
        <w:t>说明：</w:t>
      </w:r>
    </w:p>
    <w:p w14:paraId="365394D8">
      <w:pPr>
        <w:spacing w:before="31" w:line="360" w:lineRule="auto"/>
        <w:ind w:firstLine="422" w:firstLineChars="200"/>
        <w:rPr>
          <w:b/>
          <w:color w:val="auto"/>
          <w:sz w:val="21"/>
          <w:szCs w:val="21"/>
          <w:highlight w:val="none"/>
        </w:rPr>
      </w:pPr>
      <w:r>
        <w:rPr>
          <w:rFonts w:hint="eastAsia"/>
          <w:b/>
          <w:color w:val="auto"/>
          <w:sz w:val="21"/>
          <w:szCs w:val="21"/>
          <w:highlight w:val="none"/>
        </w:rPr>
        <w:t>本招标文件第四章中所提供的表格、文件格式仅供投标人在制作投标文件时的参考，不作为废标条件，投标人可适当对内容进行增减，以满足投标人的投标需求。按招标文件要求，需要法定代表人或其</w:t>
      </w:r>
      <w:r>
        <w:rPr>
          <w:rFonts w:hint="eastAsia"/>
          <w:b/>
          <w:color w:val="auto"/>
          <w:sz w:val="21"/>
          <w:szCs w:val="21"/>
          <w:highlight w:val="none"/>
          <w:lang w:eastAsia="zh-CN"/>
        </w:rPr>
        <w:t>授权委托</w:t>
      </w:r>
      <w:r>
        <w:rPr>
          <w:rFonts w:hint="eastAsia"/>
          <w:b/>
          <w:color w:val="auto"/>
          <w:sz w:val="21"/>
          <w:szCs w:val="21"/>
          <w:highlight w:val="none"/>
        </w:rPr>
        <w:t>人签字或盖章的地方以法定代表人CA密钥进行电子签章为准；需要投标人盖章的地方以企业CA密钥进行电子签章为准；需要除投标人以外第三方签字或盖章的内容，需要先对纸质文件进行实物盖章或签字后再进行扫描插入到电子投标文件中。</w:t>
      </w:r>
    </w:p>
    <w:p w14:paraId="7EAE4B90">
      <w:pPr>
        <w:rPr>
          <w:color w:val="auto"/>
          <w:sz w:val="21"/>
          <w:highlight w:val="none"/>
        </w:rPr>
      </w:pPr>
      <w:r>
        <w:rPr>
          <w:color w:val="auto"/>
          <w:sz w:val="21"/>
          <w:highlight w:val="none"/>
        </w:rPr>
        <w:br w:type="page"/>
      </w:r>
    </w:p>
    <w:p w14:paraId="39F3FCCF">
      <w:pPr>
        <w:pStyle w:val="6"/>
        <w:rPr>
          <w:b/>
          <w:color w:val="auto"/>
          <w:sz w:val="20"/>
          <w:highlight w:val="none"/>
        </w:rPr>
      </w:pPr>
    </w:p>
    <w:p w14:paraId="5C04D5F4">
      <w:pPr>
        <w:pStyle w:val="6"/>
        <w:rPr>
          <w:b/>
          <w:color w:val="auto"/>
          <w:sz w:val="36"/>
          <w:szCs w:val="36"/>
          <w:highlight w:val="none"/>
        </w:rPr>
      </w:pPr>
    </w:p>
    <w:p w14:paraId="383D26E8">
      <w:pPr>
        <w:pStyle w:val="6"/>
        <w:ind w:firstLine="2208" w:firstLineChars="611"/>
        <w:rPr>
          <w:b/>
          <w:color w:val="auto"/>
          <w:sz w:val="32"/>
          <w:highlight w:val="none"/>
          <w:lang w:val="en-US"/>
        </w:rPr>
      </w:pPr>
      <w:r>
        <w:rPr>
          <w:rFonts w:hint="eastAsia"/>
          <w:b/>
          <w:color w:val="auto"/>
          <w:sz w:val="36"/>
          <w:szCs w:val="36"/>
          <w:highlight w:val="none"/>
          <w:u w:val="single"/>
        </w:rPr>
        <w:t>项目名称</w:t>
      </w:r>
    </w:p>
    <w:p w14:paraId="7594463F">
      <w:pPr>
        <w:pStyle w:val="6"/>
        <w:rPr>
          <w:b/>
          <w:color w:val="auto"/>
          <w:sz w:val="32"/>
          <w:highlight w:val="none"/>
        </w:rPr>
      </w:pPr>
    </w:p>
    <w:p w14:paraId="3CCFF11C">
      <w:pPr>
        <w:pStyle w:val="6"/>
        <w:rPr>
          <w:b/>
          <w:color w:val="auto"/>
          <w:sz w:val="32"/>
          <w:highlight w:val="none"/>
        </w:rPr>
      </w:pPr>
    </w:p>
    <w:p w14:paraId="6FF804A5">
      <w:pPr>
        <w:pStyle w:val="6"/>
        <w:spacing w:before="11"/>
        <w:rPr>
          <w:b/>
          <w:color w:val="auto"/>
          <w:sz w:val="44"/>
          <w:highlight w:val="none"/>
        </w:rPr>
      </w:pPr>
    </w:p>
    <w:p w14:paraId="3CFDAB3E">
      <w:pPr>
        <w:jc w:val="center"/>
        <w:rPr>
          <w:b/>
          <w:color w:val="auto"/>
          <w:sz w:val="100"/>
          <w:highlight w:val="none"/>
        </w:rPr>
      </w:pPr>
      <w:r>
        <w:rPr>
          <w:rFonts w:hint="eastAsia"/>
          <w:b/>
          <w:color w:val="auto"/>
          <w:sz w:val="100"/>
          <w:highlight w:val="none"/>
        </w:rPr>
        <w:t>投标文件</w:t>
      </w:r>
    </w:p>
    <w:p w14:paraId="72B5080B">
      <w:pPr>
        <w:spacing w:before="896"/>
        <w:ind w:left="187"/>
        <w:jc w:val="center"/>
        <w:rPr>
          <w:b/>
          <w:color w:val="auto"/>
          <w:sz w:val="28"/>
          <w:highlight w:val="none"/>
        </w:rPr>
      </w:pPr>
      <w:r>
        <w:rPr>
          <w:rFonts w:hint="eastAsia"/>
          <w:b/>
          <w:color w:val="auto"/>
          <w:sz w:val="28"/>
          <w:highlight w:val="none"/>
        </w:rPr>
        <w:t>采购编号：</w:t>
      </w:r>
    </w:p>
    <w:p w14:paraId="105FBA01">
      <w:pPr>
        <w:pStyle w:val="6"/>
        <w:rPr>
          <w:b/>
          <w:color w:val="auto"/>
          <w:sz w:val="28"/>
          <w:highlight w:val="none"/>
        </w:rPr>
      </w:pPr>
    </w:p>
    <w:p w14:paraId="19B34FD1">
      <w:pPr>
        <w:pStyle w:val="6"/>
        <w:rPr>
          <w:b/>
          <w:color w:val="auto"/>
          <w:sz w:val="28"/>
          <w:highlight w:val="none"/>
        </w:rPr>
      </w:pPr>
    </w:p>
    <w:p w14:paraId="3A28F03A">
      <w:pPr>
        <w:pStyle w:val="6"/>
        <w:rPr>
          <w:b/>
          <w:color w:val="auto"/>
          <w:sz w:val="28"/>
          <w:highlight w:val="none"/>
        </w:rPr>
      </w:pPr>
    </w:p>
    <w:p w14:paraId="14230834">
      <w:pPr>
        <w:pStyle w:val="6"/>
        <w:rPr>
          <w:b/>
          <w:color w:val="auto"/>
          <w:sz w:val="28"/>
          <w:highlight w:val="none"/>
        </w:rPr>
      </w:pPr>
    </w:p>
    <w:p w14:paraId="2121A9C6">
      <w:pPr>
        <w:pStyle w:val="6"/>
        <w:rPr>
          <w:b/>
          <w:color w:val="auto"/>
          <w:sz w:val="28"/>
          <w:highlight w:val="none"/>
        </w:rPr>
      </w:pPr>
    </w:p>
    <w:p w14:paraId="20736BBF">
      <w:pPr>
        <w:pStyle w:val="6"/>
        <w:rPr>
          <w:b/>
          <w:color w:val="auto"/>
          <w:sz w:val="28"/>
          <w:highlight w:val="none"/>
        </w:rPr>
      </w:pPr>
    </w:p>
    <w:p w14:paraId="09221756">
      <w:pPr>
        <w:pStyle w:val="6"/>
        <w:rPr>
          <w:b/>
          <w:color w:val="auto"/>
          <w:sz w:val="28"/>
          <w:highlight w:val="none"/>
        </w:rPr>
      </w:pPr>
    </w:p>
    <w:p w14:paraId="0BCBF49F">
      <w:pPr>
        <w:pStyle w:val="6"/>
        <w:rPr>
          <w:b/>
          <w:color w:val="auto"/>
          <w:sz w:val="28"/>
          <w:highlight w:val="none"/>
        </w:rPr>
      </w:pPr>
    </w:p>
    <w:p w14:paraId="2B9E12FE">
      <w:pPr>
        <w:pStyle w:val="6"/>
        <w:rPr>
          <w:b/>
          <w:color w:val="auto"/>
          <w:sz w:val="28"/>
          <w:highlight w:val="none"/>
        </w:rPr>
      </w:pPr>
    </w:p>
    <w:p w14:paraId="14CA48B2">
      <w:pPr>
        <w:pStyle w:val="6"/>
        <w:rPr>
          <w:b/>
          <w:color w:val="auto"/>
          <w:sz w:val="28"/>
          <w:highlight w:val="none"/>
        </w:rPr>
      </w:pPr>
    </w:p>
    <w:p w14:paraId="2E4EA2D0">
      <w:pPr>
        <w:pStyle w:val="6"/>
        <w:rPr>
          <w:b/>
          <w:color w:val="auto"/>
          <w:sz w:val="28"/>
          <w:highlight w:val="none"/>
        </w:rPr>
      </w:pPr>
    </w:p>
    <w:p w14:paraId="03257DA8">
      <w:pPr>
        <w:pStyle w:val="6"/>
        <w:rPr>
          <w:b/>
          <w:color w:val="auto"/>
          <w:sz w:val="28"/>
          <w:highlight w:val="none"/>
        </w:rPr>
      </w:pPr>
    </w:p>
    <w:p w14:paraId="2C046052">
      <w:pPr>
        <w:pStyle w:val="6"/>
        <w:rPr>
          <w:b/>
          <w:color w:val="auto"/>
          <w:sz w:val="28"/>
          <w:highlight w:val="none"/>
        </w:rPr>
      </w:pPr>
    </w:p>
    <w:p w14:paraId="43627FC3">
      <w:pPr>
        <w:tabs>
          <w:tab w:val="left" w:pos="6432"/>
        </w:tabs>
        <w:spacing w:before="222"/>
        <w:ind w:left="1020" w:firstLine="904" w:firstLineChars="300"/>
        <w:rPr>
          <w:b/>
          <w:color w:val="auto"/>
          <w:sz w:val="30"/>
          <w:highlight w:val="none"/>
        </w:rPr>
      </w:pPr>
      <w:r>
        <w:rPr>
          <w:rFonts w:hint="eastAsia"/>
          <w:b/>
          <w:color w:val="auto"/>
          <w:sz w:val="30"/>
          <w:highlight w:val="none"/>
        </w:rPr>
        <w:t>投标人：</w:t>
      </w:r>
      <w:r>
        <w:rPr>
          <w:rFonts w:hint="eastAsia"/>
          <w:b/>
          <w:color w:val="auto"/>
          <w:sz w:val="30"/>
          <w:highlight w:val="none"/>
          <w:u w:val="single"/>
        </w:rPr>
        <w:tab/>
      </w:r>
      <w:r>
        <w:rPr>
          <w:rFonts w:hint="eastAsia"/>
          <w:b/>
          <w:color w:val="auto"/>
          <w:sz w:val="30"/>
          <w:highlight w:val="none"/>
          <w:u w:val="single"/>
        </w:rPr>
        <w:t>（盖章）</w:t>
      </w:r>
    </w:p>
    <w:p w14:paraId="5934EA27">
      <w:pPr>
        <w:pStyle w:val="6"/>
        <w:spacing w:before="5"/>
        <w:rPr>
          <w:b/>
          <w:color w:val="auto"/>
          <w:sz w:val="13"/>
          <w:highlight w:val="none"/>
        </w:rPr>
      </w:pPr>
    </w:p>
    <w:p w14:paraId="0B0E4182">
      <w:pPr>
        <w:tabs>
          <w:tab w:val="left" w:pos="5688"/>
        </w:tabs>
        <w:spacing w:before="68"/>
        <w:ind w:left="1020" w:firstLine="904" w:firstLineChars="300"/>
        <w:rPr>
          <w:b/>
          <w:color w:val="auto"/>
          <w:sz w:val="30"/>
          <w:highlight w:val="none"/>
        </w:rPr>
      </w:pPr>
      <w:r>
        <w:rPr>
          <w:rFonts w:hint="eastAsia"/>
          <w:b/>
          <w:color w:val="auto"/>
          <w:sz w:val="30"/>
          <w:highlight w:val="none"/>
        </w:rPr>
        <w:t>法定代表人或其</w:t>
      </w:r>
      <w:r>
        <w:rPr>
          <w:rFonts w:hint="eastAsia"/>
          <w:b/>
          <w:color w:val="auto"/>
          <w:sz w:val="30"/>
          <w:highlight w:val="none"/>
          <w:lang w:eastAsia="zh-CN"/>
        </w:rPr>
        <w:t>授权委托</w:t>
      </w:r>
      <w:r>
        <w:rPr>
          <w:rFonts w:hint="eastAsia"/>
          <w:b/>
          <w:color w:val="auto"/>
          <w:sz w:val="30"/>
          <w:highlight w:val="none"/>
        </w:rPr>
        <w:t>人：</w:t>
      </w:r>
      <w:r>
        <w:rPr>
          <w:rFonts w:hint="eastAsia"/>
          <w:b/>
          <w:color w:val="auto"/>
          <w:sz w:val="30"/>
          <w:highlight w:val="none"/>
          <w:u w:val="single"/>
        </w:rPr>
        <w:tab/>
      </w:r>
      <w:r>
        <w:rPr>
          <w:rFonts w:hint="eastAsia"/>
          <w:b/>
          <w:color w:val="auto"/>
          <w:sz w:val="30"/>
          <w:highlight w:val="none"/>
          <w:u w:val="single"/>
        </w:rPr>
        <w:t>（签字或盖章）</w:t>
      </w:r>
    </w:p>
    <w:p w14:paraId="46CB9B6D">
      <w:pPr>
        <w:pStyle w:val="6"/>
        <w:spacing w:before="2"/>
        <w:rPr>
          <w:b/>
          <w:color w:val="auto"/>
          <w:sz w:val="14"/>
          <w:highlight w:val="none"/>
        </w:rPr>
      </w:pPr>
    </w:p>
    <w:p w14:paraId="15908035">
      <w:pPr>
        <w:tabs>
          <w:tab w:val="left" w:pos="753"/>
          <w:tab w:val="left" w:pos="1507"/>
        </w:tabs>
        <w:spacing w:before="58"/>
        <w:ind w:right="111"/>
        <w:jc w:val="center"/>
        <w:rPr>
          <w:b/>
          <w:color w:val="auto"/>
          <w:sz w:val="30"/>
          <w:highlight w:val="none"/>
        </w:rPr>
      </w:pPr>
      <w:r>
        <w:rPr>
          <w:rFonts w:hint="eastAsia"/>
          <w:b/>
          <w:color w:val="auto"/>
          <w:sz w:val="30"/>
          <w:highlight w:val="none"/>
        </w:rPr>
        <w:t>年</w:t>
      </w:r>
      <w:r>
        <w:rPr>
          <w:rFonts w:hint="eastAsia"/>
          <w:b/>
          <w:color w:val="auto"/>
          <w:sz w:val="30"/>
          <w:highlight w:val="none"/>
          <w:lang w:val="en-US" w:eastAsia="zh-CN"/>
        </w:rPr>
        <w:t xml:space="preserve">   </w:t>
      </w:r>
      <w:r>
        <w:rPr>
          <w:rFonts w:hint="eastAsia"/>
          <w:b/>
          <w:color w:val="auto"/>
          <w:sz w:val="30"/>
          <w:highlight w:val="none"/>
        </w:rPr>
        <w:t>月</w:t>
      </w:r>
      <w:r>
        <w:rPr>
          <w:rFonts w:hint="eastAsia"/>
          <w:b/>
          <w:color w:val="auto"/>
          <w:sz w:val="30"/>
          <w:highlight w:val="none"/>
          <w:lang w:val="en-US" w:eastAsia="zh-CN"/>
        </w:rPr>
        <w:t xml:space="preserve">   </w:t>
      </w:r>
      <w:r>
        <w:rPr>
          <w:rFonts w:hint="eastAsia"/>
          <w:b/>
          <w:color w:val="auto"/>
          <w:sz w:val="30"/>
          <w:highlight w:val="none"/>
        </w:rPr>
        <w:t>日</w:t>
      </w:r>
    </w:p>
    <w:p w14:paraId="4BE87711">
      <w:pPr>
        <w:rPr>
          <w:color w:val="auto"/>
          <w:sz w:val="30"/>
          <w:highlight w:val="none"/>
        </w:rPr>
      </w:pPr>
      <w:r>
        <w:rPr>
          <w:color w:val="auto"/>
          <w:sz w:val="30"/>
          <w:highlight w:val="none"/>
        </w:rPr>
        <w:br w:type="page"/>
      </w:r>
    </w:p>
    <w:p w14:paraId="67218FC8">
      <w:pPr>
        <w:pStyle w:val="6"/>
        <w:rPr>
          <w:b/>
          <w:color w:val="auto"/>
          <w:sz w:val="20"/>
          <w:highlight w:val="none"/>
        </w:rPr>
      </w:pPr>
    </w:p>
    <w:p w14:paraId="7698E9D3">
      <w:pPr>
        <w:tabs>
          <w:tab w:val="left" w:pos="702"/>
        </w:tabs>
        <w:spacing w:before="62"/>
        <w:ind w:left="140"/>
        <w:jc w:val="center"/>
        <w:rPr>
          <w:b/>
          <w:color w:val="auto"/>
          <w:sz w:val="28"/>
          <w:highlight w:val="none"/>
        </w:rPr>
      </w:pPr>
      <w:r>
        <w:rPr>
          <w:rFonts w:hint="eastAsia"/>
          <w:b/>
          <w:color w:val="auto"/>
          <w:sz w:val="28"/>
          <w:highlight w:val="none"/>
        </w:rPr>
        <w:t>目</w:t>
      </w:r>
      <w:r>
        <w:rPr>
          <w:rFonts w:hint="eastAsia"/>
          <w:b/>
          <w:color w:val="auto"/>
          <w:sz w:val="28"/>
          <w:highlight w:val="none"/>
        </w:rPr>
        <w:tab/>
      </w:r>
      <w:r>
        <w:rPr>
          <w:rFonts w:hint="eastAsia"/>
          <w:b/>
          <w:color w:val="auto"/>
          <w:sz w:val="28"/>
          <w:highlight w:val="none"/>
        </w:rPr>
        <w:t>录</w:t>
      </w:r>
    </w:p>
    <w:p w14:paraId="033B68FE">
      <w:pPr>
        <w:spacing w:before="137"/>
        <w:ind w:left="142"/>
        <w:jc w:val="center"/>
        <w:rPr>
          <w:b/>
          <w:color w:val="auto"/>
          <w:sz w:val="24"/>
          <w:highlight w:val="none"/>
        </w:rPr>
      </w:pPr>
      <w:r>
        <w:rPr>
          <w:rFonts w:hint="eastAsia"/>
          <w:b/>
          <w:color w:val="auto"/>
          <w:sz w:val="24"/>
          <w:highlight w:val="none"/>
        </w:rPr>
        <w:t>（格式自拟）</w:t>
      </w:r>
    </w:p>
    <w:p w14:paraId="120E0B1C">
      <w:pPr>
        <w:pStyle w:val="6"/>
        <w:spacing w:before="9"/>
        <w:rPr>
          <w:b/>
          <w:color w:val="auto"/>
          <w:sz w:val="10"/>
          <w:highlight w:val="none"/>
        </w:rPr>
      </w:pPr>
    </w:p>
    <w:p w14:paraId="6E34A0CF">
      <w:pPr>
        <w:spacing w:line="360" w:lineRule="auto"/>
        <w:ind w:firstLine="440" w:firstLineChars="200"/>
        <w:rPr>
          <w:color w:val="auto"/>
          <w:highlight w:val="none"/>
        </w:rPr>
      </w:pPr>
      <w:r>
        <w:rPr>
          <w:rFonts w:hint="eastAsia"/>
          <w:color w:val="auto"/>
          <w:highlight w:val="none"/>
          <w:lang w:val="en-US"/>
        </w:rPr>
        <w:t>1.</w:t>
      </w:r>
      <w:r>
        <w:rPr>
          <w:rFonts w:hint="eastAsia"/>
          <w:color w:val="auto"/>
          <w:highlight w:val="none"/>
        </w:rPr>
        <w:t>资格审查资料</w:t>
      </w:r>
    </w:p>
    <w:p w14:paraId="7D94024F">
      <w:pPr>
        <w:spacing w:line="360" w:lineRule="auto"/>
        <w:ind w:firstLine="440" w:firstLineChars="200"/>
        <w:rPr>
          <w:color w:val="auto"/>
          <w:highlight w:val="none"/>
        </w:rPr>
      </w:pPr>
      <w:r>
        <w:rPr>
          <w:rFonts w:hint="eastAsia"/>
          <w:color w:val="auto"/>
          <w:highlight w:val="none"/>
          <w:lang w:val="en-US"/>
        </w:rPr>
        <w:t>2.</w:t>
      </w:r>
      <w:r>
        <w:rPr>
          <w:rFonts w:hint="eastAsia"/>
          <w:color w:val="auto"/>
          <w:highlight w:val="none"/>
        </w:rPr>
        <w:t>投标函及报价表</w:t>
      </w:r>
    </w:p>
    <w:p w14:paraId="4049641D">
      <w:pPr>
        <w:spacing w:line="360" w:lineRule="auto"/>
        <w:ind w:firstLine="440" w:firstLineChars="200"/>
        <w:rPr>
          <w:color w:val="auto"/>
          <w:highlight w:val="none"/>
        </w:rPr>
      </w:pPr>
      <w:r>
        <w:rPr>
          <w:rFonts w:hint="eastAsia"/>
          <w:color w:val="auto"/>
          <w:highlight w:val="none"/>
          <w:lang w:val="en-US"/>
        </w:rPr>
        <w:t>3.</w:t>
      </w:r>
      <w:r>
        <w:rPr>
          <w:rFonts w:hint="eastAsia"/>
          <w:color w:val="auto"/>
          <w:highlight w:val="none"/>
        </w:rPr>
        <w:t>承诺函</w:t>
      </w:r>
    </w:p>
    <w:p w14:paraId="07B2D049">
      <w:pPr>
        <w:spacing w:line="360" w:lineRule="auto"/>
        <w:ind w:firstLine="440" w:firstLineChars="200"/>
        <w:rPr>
          <w:color w:val="auto"/>
          <w:highlight w:val="none"/>
        </w:rPr>
      </w:pPr>
      <w:r>
        <w:rPr>
          <w:rFonts w:hint="eastAsia"/>
          <w:color w:val="auto"/>
          <w:highlight w:val="none"/>
          <w:lang w:val="en-US"/>
        </w:rPr>
        <w:t>4.</w:t>
      </w:r>
      <w:r>
        <w:rPr>
          <w:rFonts w:hint="eastAsia"/>
          <w:color w:val="auto"/>
          <w:highlight w:val="none"/>
        </w:rPr>
        <w:t>法定代表人身份证明及法定代表人授权书</w:t>
      </w:r>
    </w:p>
    <w:p w14:paraId="55C476C7">
      <w:pPr>
        <w:spacing w:line="360" w:lineRule="auto"/>
        <w:ind w:firstLine="440" w:firstLineChars="200"/>
        <w:rPr>
          <w:color w:val="auto"/>
          <w:highlight w:val="none"/>
        </w:rPr>
      </w:pPr>
      <w:r>
        <w:rPr>
          <w:rFonts w:hint="eastAsia"/>
          <w:color w:val="auto"/>
          <w:highlight w:val="none"/>
          <w:lang w:val="en-US"/>
        </w:rPr>
        <w:t>5.</w:t>
      </w:r>
      <w:r>
        <w:rPr>
          <w:rFonts w:hint="eastAsia"/>
          <w:color w:val="auto"/>
          <w:highlight w:val="none"/>
        </w:rPr>
        <w:t>商务条款/技术规格偏差一览表</w:t>
      </w:r>
    </w:p>
    <w:p w14:paraId="0B947DF9">
      <w:pPr>
        <w:spacing w:line="360" w:lineRule="auto"/>
        <w:ind w:firstLine="440" w:firstLineChars="200"/>
        <w:rPr>
          <w:color w:val="auto"/>
          <w:highlight w:val="none"/>
        </w:rPr>
      </w:pPr>
      <w:r>
        <w:rPr>
          <w:rFonts w:hint="eastAsia"/>
          <w:color w:val="auto"/>
          <w:highlight w:val="none"/>
          <w:lang w:val="en-US"/>
        </w:rPr>
        <w:t>6.商务技术及服务响应</w:t>
      </w:r>
    </w:p>
    <w:p w14:paraId="1EC64EA6">
      <w:pPr>
        <w:spacing w:line="360" w:lineRule="auto"/>
        <w:ind w:firstLine="440" w:firstLineChars="200"/>
        <w:rPr>
          <w:color w:val="auto"/>
          <w:highlight w:val="none"/>
        </w:rPr>
      </w:pPr>
      <w:r>
        <w:rPr>
          <w:rFonts w:hint="eastAsia"/>
          <w:color w:val="auto"/>
          <w:highlight w:val="none"/>
          <w:lang w:val="en-US"/>
        </w:rPr>
        <w:t>7.</w:t>
      </w:r>
      <w:r>
        <w:rPr>
          <w:rFonts w:hint="eastAsia"/>
          <w:color w:val="auto"/>
          <w:highlight w:val="none"/>
        </w:rPr>
        <w:t>项目团队</w:t>
      </w:r>
    </w:p>
    <w:p w14:paraId="7493DDAE">
      <w:pPr>
        <w:spacing w:line="360" w:lineRule="auto"/>
        <w:ind w:firstLine="440" w:firstLineChars="200"/>
        <w:rPr>
          <w:color w:val="auto"/>
          <w:highlight w:val="none"/>
        </w:rPr>
      </w:pPr>
      <w:r>
        <w:rPr>
          <w:rFonts w:hint="eastAsia"/>
          <w:color w:val="auto"/>
          <w:highlight w:val="none"/>
          <w:lang w:val="en-US"/>
        </w:rPr>
        <w:t>8.声明函</w:t>
      </w:r>
    </w:p>
    <w:p w14:paraId="36C64E5D">
      <w:pPr>
        <w:spacing w:line="360" w:lineRule="auto"/>
        <w:ind w:firstLine="440" w:firstLineChars="200"/>
        <w:rPr>
          <w:color w:val="auto"/>
          <w:highlight w:val="none"/>
          <w:lang w:val="en-US"/>
        </w:rPr>
      </w:pPr>
      <w:r>
        <w:rPr>
          <w:rFonts w:hint="eastAsia"/>
          <w:color w:val="auto"/>
          <w:highlight w:val="none"/>
          <w:lang w:val="en-US"/>
        </w:rPr>
        <w:t>9.</w:t>
      </w:r>
      <w:r>
        <w:rPr>
          <w:rFonts w:hint="eastAsia"/>
          <w:color w:val="auto"/>
          <w:highlight w:val="none"/>
        </w:rPr>
        <w:t>其他资料</w:t>
      </w:r>
    </w:p>
    <w:p w14:paraId="5E2C247D">
      <w:pPr>
        <w:rPr>
          <w:color w:val="auto"/>
          <w:sz w:val="21"/>
          <w:highlight w:val="none"/>
        </w:rPr>
      </w:pPr>
      <w:r>
        <w:rPr>
          <w:color w:val="auto"/>
          <w:sz w:val="21"/>
          <w:highlight w:val="none"/>
        </w:rPr>
        <w:br w:type="page"/>
      </w:r>
    </w:p>
    <w:p w14:paraId="5A54441A">
      <w:pPr>
        <w:pStyle w:val="3"/>
        <w:spacing w:line="360" w:lineRule="auto"/>
        <w:jc w:val="center"/>
        <w:rPr>
          <w:rFonts w:ascii="宋体" w:hAnsi="宋体" w:eastAsia="宋体"/>
          <w:color w:val="auto"/>
          <w:sz w:val="28"/>
          <w:szCs w:val="28"/>
          <w:highlight w:val="none"/>
        </w:rPr>
      </w:pPr>
      <w:bookmarkStart w:id="107" w:name="1.资格审查文件（按各部分要求附相应的证明资料）"/>
      <w:bookmarkEnd w:id="107"/>
      <w:bookmarkStart w:id="108" w:name="_bookmark24"/>
      <w:bookmarkEnd w:id="108"/>
      <w:bookmarkStart w:id="109" w:name="2.投标函及附录"/>
      <w:bookmarkEnd w:id="109"/>
      <w:bookmarkStart w:id="110" w:name="_bookmark23"/>
      <w:bookmarkEnd w:id="110"/>
      <w:bookmarkStart w:id="111" w:name="_Toc7529"/>
      <w:bookmarkStart w:id="112" w:name="_Toc7096"/>
      <w:bookmarkStart w:id="113" w:name="_Toc11928"/>
      <w:bookmarkStart w:id="114" w:name="_Toc26374"/>
      <w:bookmarkStart w:id="115" w:name="_Toc19618"/>
      <w:bookmarkStart w:id="116" w:name="_Toc30955"/>
      <w:bookmarkStart w:id="117" w:name="_Toc19"/>
      <w:bookmarkStart w:id="118" w:name="_Toc7293"/>
      <w:r>
        <w:rPr>
          <w:rFonts w:hint="eastAsia" w:ascii="宋体" w:hAnsi="宋体" w:eastAsia="宋体"/>
          <w:color w:val="auto"/>
          <w:sz w:val="28"/>
          <w:szCs w:val="28"/>
          <w:highlight w:val="none"/>
          <w:lang w:val="en-US"/>
        </w:rPr>
        <w:t>1.</w:t>
      </w:r>
      <w:r>
        <w:rPr>
          <w:rFonts w:hint="eastAsia" w:ascii="宋体" w:hAnsi="宋体" w:eastAsia="宋体"/>
          <w:color w:val="auto"/>
          <w:sz w:val="28"/>
          <w:szCs w:val="28"/>
          <w:highlight w:val="none"/>
        </w:rPr>
        <w:t>资格审查资料（按各部分要求附相应的证明资料）</w:t>
      </w:r>
      <w:bookmarkEnd w:id="111"/>
      <w:bookmarkEnd w:id="112"/>
      <w:bookmarkEnd w:id="113"/>
      <w:bookmarkEnd w:id="114"/>
      <w:bookmarkEnd w:id="115"/>
      <w:bookmarkEnd w:id="116"/>
      <w:bookmarkEnd w:id="117"/>
    </w:p>
    <w:p w14:paraId="1DF205A8">
      <w:pPr>
        <w:spacing w:line="360" w:lineRule="auto"/>
        <w:rPr>
          <w:b/>
          <w:bCs/>
          <w:color w:val="auto"/>
          <w:sz w:val="24"/>
          <w:szCs w:val="24"/>
          <w:highlight w:val="none"/>
        </w:rPr>
      </w:pPr>
    </w:p>
    <w:p w14:paraId="1ADD29F5">
      <w:pPr>
        <w:spacing w:line="360" w:lineRule="auto"/>
        <w:ind w:firstLine="482" w:firstLineChars="200"/>
        <w:rPr>
          <w:b/>
          <w:bCs/>
          <w:color w:val="auto"/>
          <w:sz w:val="24"/>
          <w:szCs w:val="24"/>
          <w:highlight w:val="none"/>
          <w:lang w:val="en-US"/>
        </w:rPr>
      </w:pPr>
      <w:r>
        <w:rPr>
          <w:rFonts w:hint="eastAsia"/>
          <w:b/>
          <w:bCs/>
          <w:color w:val="auto"/>
          <w:sz w:val="24"/>
          <w:szCs w:val="24"/>
          <w:highlight w:val="none"/>
        </w:rPr>
        <w:t>重要提醒：</w:t>
      </w:r>
      <w:r>
        <w:rPr>
          <w:b/>
          <w:bCs/>
          <w:color w:val="auto"/>
          <w:sz w:val="24"/>
          <w:szCs w:val="24"/>
          <w:highlight w:val="none"/>
        </w:rPr>
        <w:t>在</w:t>
      </w:r>
      <w:r>
        <w:rPr>
          <w:rFonts w:hint="eastAsia"/>
          <w:b/>
          <w:bCs/>
          <w:color w:val="auto"/>
          <w:sz w:val="24"/>
          <w:szCs w:val="24"/>
          <w:highlight w:val="none"/>
        </w:rPr>
        <w:t>“电子交易平台-交易文件-制作”模块，“投标文件组成设置”中的“投标文件格式”里增加了必选项“资格文件”，</w:t>
      </w:r>
      <w:r>
        <w:rPr>
          <w:rFonts w:hint="eastAsia"/>
          <w:b/>
          <w:bCs/>
          <w:color w:val="auto"/>
          <w:sz w:val="24"/>
          <w:szCs w:val="24"/>
          <w:highlight w:val="none"/>
          <w:lang w:val="en-US"/>
        </w:rPr>
        <w:t>此“资格文件”内容用于资格审查使用。</w:t>
      </w:r>
    </w:p>
    <w:p w14:paraId="128F716C">
      <w:pPr>
        <w:spacing w:line="360" w:lineRule="auto"/>
        <w:ind w:firstLine="482" w:firstLineChars="200"/>
        <w:rPr>
          <w:color w:val="auto"/>
          <w:highlight w:val="none"/>
        </w:rPr>
      </w:pPr>
      <w:r>
        <w:rPr>
          <w:rFonts w:hint="eastAsia"/>
          <w:b/>
          <w:bCs/>
          <w:color w:val="auto"/>
          <w:sz w:val="24"/>
          <w:szCs w:val="24"/>
          <w:highlight w:val="none"/>
        </w:rPr>
        <w:t>各潜在供应商在编制投标文件时，须将全部资格证明材料上传至投标文件的“资格文件”模块，供应商因上传至“资格文件”模块的资格证明材料有缺失导致资格审查不通过的后果，由其自行承担。</w:t>
      </w:r>
    </w:p>
    <w:p w14:paraId="2150DB6F">
      <w:pPr>
        <w:rPr>
          <w:color w:val="auto"/>
          <w:highlight w:val="none"/>
        </w:rPr>
      </w:pPr>
      <w:r>
        <w:rPr>
          <w:rFonts w:hint="eastAsia"/>
          <w:color w:val="auto"/>
          <w:highlight w:val="none"/>
        </w:rPr>
        <w:br w:type="page"/>
      </w:r>
    </w:p>
    <w:p w14:paraId="605DBB05">
      <w:pPr>
        <w:pStyle w:val="16"/>
        <w:ind w:firstLine="210"/>
        <w:rPr>
          <w:color w:val="auto"/>
          <w:highlight w:val="none"/>
        </w:rPr>
      </w:pPr>
    </w:p>
    <w:p w14:paraId="17372010">
      <w:pPr>
        <w:jc w:val="center"/>
        <w:rPr>
          <w:color w:val="auto"/>
          <w:highlight w:val="none"/>
        </w:rPr>
      </w:pPr>
      <w:r>
        <w:rPr>
          <w:rFonts w:hint="eastAsia"/>
          <w:b/>
          <w:bCs/>
          <w:color w:val="auto"/>
          <w:sz w:val="24"/>
          <w:szCs w:val="24"/>
          <w:highlight w:val="none"/>
        </w:rPr>
        <w:t>（一）供应商基本情况表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897"/>
        <w:gridCol w:w="1021"/>
        <w:gridCol w:w="993"/>
        <w:gridCol w:w="283"/>
        <w:gridCol w:w="195"/>
        <w:gridCol w:w="1246"/>
        <w:gridCol w:w="260"/>
        <w:gridCol w:w="709"/>
        <w:gridCol w:w="1416"/>
      </w:tblGrid>
      <w:tr w14:paraId="7EF7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5" w:type="dxa"/>
            <w:vAlign w:val="center"/>
          </w:tcPr>
          <w:p w14:paraId="7AD764B4">
            <w:pPr>
              <w:jc w:val="center"/>
              <w:rPr>
                <w:color w:val="auto"/>
                <w:highlight w:val="none"/>
              </w:rPr>
            </w:pPr>
            <w:r>
              <w:rPr>
                <w:rFonts w:hint="eastAsia"/>
                <w:color w:val="auto"/>
                <w:highlight w:val="none"/>
              </w:rPr>
              <w:t>供应商名称</w:t>
            </w:r>
          </w:p>
        </w:tc>
        <w:tc>
          <w:tcPr>
            <w:tcW w:w="7020" w:type="dxa"/>
            <w:gridSpan w:val="9"/>
            <w:vAlign w:val="center"/>
          </w:tcPr>
          <w:p w14:paraId="3A3C3330">
            <w:pPr>
              <w:jc w:val="center"/>
              <w:rPr>
                <w:color w:val="auto"/>
                <w:highlight w:val="none"/>
              </w:rPr>
            </w:pPr>
          </w:p>
        </w:tc>
      </w:tr>
      <w:tr w14:paraId="7A0A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5" w:type="dxa"/>
            <w:vAlign w:val="center"/>
          </w:tcPr>
          <w:p w14:paraId="51764A4E">
            <w:pPr>
              <w:jc w:val="center"/>
              <w:rPr>
                <w:color w:val="auto"/>
                <w:highlight w:val="none"/>
              </w:rPr>
            </w:pPr>
            <w:r>
              <w:rPr>
                <w:rFonts w:hint="eastAsia"/>
                <w:color w:val="auto"/>
                <w:highlight w:val="none"/>
              </w:rPr>
              <w:t>注册地址</w:t>
            </w:r>
          </w:p>
        </w:tc>
        <w:tc>
          <w:tcPr>
            <w:tcW w:w="3389" w:type="dxa"/>
            <w:gridSpan w:val="5"/>
            <w:vAlign w:val="center"/>
          </w:tcPr>
          <w:p w14:paraId="4B048E6D">
            <w:pPr>
              <w:jc w:val="center"/>
              <w:rPr>
                <w:color w:val="auto"/>
                <w:highlight w:val="none"/>
              </w:rPr>
            </w:pPr>
          </w:p>
        </w:tc>
        <w:tc>
          <w:tcPr>
            <w:tcW w:w="1246" w:type="dxa"/>
            <w:vAlign w:val="center"/>
          </w:tcPr>
          <w:p w14:paraId="5E88E01C">
            <w:pPr>
              <w:jc w:val="center"/>
              <w:rPr>
                <w:color w:val="auto"/>
                <w:highlight w:val="none"/>
              </w:rPr>
            </w:pPr>
            <w:r>
              <w:rPr>
                <w:rFonts w:hint="eastAsia"/>
                <w:color w:val="auto"/>
                <w:highlight w:val="none"/>
              </w:rPr>
              <w:t>邮政编码</w:t>
            </w:r>
          </w:p>
        </w:tc>
        <w:tc>
          <w:tcPr>
            <w:tcW w:w="2385" w:type="dxa"/>
            <w:gridSpan w:val="3"/>
            <w:vAlign w:val="center"/>
          </w:tcPr>
          <w:p w14:paraId="4A404C88">
            <w:pPr>
              <w:jc w:val="center"/>
              <w:rPr>
                <w:color w:val="auto"/>
                <w:highlight w:val="none"/>
              </w:rPr>
            </w:pPr>
          </w:p>
        </w:tc>
      </w:tr>
      <w:tr w14:paraId="2050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5" w:type="dxa"/>
            <w:vMerge w:val="restart"/>
            <w:vAlign w:val="center"/>
          </w:tcPr>
          <w:p w14:paraId="7EA83D3A">
            <w:pPr>
              <w:jc w:val="center"/>
              <w:rPr>
                <w:color w:val="auto"/>
                <w:highlight w:val="none"/>
              </w:rPr>
            </w:pPr>
            <w:r>
              <w:rPr>
                <w:rFonts w:hint="eastAsia"/>
                <w:color w:val="auto"/>
                <w:highlight w:val="none"/>
              </w:rPr>
              <w:t>联系方式</w:t>
            </w:r>
          </w:p>
        </w:tc>
        <w:tc>
          <w:tcPr>
            <w:tcW w:w="897" w:type="dxa"/>
            <w:vAlign w:val="center"/>
          </w:tcPr>
          <w:p w14:paraId="1F151EE5">
            <w:pPr>
              <w:jc w:val="center"/>
              <w:rPr>
                <w:color w:val="auto"/>
                <w:highlight w:val="none"/>
              </w:rPr>
            </w:pPr>
            <w:r>
              <w:rPr>
                <w:rFonts w:hint="eastAsia"/>
                <w:color w:val="auto"/>
                <w:highlight w:val="none"/>
              </w:rPr>
              <w:t>联系人</w:t>
            </w:r>
          </w:p>
        </w:tc>
        <w:tc>
          <w:tcPr>
            <w:tcW w:w="2492" w:type="dxa"/>
            <w:gridSpan w:val="4"/>
            <w:vAlign w:val="center"/>
          </w:tcPr>
          <w:p w14:paraId="660E5807">
            <w:pPr>
              <w:jc w:val="center"/>
              <w:rPr>
                <w:color w:val="auto"/>
                <w:highlight w:val="none"/>
              </w:rPr>
            </w:pPr>
          </w:p>
        </w:tc>
        <w:tc>
          <w:tcPr>
            <w:tcW w:w="1246" w:type="dxa"/>
            <w:vAlign w:val="center"/>
          </w:tcPr>
          <w:p w14:paraId="4BAABBC4">
            <w:pPr>
              <w:jc w:val="center"/>
              <w:rPr>
                <w:color w:val="auto"/>
                <w:highlight w:val="none"/>
              </w:rPr>
            </w:pPr>
            <w:r>
              <w:rPr>
                <w:rFonts w:hint="eastAsia"/>
                <w:color w:val="auto"/>
                <w:highlight w:val="none"/>
              </w:rPr>
              <w:t>电  话</w:t>
            </w:r>
          </w:p>
        </w:tc>
        <w:tc>
          <w:tcPr>
            <w:tcW w:w="2385" w:type="dxa"/>
            <w:gridSpan w:val="3"/>
            <w:vAlign w:val="center"/>
          </w:tcPr>
          <w:p w14:paraId="0F3FAA18">
            <w:pPr>
              <w:jc w:val="center"/>
              <w:rPr>
                <w:color w:val="auto"/>
                <w:highlight w:val="none"/>
              </w:rPr>
            </w:pPr>
          </w:p>
        </w:tc>
      </w:tr>
      <w:tr w14:paraId="75F7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5" w:type="dxa"/>
            <w:vMerge w:val="continue"/>
            <w:vAlign w:val="center"/>
          </w:tcPr>
          <w:p w14:paraId="515DFFFA">
            <w:pPr>
              <w:jc w:val="center"/>
              <w:rPr>
                <w:color w:val="auto"/>
                <w:highlight w:val="none"/>
              </w:rPr>
            </w:pPr>
          </w:p>
        </w:tc>
        <w:tc>
          <w:tcPr>
            <w:tcW w:w="897" w:type="dxa"/>
            <w:vAlign w:val="center"/>
          </w:tcPr>
          <w:p w14:paraId="1703B955">
            <w:pPr>
              <w:jc w:val="center"/>
              <w:rPr>
                <w:color w:val="auto"/>
                <w:highlight w:val="none"/>
              </w:rPr>
            </w:pPr>
            <w:r>
              <w:rPr>
                <w:rFonts w:hint="eastAsia"/>
                <w:color w:val="auto"/>
                <w:highlight w:val="none"/>
              </w:rPr>
              <w:t>传  真</w:t>
            </w:r>
          </w:p>
        </w:tc>
        <w:tc>
          <w:tcPr>
            <w:tcW w:w="2492" w:type="dxa"/>
            <w:gridSpan w:val="4"/>
            <w:vAlign w:val="center"/>
          </w:tcPr>
          <w:p w14:paraId="45617E51">
            <w:pPr>
              <w:jc w:val="center"/>
              <w:rPr>
                <w:color w:val="auto"/>
                <w:highlight w:val="none"/>
              </w:rPr>
            </w:pPr>
          </w:p>
        </w:tc>
        <w:tc>
          <w:tcPr>
            <w:tcW w:w="1246" w:type="dxa"/>
            <w:vAlign w:val="center"/>
          </w:tcPr>
          <w:p w14:paraId="536F31D6">
            <w:pPr>
              <w:jc w:val="center"/>
              <w:rPr>
                <w:color w:val="auto"/>
                <w:highlight w:val="none"/>
              </w:rPr>
            </w:pPr>
            <w:r>
              <w:rPr>
                <w:rFonts w:hint="eastAsia"/>
                <w:color w:val="auto"/>
                <w:highlight w:val="none"/>
              </w:rPr>
              <w:t>网  址</w:t>
            </w:r>
          </w:p>
        </w:tc>
        <w:tc>
          <w:tcPr>
            <w:tcW w:w="2385" w:type="dxa"/>
            <w:gridSpan w:val="3"/>
            <w:vAlign w:val="center"/>
          </w:tcPr>
          <w:p w14:paraId="2738BA54">
            <w:pPr>
              <w:jc w:val="center"/>
              <w:rPr>
                <w:color w:val="auto"/>
                <w:highlight w:val="none"/>
              </w:rPr>
            </w:pPr>
          </w:p>
        </w:tc>
      </w:tr>
      <w:tr w14:paraId="4436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5" w:type="dxa"/>
            <w:vAlign w:val="center"/>
          </w:tcPr>
          <w:p w14:paraId="242DDBEE">
            <w:pPr>
              <w:jc w:val="center"/>
              <w:rPr>
                <w:color w:val="auto"/>
                <w:highlight w:val="none"/>
              </w:rPr>
            </w:pPr>
            <w:r>
              <w:rPr>
                <w:rFonts w:hint="eastAsia"/>
                <w:color w:val="auto"/>
                <w:highlight w:val="none"/>
              </w:rPr>
              <w:t>组织结构</w:t>
            </w:r>
          </w:p>
        </w:tc>
        <w:tc>
          <w:tcPr>
            <w:tcW w:w="7020" w:type="dxa"/>
            <w:gridSpan w:val="9"/>
            <w:vAlign w:val="center"/>
          </w:tcPr>
          <w:p w14:paraId="6B719F80">
            <w:pPr>
              <w:jc w:val="center"/>
              <w:rPr>
                <w:color w:val="auto"/>
                <w:highlight w:val="none"/>
              </w:rPr>
            </w:pPr>
          </w:p>
        </w:tc>
      </w:tr>
      <w:tr w14:paraId="58F1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5" w:type="dxa"/>
            <w:vAlign w:val="center"/>
          </w:tcPr>
          <w:p w14:paraId="027A647D">
            <w:pPr>
              <w:jc w:val="center"/>
              <w:rPr>
                <w:color w:val="auto"/>
                <w:highlight w:val="none"/>
              </w:rPr>
            </w:pPr>
            <w:r>
              <w:rPr>
                <w:rFonts w:hint="eastAsia"/>
                <w:color w:val="auto"/>
                <w:highlight w:val="none"/>
              </w:rPr>
              <w:t>法定代表人</w:t>
            </w:r>
          </w:p>
        </w:tc>
        <w:tc>
          <w:tcPr>
            <w:tcW w:w="897" w:type="dxa"/>
            <w:vAlign w:val="center"/>
          </w:tcPr>
          <w:p w14:paraId="55009C5B">
            <w:pPr>
              <w:jc w:val="center"/>
              <w:rPr>
                <w:color w:val="auto"/>
                <w:highlight w:val="none"/>
              </w:rPr>
            </w:pPr>
            <w:r>
              <w:rPr>
                <w:rFonts w:hint="eastAsia"/>
                <w:color w:val="auto"/>
                <w:highlight w:val="none"/>
              </w:rPr>
              <w:t>姓名</w:t>
            </w:r>
          </w:p>
        </w:tc>
        <w:tc>
          <w:tcPr>
            <w:tcW w:w="1021" w:type="dxa"/>
            <w:vAlign w:val="center"/>
          </w:tcPr>
          <w:p w14:paraId="3E2EDECA">
            <w:pPr>
              <w:jc w:val="center"/>
              <w:rPr>
                <w:color w:val="auto"/>
                <w:highlight w:val="none"/>
              </w:rPr>
            </w:pPr>
          </w:p>
        </w:tc>
        <w:tc>
          <w:tcPr>
            <w:tcW w:w="1276" w:type="dxa"/>
            <w:gridSpan w:val="2"/>
            <w:vAlign w:val="center"/>
          </w:tcPr>
          <w:p w14:paraId="03E8A414">
            <w:pPr>
              <w:jc w:val="center"/>
              <w:rPr>
                <w:color w:val="auto"/>
                <w:highlight w:val="none"/>
              </w:rPr>
            </w:pPr>
            <w:r>
              <w:rPr>
                <w:rFonts w:hint="eastAsia"/>
                <w:color w:val="auto"/>
                <w:highlight w:val="none"/>
              </w:rPr>
              <w:t>技术职称</w:t>
            </w:r>
          </w:p>
        </w:tc>
        <w:tc>
          <w:tcPr>
            <w:tcW w:w="1701" w:type="dxa"/>
            <w:gridSpan w:val="3"/>
            <w:vAlign w:val="center"/>
          </w:tcPr>
          <w:p w14:paraId="1CC503E9">
            <w:pPr>
              <w:jc w:val="center"/>
              <w:rPr>
                <w:color w:val="auto"/>
                <w:highlight w:val="none"/>
              </w:rPr>
            </w:pPr>
          </w:p>
        </w:tc>
        <w:tc>
          <w:tcPr>
            <w:tcW w:w="709" w:type="dxa"/>
            <w:vAlign w:val="center"/>
          </w:tcPr>
          <w:p w14:paraId="0DE2659E">
            <w:pPr>
              <w:jc w:val="center"/>
              <w:rPr>
                <w:color w:val="auto"/>
                <w:highlight w:val="none"/>
              </w:rPr>
            </w:pPr>
            <w:r>
              <w:rPr>
                <w:rFonts w:hint="eastAsia"/>
                <w:color w:val="auto"/>
                <w:highlight w:val="none"/>
              </w:rPr>
              <w:t>电话</w:t>
            </w:r>
          </w:p>
        </w:tc>
        <w:tc>
          <w:tcPr>
            <w:tcW w:w="1416" w:type="dxa"/>
            <w:vAlign w:val="center"/>
          </w:tcPr>
          <w:p w14:paraId="13B36E99">
            <w:pPr>
              <w:jc w:val="center"/>
              <w:rPr>
                <w:color w:val="auto"/>
                <w:highlight w:val="none"/>
              </w:rPr>
            </w:pPr>
          </w:p>
        </w:tc>
      </w:tr>
      <w:tr w14:paraId="3982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5" w:type="dxa"/>
            <w:vAlign w:val="center"/>
          </w:tcPr>
          <w:p w14:paraId="26641E5B">
            <w:pPr>
              <w:jc w:val="center"/>
              <w:rPr>
                <w:color w:val="auto"/>
                <w:highlight w:val="none"/>
              </w:rPr>
            </w:pPr>
            <w:r>
              <w:rPr>
                <w:rFonts w:hint="eastAsia"/>
                <w:color w:val="auto"/>
                <w:highlight w:val="none"/>
              </w:rPr>
              <w:t>技术负责人</w:t>
            </w:r>
          </w:p>
        </w:tc>
        <w:tc>
          <w:tcPr>
            <w:tcW w:w="897" w:type="dxa"/>
            <w:vAlign w:val="center"/>
          </w:tcPr>
          <w:p w14:paraId="6C029698">
            <w:pPr>
              <w:jc w:val="center"/>
              <w:rPr>
                <w:color w:val="auto"/>
                <w:highlight w:val="none"/>
              </w:rPr>
            </w:pPr>
            <w:r>
              <w:rPr>
                <w:rFonts w:hint="eastAsia"/>
                <w:color w:val="auto"/>
                <w:highlight w:val="none"/>
              </w:rPr>
              <w:t>姓名</w:t>
            </w:r>
          </w:p>
        </w:tc>
        <w:tc>
          <w:tcPr>
            <w:tcW w:w="1021" w:type="dxa"/>
            <w:vAlign w:val="center"/>
          </w:tcPr>
          <w:p w14:paraId="63D61B5D">
            <w:pPr>
              <w:jc w:val="center"/>
              <w:rPr>
                <w:color w:val="auto"/>
                <w:highlight w:val="none"/>
              </w:rPr>
            </w:pPr>
          </w:p>
        </w:tc>
        <w:tc>
          <w:tcPr>
            <w:tcW w:w="1276" w:type="dxa"/>
            <w:gridSpan w:val="2"/>
            <w:vAlign w:val="center"/>
          </w:tcPr>
          <w:p w14:paraId="2C2AA4A1">
            <w:pPr>
              <w:jc w:val="center"/>
              <w:rPr>
                <w:color w:val="auto"/>
                <w:highlight w:val="none"/>
              </w:rPr>
            </w:pPr>
            <w:r>
              <w:rPr>
                <w:rFonts w:hint="eastAsia"/>
                <w:color w:val="auto"/>
                <w:highlight w:val="none"/>
              </w:rPr>
              <w:t>技术职称</w:t>
            </w:r>
          </w:p>
        </w:tc>
        <w:tc>
          <w:tcPr>
            <w:tcW w:w="1701" w:type="dxa"/>
            <w:gridSpan w:val="3"/>
            <w:vAlign w:val="center"/>
          </w:tcPr>
          <w:p w14:paraId="6618FC78">
            <w:pPr>
              <w:jc w:val="center"/>
              <w:rPr>
                <w:color w:val="auto"/>
                <w:highlight w:val="none"/>
              </w:rPr>
            </w:pPr>
          </w:p>
        </w:tc>
        <w:tc>
          <w:tcPr>
            <w:tcW w:w="709" w:type="dxa"/>
            <w:vAlign w:val="center"/>
          </w:tcPr>
          <w:p w14:paraId="230D1DF3">
            <w:pPr>
              <w:jc w:val="center"/>
              <w:rPr>
                <w:color w:val="auto"/>
                <w:highlight w:val="none"/>
              </w:rPr>
            </w:pPr>
            <w:r>
              <w:rPr>
                <w:rFonts w:hint="eastAsia"/>
                <w:color w:val="auto"/>
                <w:highlight w:val="none"/>
              </w:rPr>
              <w:t>电话</w:t>
            </w:r>
          </w:p>
        </w:tc>
        <w:tc>
          <w:tcPr>
            <w:tcW w:w="1416" w:type="dxa"/>
            <w:vAlign w:val="center"/>
          </w:tcPr>
          <w:p w14:paraId="20C91959">
            <w:pPr>
              <w:jc w:val="center"/>
              <w:rPr>
                <w:color w:val="auto"/>
                <w:highlight w:val="none"/>
              </w:rPr>
            </w:pPr>
          </w:p>
        </w:tc>
      </w:tr>
      <w:tr w14:paraId="135F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5" w:type="dxa"/>
            <w:vAlign w:val="center"/>
          </w:tcPr>
          <w:p w14:paraId="7190D137">
            <w:pPr>
              <w:jc w:val="center"/>
              <w:rPr>
                <w:color w:val="auto"/>
                <w:highlight w:val="none"/>
              </w:rPr>
            </w:pPr>
            <w:r>
              <w:rPr>
                <w:rFonts w:hint="eastAsia"/>
                <w:color w:val="auto"/>
                <w:highlight w:val="none"/>
              </w:rPr>
              <w:t>成立时间</w:t>
            </w:r>
          </w:p>
        </w:tc>
        <w:tc>
          <w:tcPr>
            <w:tcW w:w="1918" w:type="dxa"/>
            <w:gridSpan w:val="2"/>
            <w:vAlign w:val="center"/>
          </w:tcPr>
          <w:p w14:paraId="6C2F01DD">
            <w:pPr>
              <w:jc w:val="center"/>
              <w:rPr>
                <w:color w:val="auto"/>
                <w:highlight w:val="none"/>
              </w:rPr>
            </w:pPr>
          </w:p>
        </w:tc>
        <w:tc>
          <w:tcPr>
            <w:tcW w:w="5102" w:type="dxa"/>
            <w:gridSpan w:val="7"/>
            <w:vAlign w:val="center"/>
          </w:tcPr>
          <w:p w14:paraId="3F81734F">
            <w:pPr>
              <w:jc w:val="center"/>
              <w:rPr>
                <w:color w:val="auto"/>
                <w:highlight w:val="none"/>
              </w:rPr>
            </w:pPr>
            <w:r>
              <w:rPr>
                <w:rFonts w:hint="eastAsia"/>
                <w:color w:val="auto"/>
                <w:highlight w:val="none"/>
              </w:rPr>
              <w:t>员工总人数：</w:t>
            </w:r>
          </w:p>
        </w:tc>
      </w:tr>
      <w:tr w14:paraId="1E59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5" w:type="dxa"/>
            <w:vAlign w:val="center"/>
          </w:tcPr>
          <w:p w14:paraId="5322B9D4">
            <w:pPr>
              <w:jc w:val="center"/>
              <w:rPr>
                <w:color w:val="auto"/>
                <w:highlight w:val="none"/>
              </w:rPr>
            </w:pPr>
            <w:r>
              <w:rPr>
                <w:rFonts w:hint="eastAsia"/>
                <w:color w:val="auto"/>
                <w:highlight w:val="none"/>
              </w:rPr>
              <w:t>企业资质等级</w:t>
            </w:r>
          </w:p>
        </w:tc>
        <w:tc>
          <w:tcPr>
            <w:tcW w:w="1918" w:type="dxa"/>
            <w:gridSpan w:val="2"/>
            <w:vAlign w:val="center"/>
          </w:tcPr>
          <w:p w14:paraId="485092E3">
            <w:pPr>
              <w:jc w:val="center"/>
              <w:rPr>
                <w:color w:val="auto"/>
                <w:highlight w:val="none"/>
              </w:rPr>
            </w:pPr>
          </w:p>
        </w:tc>
        <w:tc>
          <w:tcPr>
            <w:tcW w:w="993" w:type="dxa"/>
            <w:vMerge w:val="restart"/>
            <w:vAlign w:val="center"/>
          </w:tcPr>
          <w:p w14:paraId="3D384FA2">
            <w:pPr>
              <w:jc w:val="center"/>
              <w:rPr>
                <w:color w:val="auto"/>
                <w:highlight w:val="none"/>
              </w:rPr>
            </w:pPr>
            <w:r>
              <w:rPr>
                <w:rFonts w:hint="eastAsia"/>
                <w:color w:val="auto"/>
                <w:highlight w:val="none"/>
              </w:rPr>
              <w:t>其中</w:t>
            </w:r>
          </w:p>
        </w:tc>
        <w:tc>
          <w:tcPr>
            <w:tcW w:w="1984" w:type="dxa"/>
            <w:gridSpan w:val="4"/>
            <w:vAlign w:val="center"/>
          </w:tcPr>
          <w:p w14:paraId="0BFF248D">
            <w:pPr>
              <w:jc w:val="center"/>
              <w:rPr>
                <w:color w:val="auto"/>
                <w:highlight w:val="none"/>
              </w:rPr>
            </w:pPr>
            <w:r>
              <w:rPr>
                <w:rFonts w:hint="eastAsia"/>
                <w:color w:val="auto"/>
                <w:highlight w:val="none"/>
              </w:rPr>
              <w:t>项目经理</w:t>
            </w:r>
          </w:p>
        </w:tc>
        <w:tc>
          <w:tcPr>
            <w:tcW w:w="2125" w:type="dxa"/>
            <w:gridSpan w:val="2"/>
            <w:vAlign w:val="center"/>
          </w:tcPr>
          <w:p w14:paraId="184FF2C5">
            <w:pPr>
              <w:jc w:val="center"/>
              <w:rPr>
                <w:color w:val="auto"/>
                <w:highlight w:val="none"/>
              </w:rPr>
            </w:pPr>
          </w:p>
        </w:tc>
      </w:tr>
      <w:tr w14:paraId="7D38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5" w:type="dxa"/>
            <w:vAlign w:val="center"/>
          </w:tcPr>
          <w:p w14:paraId="5119CC77">
            <w:pPr>
              <w:jc w:val="center"/>
              <w:rPr>
                <w:color w:val="auto"/>
                <w:highlight w:val="none"/>
              </w:rPr>
            </w:pPr>
            <w:r>
              <w:rPr>
                <w:rFonts w:hint="eastAsia"/>
                <w:color w:val="auto"/>
                <w:highlight w:val="none"/>
              </w:rPr>
              <w:t>营业执照号</w:t>
            </w:r>
          </w:p>
        </w:tc>
        <w:tc>
          <w:tcPr>
            <w:tcW w:w="1918" w:type="dxa"/>
            <w:gridSpan w:val="2"/>
            <w:vAlign w:val="center"/>
          </w:tcPr>
          <w:p w14:paraId="3B5D47EC">
            <w:pPr>
              <w:jc w:val="center"/>
              <w:rPr>
                <w:color w:val="auto"/>
                <w:highlight w:val="none"/>
              </w:rPr>
            </w:pPr>
          </w:p>
        </w:tc>
        <w:tc>
          <w:tcPr>
            <w:tcW w:w="993" w:type="dxa"/>
            <w:vMerge w:val="continue"/>
            <w:vAlign w:val="center"/>
          </w:tcPr>
          <w:p w14:paraId="3E383578">
            <w:pPr>
              <w:jc w:val="center"/>
              <w:rPr>
                <w:color w:val="auto"/>
                <w:highlight w:val="none"/>
              </w:rPr>
            </w:pPr>
          </w:p>
        </w:tc>
        <w:tc>
          <w:tcPr>
            <w:tcW w:w="1984" w:type="dxa"/>
            <w:gridSpan w:val="4"/>
            <w:vAlign w:val="center"/>
          </w:tcPr>
          <w:p w14:paraId="3F4862EB">
            <w:pPr>
              <w:jc w:val="center"/>
              <w:rPr>
                <w:color w:val="auto"/>
                <w:highlight w:val="none"/>
              </w:rPr>
            </w:pPr>
            <w:r>
              <w:rPr>
                <w:rFonts w:hint="eastAsia"/>
                <w:color w:val="auto"/>
                <w:highlight w:val="none"/>
              </w:rPr>
              <w:t>高级职称人员</w:t>
            </w:r>
          </w:p>
        </w:tc>
        <w:tc>
          <w:tcPr>
            <w:tcW w:w="2125" w:type="dxa"/>
            <w:gridSpan w:val="2"/>
            <w:vAlign w:val="center"/>
          </w:tcPr>
          <w:p w14:paraId="3CA6BD51">
            <w:pPr>
              <w:jc w:val="center"/>
              <w:rPr>
                <w:color w:val="auto"/>
                <w:highlight w:val="none"/>
              </w:rPr>
            </w:pPr>
          </w:p>
        </w:tc>
      </w:tr>
      <w:tr w14:paraId="23A1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5" w:type="dxa"/>
            <w:vAlign w:val="center"/>
          </w:tcPr>
          <w:p w14:paraId="1794D79F">
            <w:pPr>
              <w:jc w:val="center"/>
              <w:rPr>
                <w:color w:val="auto"/>
                <w:highlight w:val="none"/>
              </w:rPr>
            </w:pPr>
            <w:r>
              <w:rPr>
                <w:rFonts w:hint="eastAsia"/>
                <w:color w:val="auto"/>
                <w:highlight w:val="none"/>
              </w:rPr>
              <w:t>注册资金</w:t>
            </w:r>
          </w:p>
        </w:tc>
        <w:tc>
          <w:tcPr>
            <w:tcW w:w="1918" w:type="dxa"/>
            <w:gridSpan w:val="2"/>
            <w:vAlign w:val="center"/>
          </w:tcPr>
          <w:p w14:paraId="1E5C4588">
            <w:pPr>
              <w:jc w:val="center"/>
              <w:rPr>
                <w:color w:val="auto"/>
                <w:highlight w:val="none"/>
              </w:rPr>
            </w:pPr>
          </w:p>
        </w:tc>
        <w:tc>
          <w:tcPr>
            <w:tcW w:w="993" w:type="dxa"/>
            <w:vMerge w:val="continue"/>
            <w:vAlign w:val="center"/>
          </w:tcPr>
          <w:p w14:paraId="20611A2E">
            <w:pPr>
              <w:jc w:val="center"/>
              <w:rPr>
                <w:color w:val="auto"/>
                <w:highlight w:val="none"/>
              </w:rPr>
            </w:pPr>
          </w:p>
        </w:tc>
        <w:tc>
          <w:tcPr>
            <w:tcW w:w="1984" w:type="dxa"/>
            <w:gridSpan w:val="4"/>
            <w:vAlign w:val="center"/>
          </w:tcPr>
          <w:p w14:paraId="5A07E299">
            <w:pPr>
              <w:jc w:val="center"/>
              <w:rPr>
                <w:color w:val="auto"/>
                <w:highlight w:val="none"/>
              </w:rPr>
            </w:pPr>
            <w:r>
              <w:rPr>
                <w:rFonts w:hint="eastAsia"/>
                <w:color w:val="auto"/>
                <w:highlight w:val="none"/>
              </w:rPr>
              <w:t>中级职称人员</w:t>
            </w:r>
          </w:p>
        </w:tc>
        <w:tc>
          <w:tcPr>
            <w:tcW w:w="2125" w:type="dxa"/>
            <w:gridSpan w:val="2"/>
            <w:vAlign w:val="center"/>
          </w:tcPr>
          <w:p w14:paraId="686A3C86">
            <w:pPr>
              <w:jc w:val="center"/>
              <w:rPr>
                <w:color w:val="auto"/>
                <w:highlight w:val="none"/>
              </w:rPr>
            </w:pPr>
          </w:p>
        </w:tc>
      </w:tr>
      <w:tr w14:paraId="7BD1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5" w:type="dxa"/>
            <w:vAlign w:val="center"/>
          </w:tcPr>
          <w:p w14:paraId="61D8CD56">
            <w:pPr>
              <w:jc w:val="center"/>
              <w:rPr>
                <w:color w:val="auto"/>
                <w:highlight w:val="none"/>
              </w:rPr>
            </w:pPr>
            <w:r>
              <w:rPr>
                <w:rFonts w:hint="eastAsia"/>
                <w:color w:val="auto"/>
                <w:highlight w:val="none"/>
              </w:rPr>
              <w:t>开户银行</w:t>
            </w:r>
          </w:p>
        </w:tc>
        <w:tc>
          <w:tcPr>
            <w:tcW w:w="1918" w:type="dxa"/>
            <w:gridSpan w:val="2"/>
            <w:vAlign w:val="center"/>
          </w:tcPr>
          <w:p w14:paraId="08CFCA08">
            <w:pPr>
              <w:jc w:val="center"/>
              <w:rPr>
                <w:color w:val="auto"/>
                <w:highlight w:val="none"/>
              </w:rPr>
            </w:pPr>
          </w:p>
        </w:tc>
        <w:tc>
          <w:tcPr>
            <w:tcW w:w="993" w:type="dxa"/>
            <w:vMerge w:val="continue"/>
            <w:vAlign w:val="center"/>
          </w:tcPr>
          <w:p w14:paraId="659C8D87">
            <w:pPr>
              <w:jc w:val="center"/>
              <w:rPr>
                <w:color w:val="auto"/>
                <w:highlight w:val="none"/>
              </w:rPr>
            </w:pPr>
          </w:p>
        </w:tc>
        <w:tc>
          <w:tcPr>
            <w:tcW w:w="1984" w:type="dxa"/>
            <w:gridSpan w:val="4"/>
            <w:vAlign w:val="center"/>
          </w:tcPr>
          <w:p w14:paraId="5AAD9095">
            <w:pPr>
              <w:jc w:val="center"/>
              <w:rPr>
                <w:color w:val="auto"/>
                <w:highlight w:val="none"/>
              </w:rPr>
            </w:pPr>
            <w:r>
              <w:rPr>
                <w:rFonts w:hint="eastAsia"/>
                <w:color w:val="auto"/>
                <w:highlight w:val="none"/>
              </w:rPr>
              <w:t>初级职称人员</w:t>
            </w:r>
          </w:p>
        </w:tc>
        <w:tc>
          <w:tcPr>
            <w:tcW w:w="2125" w:type="dxa"/>
            <w:gridSpan w:val="2"/>
            <w:vAlign w:val="center"/>
          </w:tcPr>
          <w:p w14:paraId="56E610B2">
            <w:pPr>
              <w:jc w:val="center"/>
              <w:rPr>
                <w:color w:val="auto"/>
                <w:highlight w:val="none"/>
              </w:rPr>
            </w:pPr>
          </w:p>
        </w:tc>
      </w:tr>
      <w:tr w14:paraId="34E6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5" w:type="dxa"/>
            <w:vAlign w:val="center"/>
          </w:tcPr>
          <w:p w14:paraId="26F73311">
            <w:pPr>
              <w:jc w:val="center"/>
              <w:rPr>
                <w:color w:val="auto"/>
                <w:highlight w:val="none"/>
              </w:rPr>
            </w:pPr>
            <w:r>
              <w:rPr>
                <w:rFonts w:hint="eastAsia"/>
                <w:color w:val="auto"/>
                <w:highlight w:val="none"/>
              </w:rPr>
              <w:t>账号</w:t>
            </w:r>
          </w:p>
        </w:tc>
        <w:tc>
          <w:tcPr>
            <w:tcW w:w="1918" w:type="dxa"/>
            <w:gridSpan w:val="2"/>
            <w:vAlign w:val="center"/>
          </w:tcPr>
          <w:p w14:paraId="0D61F71C">
            <w:pPr>
              <w:jc w:val="center"/>
              <w:rPr>
                <w:color w:val="auto"/>
                <w:highlight w:val="none"/>
              </w:rPr>
            </w:pPr>
          </w:p>
        </w:tc>
        <w:tc>
          <w:tcPr>
            <w:tcW w:w="993" w:type="dxa"/>
            <w:vMerge w:val="continue"/>
            <w:vAlign w:val="center"/>
          </w:tcPr>
          <w:p w14:paraId="69FC1E13">
            <w:pPr>
              <w:jc w:val="center"/>
              <w:rPr>
                <w:color w:val="auto"/>
                <w:highlight w:val="none"/>
              </w:rPr>
            </w:pPr>
          </w:p>
        </w:tc>
        <w:tc>
          <w:tcPr>
            <w:tcW w:w="1984" w:type="dxa"/>
            <w:gridSpan w:val="4"/>
            <w:vAlign w:val="center"/>
          </w:tcPr>
          <w:p w14:paraId="314D8555">
            <w:pPr>
              <w:jc w:val="center"/>
              <w:rPr>
                <w:color w:val="auto"/>
                <w:highlight w:val="none"/>
              </w:rPr>
            </w:pPr>
            <w:r>
              <w:rPr>
                <w:rFonts w:hint="eastAsia"/>
                <w:color w:val="auto"/>
                <w:highlight w:val="none"/>
              </w:rPr>
              <w:t>技  工</w:t>
            </w:r>
          </w:p>
        </w:tc>
        <w:tc>
          <w:tcPr>
            <w:tcW w:w="2125" w:type="dxa"/>
            <w:gridSpan w:val="2"/>
            <w:vAlign w:val="center"/>
          </w:tcPr>
          <w:p w14:paraId="644EF58D">
            <w:pPr>
              <w:jc w:val="center"/>
              <w:rPr>
                <w:color w:val="auto"/>
                <w:highlight w:val="none"/>
              </w:rPr>
            </w:pPr>
          </w:p>
        </w:tc>
      </w:tr>
      <w:tr w14:paraId="53A2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815" w:type="dxa"/>
            <w:vAlign w:val="center"/>
          </w:tcPr>
          <w:p w14:paraId="16D3122A">
            <w:pPr>
              <w:jc w:val="center"/>
              <w:rPr>
                <w:color w:val="auto"/>
                <w:highlight w:val="none"/>
              </w:rPr>
            </w:pPr>
            <w:r>
              <w:rPr>
                <w:rFonts w:hint="eastAsia"/>
                <w:color w:val="auto"/>
                <w:highlight w:val="none"/>
              </w:rPr>
              <w:t>经营范围</w:t>
            </w:r>
          </w:p>
        </w:tc>
        <w:tc>
          <w:tcPr>
            <w:tcW w:w="7020" w:type="dxa"/>
            <w:gridSpan w:val="9"/>
            <w:vAlign w:val="center"/>
          </w:tcPr>
          <w:p w14:paraId="653FC387">
            <w:pPr>
              <w:jc w:val="center"/>
              <w:rPr>
                <w:color w:val="auto"/>
                <w:highlight w:val="none"/>
              </w:rPr>
            </w:pPr>
          </w:p>
        </w:tc>
      </w:tr>
      <w:tr w14:paraId="00C2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5" w:type="dxa"/>
            <w:vAlign w:val="center"/>
          </w:tcPr>
          <w:p w14:paraId="37B51C69">
            <w:pPr>
              <w:jc w:val="center"/>
              <w:rPr>
                <w:color w:val="auto"/>
                <w:highlight w:val="none"/>
              </w:rPr>
            </w:pPr>
            <w:r>
              <w:rPr>
                <w:rFonts w:hint="eastAsia"/>
                <w:color w:val="auto"/>
                <w:highlight w:val="none"/>
              </w:rPr>
              <w:t>备注</w:t>
            </w:r>
          </w:p>
        </w:tc>
        <w:tc>
          <w:tcPr>
            <w:tcW w:w="7020" w:type="dxa"/>
            <w:gridSpan w:val="9"/>
            <w:vAlign w:val="center"/>
          </w:tcPr>
          <w:p w14:paraId="146F217C">
            <w:pPr>
              <w:jc w:val="center"/>
              <w:rPr>
                <w:color w:val="auto"/>
                <w:highlight w:val="none"/>
              </w:rPr>
            </w:pPr>
          </w:p>
        </w:tc>
      </w:tr>
    </w:tbl>
    <w:p w14:paraId="21C71612">
      <w:pPr>
        <w:tabs>
          <w:tab w:val="left" w:pos="1603"/>
          <w:tab w:val="left" w:pos="2232"/>
          <w:tab w:val="left" w:pos="2683"/>
          <w:tab w:val="left" w:pos="3132"/>
        </w:tabs>
        <w:spacing w:line="480" w:lineRule="auto"/>
        <w:ind w:firstLine="440" w:firstLineChars="200"/>
        <w:rPr>
          <w:color w:val="auto"/>
          <w:szCs w:val="21"/>
          <w:highlight w:val="none"/>
        </w:rPr>
      </w:pPr>
      <w:r>
        <w:rPr>
          <w:rFonts w:hint="eastAsia"/>
          <w:color w:val="auto"/>
          <w:szCs w:val="21"/>
          <w:highlight w:val="none"/>
        </w:rPr>
        <w:t>注：供应商需随此表附上营业执照 “三证合一”证书等证书和文件的复印件。</w:t>
      </w:r>
    </w:p>
    <w:p w14:paraId="485938CD">
      <w:pPr>
        <w:rPr>
          <w:color w:val="auto"/>
          <w:szCs w:val="21"/>
          <w:highlight w:val="none"/>
        </w:rPr>
      </w:pPr>
      <w:r>
        <w:rPr>
          <w:rFonts w:hint="eastAsia"/>
          <w:color w:val="auto"/>
          <w:szCs w:val="21"/>
          <w:highlight w:val="none"/>
        </w:rPr>
        <w:br w:type="page"/>
      </w:r>
    </w:p>
    <w:p w14:paraId="5595F67C">
      <w:pPr>
        <w:adjustRightInd w:val="0"/>
        <w:spacing w:line="570" w:lineRule="exact"/>
        <w:ind w:firstLine="482" w:firstLineChars="200"/>
        <w:contextualSpacing/>
        <w:jc w:val="center"/>
        <w:textAlignment w:val="baseline"/>
        <w:rPr>
          <w:rFonts w:eastAsia="黑体"/>
          <w:color w:val="auto"/>
          <w:sz w:val="36"/>
          <w:szCs w:val="36"/>
          <w:highlight w:val="none"/>
        </w:rPr>
      </w:pPr>
      <w:r>
        <w:rPr>
          <w:rFonts w:hint="eastAsia"/>
          <w:b/>
          <w:color w:val="auto"/>
          <w:sz w:val="24"/>
          <w:szCs w:val="24"/>
          <w:highlight w:val="none"/>
        </w:rPr>
        <w:t>（二）资格承诺声明函</w:t>
      </w:r>
    </w:p>
    <w:p w14:paraId="7EC60DDD">
      <w:pPr>
        <w:spacing w:line="360" w:lineRule="auto"/>
        <w:ind w:firstLine="440" w:firstLineChars="200"/>
        <w:rPr>
          <w:color w:val="auto"/>
          <w:highlight w:val="none"/>
          <w:u w:val="single"/>
        </w:rPr>
      </w:pPr>
    </w:p>
    <w:p w14:paraId="41BAD565">
      <w:pPr>
        <w:spacing w:line="360" w:lineRule="auto"/>
        <w:ind w:firstLine="440" w:firstLineChars="200"/>
        <w:rPr>
          <w:color w:val="auto"/>
          <w:highlight w:val="none"/>
        </w:rPr>
      </w:pPr>
      <w:r>
        <w:rPr>
          <w:rFonts w:hint="eastAsia"/>
          <w:color w:val="auto"/>
          <w:highlight w:val="none"/>
          <w:u w:val="single"/>
        </w:rPr>
        <w:t>致（本项目采购单位）及</w:t>
      </w:r>
      <w:r>
        <w:rPr>
          <w:rFonts w:hint="eastAsia"/>
          <w:color w:val="auto"/>
          <w:highlight w:val="none"/>
          <w:u w:val="single"/>
          <w:lang w:val="en-US"/>
        </w:rPr>
        <w:t>郑州市</w:t>
      </w:r>
      <w:r>
        <w:rPr>
          <w:rFonts w:hint="eastAsia"/>
          <w:color w:val="auto"/>
          <w:highlight w:val="none"/>
          <w:u w:val="single"/>
        </w:rPr>
        <w:t>公共资源交易中心</w:t>
      </w:r>
      <w:r>
        <w:rPr>
          <w:rFonts w:hint="eastAsia"/>
          <w:color w:val="auto"/>
          <w:highlight w:val="none"/>
        </w:rPr>
        <w:t>：</w:t>
      </w:r>
    </w:p>
    <w:p w14:paraId="267B90ED">
      <w:pPr>
        <w:spacing w:line="360" w:lineRule="auto"/>
        <w:ind w:firstLine="440" w:firstLineChars="200"/>
        <w:rPr>
          <w:color w:val="auto"/>
          <w:highlight w:val="none"/>
        </w:rPr>
      </w:pPr>
      <w:r>
        <w:rPr>
          <w:rFonts w:hint="eastAsia"/>
          <w:color w:val="auto"/>
          <w:highlight w:val="none"/>
        </w:rPr>
        <w:t>我单位自愿参加本次政府采购活动，严格遵守《中华人民共和国政府采购法》及相关法律法规，依法诚信经营，依法遵守本次政府采购活动的各项规定。我单位郑重承诺声明如下：</w:t>
      </w:r>
    </w:p>
    <w:p w14:paraId="56F9E84B">
      <w:pPr>
        <w:spacing w:line="360" w:lineRule="auto"/>
        <w:ind w:firstLine="440" w:firstLineChars="200"/>
        <w:rPr>
          <w:color w:val="auto"/>
          <w:highlight w:val="none"/>
        </w:rPr>
      </w:pPr>
      <w:r>
        <w:rPr>
          <w:rFonts w:hint="eastAsia"/>
          <w:color w:val="auto"/>
          <w:highlight w:val="none"/>
        </w:rPr>
        <w:t>一、我单位全称为</w:t>
      </w:r>
      <w:r>
        <w:rPr>
          <w:rFonts w:hint="eastAsia"/>
          <w:color w:val="auto"/>
          <w:highlight w:val="none"/>
          <w:u w:val="single"/>
          <w:lang w:val="en-US" w:eastAsia="zh-CN"/>
        </w:rPr>
        <w:t xml:space="preserve">                </w:t>
      </w:r>
      <w:r>
        <w:rPr>
          <w:rFonts w:hint="eastAsia"/>
          <w:color w:val="auto"/>
          <w:highlight w:val="none"/>
        </w:rPr>
        <w:t>，注册地点为</w:t>
      </w:r>
      <w:r>
        <w:rPr>
          <w:rFonts w:hint="eastAsia"/>
          <w:color w:val="auto"/>
          <w:highlight w:val="none"/>
          <w:u w:val="single"/>
          <w:lang w:val="en-US" w:eastAsia="zh-CN"/>
        </w:rPr>
        <w:t xml:space="preserve">              </w:t>
      </w:r>
      <w:r>
        <w:rPr>
          <w:rFonts w:hint="eastAsia"/>
          <w:color w:val="auto"/>
          <w:highlight w:val="none"/>
        </w:rPr>
        <w:t>，统一社会信用代码为</w:t>
      </w:r>
      <w:r>
        <w:rPr>
          <w:rFonts w:hint="eastAsia"/>
          <w:color w:val="auto"/>
          <w:highlight w:val="none"/>
          <w:u w:val="single"/>
          <w:lang w:val="en-US" w:eastAsia="zh-CN"/>
        </w:rPr>
        <w:t xml:space="preserve">                   </w:t>
      </w:r>
      <w:r>
        <w:rPr>
          <w:rFonts w:hint="eastAsia"/>
          <w:color w:val="auto"/>
          <w:highlight w:val="none"/>
        </w:rPr>
        <w:t>，法定代表人（单位负责人）为</w:t>
      </w:r>
      <w:r>
        <w:rPr>
          <w:rFonts w:hint="eastAsia"/>
          <w:color w:val="auto"/>
          <w:highlight w:val="none"/>
          <w:u w:val="single"/>
          <w:lang w:val="en-US" w:eastAsia="zh-CN"/>
        </w:rPr>
        <w:t xml:space="preserve">          </w:t>
      </w:r>
      <w:r>
        <w:rPr>
          <w:rFonts w:hint="eastAsia"/>
          <w:color w:val="auto"/>
          <w:highlight w:val="none"/>
        </w:rPr>
        <w:t>，联系方式为</w:t>
      </w:r>
      <w:r>
        <w:rPr>
          <w:rFonts w:hint="eastAsia"/>
          <w:color w:val="auto"/>
          <w:highlight w:val="none"/>
          <w:u w:val="single"/>
          <w:lang w:val="en-US" w:eastAsia="zh-CN"/>
        </w:rPr>
        <w:t xml:space="preserve">         </w:t>
      </w:r>
      <w:r>
        <w:rPr>
          <w:rFonts w:hint="eastAsia"/>
          <w:color w:val="auto"/>
          <w:highlight w:val="none"/>
        </w:rPr>
        <w:t>。</w:t>
      </w:r>
    </w:p>
    <w:p w14:paraId="41514DAE">
      <w:pPr>
        <w:spacing w:line="360" w:lineRule="auto"/>
        <w:ind w:firstLine="440" w:firstLineChars="200"/>
        <w:rPr>
          <w:color w:val="auto"/>
          <w:highlight w:val="none"/>
        </w:rPr>
      </w:pPr>
      <w:r>
        <w:rPr>
          <w:rFonts w:hint="eastAsia"/>
          <w:color w:val="auto"/>
          <w:highlight w:val="none"/>
        </w:rPr>
        <w:t>二、我单位具有独立承担民事责任的能力。</w:t>
      </w:r>
    </w:p>
    <w:p w14:paraId="6CE3B40E">
      <w:pPr>
        <w:spacing w:line="360" w:lineRule="auto"/>
        <w:ind w:firstLine="440" w:firstLineChars="200"/>
        <w:rPr>
          <w:color w:val="auto"/>
          <w:highlight w:val="none"/>
        </w:rPr>
      </w:pPr>
      <w:r>
        <w:rPr>
          <w:rFonts w:hint="eastAsia"/>
          <w:color w:val="auto"/>
          <w:highlight w:val="none"/>
        </w:rPr>
        <w:t>三、我单位具有良好的商业信誉和健全的财务会计制度。</w:t>
      </w:r>
    </w:p>
    <w:p w14:paraId="314C9537">
      <w:pPr>
        <w:spacing w:line="360" w:lineRule="auto"/>
        <w:ind w:firstLine="440" w:firstLineChars="200"/>
        <w:rPr>
          <w:color w:val="auto"/>
          <w:highlight w:val="none"/>
        </w:rPr>
      </w:pPr>
      <w:r>
        <w:rPr>
          <w:rFonts w:hint="eastAsia"/>
          <w:color w:val="auto"/>
          <w:highlight w:val="none"/>
        </w:rPr>
        <w:t>四、我单位具有履行合同所必需的设备和专业技术能力。</w:t>
      </w:r>
    </w:p>
    <w:p w14:paraId="324E77F0">
      <w:pPr>
        <w:spacing w:line="360" w:lineRule="auto"/>
        <w:ind w:firstLine="440" w:firstLineChars="200"/>
        <w:rPr>
          <w:color w:val="auto"/>
          <w:highlight w:val="none"/>
        </w:rPr>
      </w:pPr>
      <w:r>
        <w:rPr>
          <w:rFonts w:hint="eastAsia"/>
          <w:color w:val="auto"/>
          <w:highlight w:val="none"/>
        </w:rPr>
        <w:t>五、我单位有依法缴纳税收和社会保障资金的良好记录。</w:t>
      </w:r>
    </w:p>
    <w:p w14:paraId="3150AFFA">
      <w:pPr>
        <w:spacing w:line="360" w:lineRule="auto"/>
        <w:ind w:firstLine="440" w:firstLineChars="200"/>
        <w:rPr>
          <w:color w:val="auto"/>
          <w:highlight w:val="none"/>
        </w:rPr>
      </w:pPr>
      <w:r>
        <w:rPr>
          <w:rFonts w:hint="eastAsia"/>
          <w:color w:val="auto"/>
          <w:highlight w:val="none"/>
        </w:rPr>
        <w:t>六、我单位参加政府采购活动前三年内，在经营活动中没有重大违法记录。（重大违法记录，是指供应商因违法经营受到刑事处罚或者责令停产停业、吊销许可证或者执照、较大数额罚款等行政处罚。）</w:t>
      </w:r>
    </w:p>
    <w:p w14:paraId="1303B71E">
      <w:pPr>
        <w:spacing w:line="360" w:lineRule="auto"/>
        <w:ind w:firstLine="440" w:firstLineChars="200"/>
        <w:rPr>
          <w:color w:val="auto"/>
          <w:highlight w:val="none"/>
        </w:rPr>
      </w:pPr>
      <w:r>
        <w:rPr>
          <w:rFonts w:hint="eastAsia"/>
          <w:color w:val="auto"/>
          <w:highlight w:val="none"/>
        </w:rPr>
        <w:t>七、我单位具备法律、行政法规规定的其他条件。</w:t>
      </w:r>
    </w:p>
    <w:p w14:paraId="4E3EF198">
      <w:pPr>
        <w:spacing w:line="360" w:lineRule="auto"/>
        <w:ind w:firstLine="440" w:firstLineChars="200"/>
        <w:rPr>
          <w:color w:val="auto"/>
          <w:highlight w:val="none"/>
        </w:rPr>
      </w:pPr>
      <w:r>
        <w:rPr>
          <w:rFonts w:hint="eastAsia"/>
          <w:color w:val="auto"/>
          <w:highlight w:val="none"/>
        </w:rPr>
        <w:t>我单位保证上述声明的事项都是真实的，符合《中华人民共和国政府采购法》规定的供应商资格条件。如有弄虚作假，我单位愿意按照“提供虚假材料谋取中标、成交”承担相应的法律责任，同意将违背承诺行为作为失信行为记录到社会信用信息平台，并承担因此所造成的一切损失。</w:t>
      </w:r>
    </w:p>
    <w:p w14:paraId="1252A85B">
      <w:pPr>
        <w:spacing w:line="360" w:lineRule="auto"/>
        <w:ind w:firstLine="3960" w:firstLineChars="1800"/>
        <w:rPr>
          <w:color w:val="auto"/>
          <w:highlight w:val="none"/>
        </w:rPr>
      </w:pPr>
    </w:p>
    <w:p w14:paraId="26B5007A">
      <w:pPr>
        <w:spacing w:line="360" w:lineRule="auto"/>
        <w:ind w:firstLine="3960" w:firstLineChars="1800"/>
        <w:rPr>
          <w:color w:val="auto"/>
          <w:highlight w:val="none"/>
        </w:rPr>
      </w:pPr>
    </w:p>
    <w:p w14:paraId="2A20C9C6">
      <w:pPr>
        <w:spacing w:line="360" w:lineRule="auto"/>
        <w:ind w:firstLine="3960" w:firstLineChars="1800"/>
        <w:rPr>
          <w:color w:val="auto"/>
          <w:highlight w:val="none"/>
        </w:rPr>
      </w:pPr>
    </w:p>
    <w:p w14:paraId="3954FCF0">
      <w:pPr>
        <w:spacing w:line="360" w:lineRule="auto"/>
        <w:ind w:firstLine="3960" w:firstLineChars="1800"/>
        <w:rPr>
          <w:color w:val="auto"/>
          <w:highlight w:val="none"/>
        </w:rPr>
      </w:pPr>
      <w:r>
        <w:rPr>
          <w:rFonts w:hint="eastAsia"/>
          <w:color w:val="auto"/>
          <w:highlight w:val="none"/>
        </w:rPr>
        <w:t>承诺单位（盖章）：</w:t>
      </w:r>
    </w:p>
    <w:p w14:paraId="5ABF97E4">
      <w:pPr>
        <w:spacing w:line="360" w:lineRule="auto"/>
        <w:ind w:firstLine="3960" w:firstLineChars="1800"/>
        <w:rPr>
          <w:color w:val="auto"/>
          <w:highlight w:val="none"/>
        </w:rPr>
      </w:pPr>
      <w:r>
        <w:rPr>
          <w:rFonts w:hint="eastAsia"/>
          <w:color w:val="auto"/>
          <w:highlight w:val="none"/>
        </w:rPr>
        <w:t>法定代表人或其</w:t>
      </w:r>
      <w:r>
        <w:rPr>
          <w:rFonts w:hint="eastAsia"/>
          <w:color w:val="auto"/>
          <w:highlight w:val="none"/>
          <w:lang w:eastAsia="zh-CN"/>
        </w:rPr>
        <w:t>授权委托</w:t>
      </w:r>
      <w:r>
        <w:rPr>
          <w:rFonts w:hint="eastAsia"/>
          <w:color w:val="auto"/>
          <w:highlight w:val="none"/>
        </w:rPr>
        <w:t>人（签名或盖章）：</w:t>
      </w:r>
    </w:p>
    <w:p w14:paraId="06BBD227">
      <w:pPr>
        <w:spacing w:line="360" w:lineRule="auto"/>
        <w:ind w:firstLine="3960" w:firstLineChars="1800"/>
        <w:rPr>
          <w:color w:val="auto"/>
          <w:highlight w:val="none"/>
        </w:rPr>
      </w:pPr>
      <w:r>
        <w:rPr>
          <w:rFonts w:hint="eastAsia"/>
          <w:color w:val="auto"/>
          <w:highlight w:val="none"/>
        </w:rPr>
        <w:t>日期：</w:t>
      </w:r>
      <w:r>
        <w:rPr>
          <w:rFonts w:hint="eastAsia"/>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03ECB6F4">
      <w:pPr>
        <w:spacing w:line="360" w:lineRule="auto"/>
        <w:ind w:firstLine="440" w:firstLineChars="200"/>
        <w:rPr>
          <w:color w:val="auto"/>
          <w:highlight w:val="none"/>
        </w:rPr>
      </w:pPr>
    </w:p>
    <w:p w14:paraId="01C01289">
      <w:pPr>
        <w:spacing w:line="360" w:lineRule="auto"/>
        <w:ind w:firstLine="440" w:firstLineChars="200"/>
        <w:rPr>
          <w:color w:val="auto"/>
          <w:highlight w:val="none"/>
        </w:rPr>
      </w:pPr>
      <w:r>
        <w:rPr>
          <w:rFonts w:hint="eastAsia"/>
          <w:color w:val="auto"/>
          <w:highlight w:val="none"/>
        </w:rPr>
        <w:t>注：1.投标人须在投标文件中按此模板提供承诺函，未提供视为未实质性响应招标文件要求，按无效投标处理。</w:t>
      </w:r>
    </w:p>
    <w:p w14:paraId="251EE8E0">
      <w:pPr>
        <w:spacing w:line="360" w:lineRule="auto"/>
        <w:ind w:firstLine="440" w:firstLineChars="200"/>
        <w:rPr>
          <w:color w:val="auto"/>
          <w:highlight w:val="none"/>
        </w:rPr>
      </w:pPr>
      <w:r>
        <w:rPr>
          <w:rFonts w:hint="eastAsia"/>
          <w:color w:val="auto"/>
          <w:highlight w:val="none"/>
        </w:rPr>
        <w:t>2.投标人的法定代表人或者授权代表的签字或盖章应真实、有效。</w:t>
      </w:r>
    </w:p>
    <w:p w14:paraId="52F1D97E">
      <w:pPr>
        <w:rPr>
          <w:color w:val="auto"/>
          <w:sz w:val="18"/>
          <w:highlight w:val="none"/>
        </w:rPr>
      </w:pPr>
      <w:r>
        <w:rPr>
          <w:color w:val="auto"/>
          <w:sz w:val="18"/>
          <w:highlight w:val="none"/>
        </w:rPr>
        <w:br w:type="page"/>
      </w:r>
    </w:p>
    <w:p w14:paraId="42311458">
      <w:pPr>
        <w:jc w:val="center"/>
        <w:rPr>
          <w:b/>
          <w:color w:val="auto"/>
          <w:sz w:val="24"/>
          <w:szCs w:val="24"/>
          <w:highlight w:val="none"/>
        </w:rPr>
      </w:pPr>
    </w:p>
    <w:p w14:paraId="5DD9E311">
      <w:pPr>
        <w:jc w:val="center"/>
        <w:rPr>
          <w:bCs/>
          <w:color w:val="auto"/>
          <w:sz w:val="28"/>
          <w:szCs w:val="28"/>
          <w:highlight w:val="none"/>
        </w:rPr>
      </w:pPr>
      <w:r>
        <w:rPr>
          <w:rFonts w:hint="eastAsia"/>
          <w:b/>
          <w:color w:val="auto"/>
          <w:sz w:val="24"/>
          <w:szCs w:val="24"/>
          <w:highlight w:val="none"/>
        </w:rPr>
        <w:t>（</w:t>
      </w:r>
      <w:r>
        <w:rPr>
          <w:rFonts w:hint="eastAsia"/>
          <w:b/>
          <w:color w:val="auto"/>
          <w:sz w:val="24"/>
          <w:szCs w:val="24"/>
          <w:highlight w:val="none"/>
          <w:lang w:val="en-US"/>
        </w:rPr>
        <w:t>三</w:t>
      </w:r>
      <w:r>
        <w:rPr>
          <w:rFonts w:hint="eastAsia"/>
          <w:b/>
          <w:color w:val="auto"/>
          <w:sz w:val="24"/>
          <w:szCs w:val="24"/>
          <w:highlight w:val="none"/>
        </w:rPr>
        <w:t>）企业信誉声明函</w:t>
      </w:r>
    </w:p>
    <w:p w14:paraId="584B4421">
      <w:pPr>
        <w:spacing w:line="360" w:lineRule="auto"/>
        <w:rPr>
          <w:color w:val="auto"/>
          <w:sz w:val="18"/>
          <w:szCs w:val="15"/>
          <w:highlight w:val="none"/>
        </w:rPr>
      </w:pPr>
    </w:p>
    <w:p w14:paraId="4A34F9BA">
      <w:pPr>
        <w:spacing w:line="360" w:lineRule="auto"/>
        <w:ind w:firstLine="440" w:firstLineChars="200"/>
        <w:rPr>
          <w:color w:val="auto"/>
          <w:highlight w:val="none"/>
        </w:rPr>
      </w:pPr>
      <w:r>
        <w:rPr>
          <w:rFonts w:hint="eastAsia"/>
          <w:color w:val="auto"/>
          <w:highlight w:val="none"/>
        </w:rPr>
        <w:t>我公司承诺：</w:t>
      </w:r>
    </w:p>
    <w:p w14:paraId="0A09060B">
      <w:pPr>
        <w:spacing w:line="360" w:lineRule="auto"/>
        <w:ind w:firstLine="440" w:firstLineChars="200"/>
        <w:rPr>
          <w:color w:val="auto"/>
          <w:highlight w:val="none"/>
        </w:rPr>
      </w:pPr>
      <w:r>
        <w:rPr>
          <w:rFonts w:hint="eastAsia"/>
          <w:color w:val="auto"/>
          <w:highlight w:val="none"/>
        </w:rPr>
        <w:t>在</w:t>
      </w:r>
      <w:r>
        <w:rPr>
          <w:rFonts w:hint="eastAsia"/>
          <w:color w:val="auto"/>
          <w:highlight w:val="none"/>
          <w:u w:val="single"/>
        </w:rPr>
        <w:t>（项目名称）</w:t>
      </w:r>
      <w:r>
        <w:rPr>
          <w:rFonts w:hint="eastAsia"/>
          <w:color w:val="auto"/>
          <w:highlight w:val="none"/>
        </w:rPr>
        <w:t>招标活动中，我公司承诺：</w:t>
      </w:r>
    </w:p>
    <w:p w14:paraId="1A34F7AC">
      <w:pPr>
        <w:spacing w:line="360" w:lineRule="auto"/>
        <w:ind w:firstLine="440" w:firstLineChars="200"/>
        <w:rPr>
          <w:color w:val="auto"/>
          <w:highlight w:val="none"/>
        </w:rPr>
      </w:pPr>
      <w:r>
        <w:rPr>
          <w:rFonts w:hint="eastAsia"/>
          <w:color w:val="auto"/>
          <w:highlight w:val="none"/>
        </w:rPr>
        <w:t>一、我公司具有良好的商业信誉，在人员、设备、资金等方面具备相应的能力；</w:t>
      </w:r>
    </w:p>
    <w:p w14:paraId="5108DF40">
      <w:pPr>
        <w:spacing w:line="360" w:lineRule="auto"/>
        <w:ind w:firstLine="440" w:firstLineChars="200"/>
        <w:rPr>
          <w:color w:val="auto"/>
          <w:highlight w:val="none"/>
        </w:rPr>
      </w:pPr>
      <w:r>
        <w:rPr>
          <w:rFonts w:hint="eastAsia"/>
          <w:color w:val="auto"/>
          <w:highlight w:val="none"/>
        </w:rPr>
        <w:t>二、具有履行合同所必需的设备和专业技术能力且参加本次政府采购活动前三年内，在经营活动中没有重大违法记录；</w:t>
      </w:r>
    </w:p>
    <w:p w14:paraId="250824A8">
      <w:pPr>
        <w:spacing w:line="360" w:lineRule="auto"/>
        <w:ind w:firstLine="440" w:firstLineChars="200"/>
        <w:rPr>
          <w:color w:val="auto"/>
          <w:highlight w:val="none"/>
        </w:rPr>
      </w:pPr>
      <w:r>
        <w:rPr>
          <w:rFonts w:hint="eastAsia"/>
          <w:color w:val="auto"/>
          <w:highlight w:val="none"/>
        </w:rPr>
        <w:t>三、我方在此声明以上承诺内容真实、可靠，如有弄虚作假，我公司及参与投标的工作人员愿意接受按照国家法律法规等有关规定给予的处罚。</w:t>
      </w:r>
    </w:p>
    <w:p w14:paraId="1CECFA3E">
      <w:pPr>
        <w:spacing w:line="360" w:lineRule="auto"/>
        <w:ind w:firstLine="440" w:firstLineChars="200"/>
        <w:rPr>
          <w:color w:val="auto"/>
          <w:highlight w:val="none"/>
        </w:rPr>
      </w:pPr>
    </w:p>
    <w:p w14:paraId="15199DAD">
      <w:pPr>
        <w:pStyle w:val="25"/>
        <w:rPr>
          <w:color w:val="auto"/>
          <w:sz w:val="22"/>
          <w:highlight w:val="none"/>
        </w:rPr>
      </w:pPr>
    </w:p>
    <w:p w14:paraId="787B1842">
      <w:pPr>
        <w:pStyle w:val="4"/>
        <w:rPr>
          <w:color w:val="auto"/>
          <w:sz w:val="22"/>
          <w:highlight w:val="none"/>
        </w:rPr>
      </w:pPr>
    </w:p>
    <w:p w14:paraId="5811FC21">
      <w:pPr>
        <w:spacing w:line="360" w:lineRule="auto"/>
        <w:ind w:firstLine="440" w:firstLineChars="200"/>
        <w:jc w:val="right"/>
        <w:rPr>
          <w:rFonts w:hint="eastAsia" w:eastAsia="宋体"/>
          <w:color w:val="auto"/>
          <w:highlight w:val="none"/>
          <w:lang w:eastAsia="zh-CN"/>
        </w:rPr>
      </w:pPr>
      <w:r>
        <w:rPr>
          <w:rFonts w:hint="eastAsia"/>
          <w:color w:val="auto"/>
          <w:highlight w:val="none"/>
        </w:rPr>
        <w:t>供应商（盖单位章）</w:t>
      </w:r>
      <w:r>
        <w:rPr>
          <w:rFonts w:hint="eastAsia"/>
          <w:color w:val="auto"/>
          <w:highlight w:val="none"/>
          <w:lang w:eastAsia="zh-CN"/>
        </w:rPr>
        <w:t>：</w:t>
      </w:r>
    </w:p>
    <w:p w14:paraId="50FFDA57">
      <w:pPr>
        <w:spacing w:line="360" w:lineRule="auto"/>
        <w:ind w:firstLine="440" w:firstLineChars="200"/>
        <w:jc w:val="right"/>
        <w:rPr>
          <w:rFonts w:hint="eastAsia" w:eastAsia="宋体"/>
          <w:color w:val="auto"/>
          <w:highlight w:val="none"/>
          <w:lang w:eastAsia="zh-CN"/>
        </w:rPr>
      </w:pPr>
      <w:r>
        <w:rPr>
          <w:rFonts w:hint="eastAsia"/>
          <w:color w:val="auto"/>
          <w:highlight w:val="none"/>
        </w:rPr>
        <w:t>法定代表人或其</w:t>
      </w:r>
      <w:r>
        <w:rPr>
          <w:rFonts w:hint="eastAsia"/>
          <w:color w:val="auto"/>
          <w:highlight w:val="none"/>
          <w:lang w:eastAsia="zh-CN"/>
        </w:rPr>
        <w:t>授权委托</w:t>
      </w:r>
      <w:r>
        <w:rPr>
          <w:rFonts w:hint="eastAsia"/>
          <w:color w:val="auto"/>
          <w:highlight w:val="none"/>
        </w:rPr>
        <w:t>人（签字或盖章）</w:t>
      </w:r>
      <w:r>
        <w:rPr>
          <w:rFonts w:hint="eastAsia"/>
          <w:color w:val="auto"/>
          <w:highlight w:val="none"/>
          <w:lang w:eastAsia="zh-CN"/>
        </w:rPr>
        <w:t>：</w:t>
      </w:r>
    </w:p>
    <w:p w14:paraId="36F3AA8F">
      <w:pPr>
        <w:spacing w:line="360" w:lineRule="auto"/>
        <w:ind w:firstLine="440" w:firstLineChars="200"/>
        <w:jc w:val="right"/>
        <w:rPr>
          <w:color w:val="auto"/>
          <w:highlight w:val="none"/>
        </w:rPr>
      </w:pPr>
      <w:r>
        <w:rPr>
          <w:rFonts w:hint="eastAsia"/>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3F075F4C">
      <w:pPr>
        <w:spacing w:line="480" w:lineRule="auto"/>
        <w:ind w:firstLine="440" w:firstLineChars="200"/>
        <w:rPr>
          <w:bCs/>
          <w:color w:val="auto"/>
          <w:highlight w:val="none"/>
        </w:rPr>
      </w:pPr>
    </w:p>
    <w:p w14:paraId="76BE985A">
      <w:pPr>
        <w:spacing w:line="480" w:lineRule="auto"/>
        <w:ind w:firstLine="440" w:firstLineChars="200"/>
        <w:rPr>
          <w:bCs/>
          <w:color w:val="auto"/>
          <w:sz w:val="24"/>
          <w:highlight w:val="none"/>
        </w:rPr>
      </w:pPr>
      <w:r>
        <w:rPr>
          <w:rFonts w:hint="eastAsia"/>
          <w:bCs/>
          <w:color w:val="auto"/>
          <w:highlight w:val="none"/>
        </w:rPr>
        <w:t>注：供应商必须保证其承诺内容的真实性，不得弄虚作假，否则承担一切法律责任。</w:t>
      </w:r>
    </w:p>
    <w:p w14:paraId="7E5939CC">
      <w:pPr>
        <w:pStyle w:val="25"/>
        <w:rPr>
          <w:color w:val="auto"/>
          <w:highlight w:val="none"/>
        </w:rPr>
      </w:pPr>
    </w:p>
    <w:p w14:paraId="524A160E">
      <w:pPr>
        <w:rPr>
          <w:color w:val="auto"/>
          <w:sz w:val="9"/>
          <w:highlight w:val="none"/>
        </w:rPr>
      </w:pPr>
      <w:r>
        <w:rPr>
          <w:color w:val="auto"/>
          <w:sz w:val="9"/>
          <w:highlight w:val="none"/>
        </w:rPr>
        <w:br w:type="page"/>
      </w:r>
    </w:p>
    <w:p w14:paraId="324E6FB0">
      <w:pPr>
        <w:jc w:val="center"/>
        <w:rPr>
          <w:b/>
          <w:bCs/>
          <w:color w:val="auto"/>
          <w:sz w:val="24"/>
          <w:highlight w:val="none"/>
        </w:rPr>
      </w:pPr>
    </w:p>
    <w:p w14:paraId="4647DD6B">
      <w:pPr>
        <w:jc w:val="center"/>
        <w:rPr>
          <w:b/>
          <w:bCs/>
          <w:color w:val="auto"/>
          <w:kern w:val="2"/>
          <w:highlight w:val="none"/>
          <w:lang w:val="en-US"/>
        </w:rPr>
      </w:pPr>
      <w:r>
        <w:rPr>
          <w:rFonts w:hint="eastAsia"/>
          <w:b/>
          <w:bCs/>
          <w:color w:val="auto"/>
          <w:sz w:val="24"/>
          <w:szCs w:val="24"/>
          <w:highlight w:val="none"/>
        </w:rPr>
        <w:t>（</w:t>
      </w:r>
      <w:r>
        <w:rPr>
          <w:rFonts w:hint="eastAsia"/>
          <w:b/>
          <w:bCs/>
          <w:color w:val="auto"/>
          <w:sz w:val="24"/>
          <w:szCs w:val="24"/>
          <w:highlight w:val="none"/>
          <w:lang w:val="en-US"/>
        </w:rPr>
        <w:t>四</w:t>
      </w:r>
      <w:r>
        <w:rPr>
          <w:rFonts w:hint="eastAsia"/>
          <w:b/>
          <w:bCs/>
          <w:color w:val="auto"/>
          <w:sz w:val="24"/>
          <w:szCs w:val="24"/>
          <w:highlight w:val="none"/>
        </w:rPr>
        <w:t>）</w:t>
      </w:r>
      <w:r>
        <w:rPr>
          <w:rFonts w:hint="eastAsia"/>
          <w:b/>
          <w:bCs/>
          <w:color w:val="auto"/>
          <w:kern w:val="2"/>
          <w:sz w:val="24"/>
          <w:szCs w:val="24"/>
          <w:highlight w:val="none"/>
        </w:rPr>
        <w:t>信用承诺函</w:t>
      </w:r>
    </w:p>
    <w:p w14:paraId="07F27149">
      <w:pPr>
        <w:pStyle w:val="14"/>
        <w:spacing w:beforeAutospacing="0" w:afterAutospacing="0" w:line="360" w:lineRule="auto"/>
        <w:ind w:firstLine="420" w:firstLineChars="200"/>
        <w:rPr>
          <w:color w:val="auto"/>
          <w:kern w:val="2"/>
          <w:sz w:val="21"/>
          <w:szCs w:val="20"/>
          <w:highlight w:val="none"/>
        </w:rPr>
      </w:pPr>
    </w:p>
    <w:p w14:paraId="0A658C9A">
      <w:pPr>
        <w:spacing w:line="360" w:lineRule="auto"/>
        <w:rPr>
          <w:color w:val="auto"/>
          <w:highlight w:val="none"/>
          <w:lang w:val="en-US"/>
        </w:rPr>
      </w:pPr>
      <w:r>
        <w:rPr>
          <w:rFonts w:hint="eastAsia"/>
          <w:color w:val="auto"/>
          <w:highlight w:val="none"/>
        </w:rPr>
        <w:t>致：</w:t>
      </w:r>
      <w:r>
        <w:rPr>
          <w:rFonts w:hint="eastAsia"/>
          <w:color w:val="auto"/>
          <w:highlight w:val="none"/>
          <w:u w:val="single"/>
          <w:lang w:val="en-US"/>
        </w:rPr>
        <w:t xml:space="preserve">     （采购人）       </w:t>
      </w:r>
    </w:p>
    <w:p w14:paraId="503C0AC6">
      <w:pPr>
        <w:spacing w:line="360" w:lineRule="auto"/>
        <w:ind w:firstLine="440" w:firstLineChars="200"/>
        <w:rPr>
          <w:color w:val="auto"/>
          <w:highlight w:val="none"/>
        </w:rPr>
      </w:pPr>
      <w:r>
        <w:rPr>
          <w:rFonts w:hint="eastAsia"/>
          <w:color w:val="auto"/>
          <w:highlight w:val="none"/>
        </w:rPr>
        <w:t>根据本项目</w:t>
      </w:r>
      <w:r>
        <w:rPr>
          <w:rFonts w:hint="eastAsia"/>
          <w:color w:val="auto"/>
          <w:highlight w:val="none"/>
          <w:u w:val="single"/>
        </w:rPr>
        <w:t xml:space="preserve">                      （项目名称及</w:t>
      </w:r>
      <w:r>
        <w:rPr>
          <w:rFonts w:hint="eastAsia"/>
          <w:color w:val="auto"/>
          <w:highlight w:val="none"/>
          <w:u w:val="single"/>
          <w:lang w:val="en-US"/>
        </w:rPr>
        <w:t>采购</w:t>
      </w:r>
      <w:r>
        <w:rPr>
          <w:rFonts w:hint="eastAsia"/>
          <w:color w:val="auto"/>
          <w:highlight w:val="none"/>
          <w:u w:val="single"/>
        </w:rPr>
        <w:t>编号）</w:t>
      </w:r>
      <w:r>
        <w:rPr>
          <w:rFonts w:hint="eastAsia"/>
          <w:color w:val="auto"/>
          <w:highlight w:val="none"/>
        </w:rPr>
        <w:t>招标文件的要求，从发布公告之日至投标截止时间内, 通过“中国执行信息公开网”网站、“信用中国”网站（www.creditchina.gov.cn）查询，我公司未被列入失信被执行人、重大税收违法失信主体，通过“中国政府采购网”网站（www.ccgp.gov.cn）查询，我公司未列入“政府采购严重违法失信行为记录名单”，符合《中华人民共和国政府采购法》第二十二条规定条件。</w:t>
      </w:r>
    </w:p>
    <w:p w14:paraId="7F9365E7">
      <w:pPr>
        <w:spacing w:line="360" w:lineRule="auto"/>
        <w:ind w:firstLine="440" w:firstLineChars="200"/>
        <w:rPr>
          <w:color w:val="auto"/>
          <w:highlight w:val="none"/>
        </w:rPr>
      </w:pPr>
      <w:r>
        <w:rPr>
          <w:rFonts w:hint="eastAsia"/>
          <w:color w:val="auto"/>
          <w:highlight w:val="none"/>
        </w:rPr>
        <w:t>特此告知。</w:t>
      </w:r>
    </w:p>
    <w:p w14:paraId="2FD29B3E">
      <w:pPr>
        <w:spacing w:line="360" w:lineRule="auto"/>
        <w:ind w:firstLine="440" w:firstLineChars="200"/>
        <w:rPr>
          <w:color w:val="auto"/>
          <w:kern w:val="2"/>
          <w:szCs w:val="21"/>
          <w:highlight w:val="none"/>
        </w:rPr>
      </w:pPr>
      <w:r>
        <w:rPr>
          <w:rFonts w:hint="eastAsia"/>
          <w:color w:val="auto"/>
          <w:highlight w:val="none"/>
        </w:rPr>
        <w:t>我公司声明以上内容属实，如若不实则承担因我方就此弄虚作假所引起的一切法律后果。</w:t>
      </w:r>
    </w:p>
    <w:p w14:paraId="21D015C2">
      <w:pPr>
        <w:spacing w:line="360" w:lineRule="auto"/>
        <w:ind w:firstLine="440" w:firstLineChars="200"/>
        <w:rPr>
          <w:color w:val="auto"/>
          <w:szCs w:val="21"/>
          <w:highlight w:val="none"/>
        </w:rPr>
      </w:pPr>
    </w:p>
    <w:p w14:paraId="7F12340C">
      <w:pPr>
        <w:spacing w:line="360" w:lineRule="auto"/>
        <w:ind w:firstLine="440" w:firstLineChars="200"/>
        <w:rPr>
          <w:color w:val="auto"/>
          <w:szCs w:val="21"/>
          <w:highlight w:val="none"/>
        </w:rPr>
      </w:pPr>
    </w:p>
    <w:p w14:paraId="2C1B5CFE">
      <w:pPr>
        <w:spacing w:line="360" w:lineRule="auto"/>
        <w:ind w:firstLine="440" w:firstLineChars="200"/>
        <w:rPr>
          <w:color w:val="auto"/>
          <w:szCs w:val="21"/>
          <w:highlight w:val="none"/>
        </w:rPr>
      </w:pPr>
    </w:p>
    <w:p w14:paraId="778992EB">
      <w:pPr>
        <w:spacing w:line="360" w:lineRule="auto"/>
        <w:ind w:left="0" w:leftChars="0" w:firstLine="4400" w:firstLineChars="2000"/>
        <w:rPr>
          <w:color w:val="auto"/>
          <w:szCs w:val="21"/>
          <w:highlight w:val="none"/>
          <w:lang w:val="en-US"/>
        </w:rPr>
      </w:pPr>
      <w:r>
        <w:rPr>
          <w:rFonts w:hint="eastAsia"/>
          <w:color w:val="auto"/>
          <w:szCs w:val="21"/>
          <w:highlight w:val="none"/>
        </w:rPr>
        <w:t>供应商（公章）：</w:t>
      </w:r>
    </w:p>
    <w:p w14:paraId="09006DA7">
      <w:pPr>
        <w:spacing w:line="360" w:lineRule="auto"/>
        <w:ind w:left="0" w:leftChars="0" w:firstLine="4400" w:firstLineChars="2000"/>
        <w:rPr>
          <w:color w:val="auto"/>
          <w:szCs w:val="21"/>
          <w:highlight w:val="none"/>
        </w:rPr>
      </w:pPr>
      <w:r>
        <w:rPr>
          <w:rFonts w:hint="eastAsia"/>
          <w:color w:val="auto"/>
          <w:szCs w:val="21"/>
          <w:highlight w:val="none"/>
        </w:rPr>
        <w:t>法定代表人或其</w:t>
      </w:r>
      <w:r>
        <w:rPr>
          <w:rFonts w:hint="eastAsia"/>
          <w:color w:val="auto"/>
          <w:szCs w:val="21"/>
          <w:highlight w:val="none"/>
          <w:lang w:eastAsia="zh-CN"/>
        </w:rPr>
        <w:t>授权委托</w:t>
      </w:r>
      <w:r>
        <w:rPr>
          <w:rFonts w:hint="eastAsia"/>
          <w:color w:val="auto"/>
          <w:szCs w:val="21"/>
          <w:highlight w:val="none"/>
        </w:rPr>
        <w:t xml:space="preserve">人：（签字或盖章） </w:t>
      </w:r>
    </w:p>
    <w:p w14:paraId="30CCED41">
      <w:pPr>
        <w:spacing w:line="360" w:lineRule="auto"/>
        <w:ind w:firstLine="4840" w:firstLineChars="2200"/>
        <w:rPr>
          <w:color w:val="auto"/>
          <w:szCs w:val="21"/>
          <w:highlight w:val="none"/>
        </w:rPr>
      </w:pP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w:t>
      </w:r>
    </w:p>
    <w:p w14:paraId="00E3778A">
      <w:pPr>
        <w:pStyle w:val="25"/>
        <w:rPr>
          <w:color w:val="auto"/>
          <w:sz w:val="22"/>
          <w:szCs w:val="21"/>
          <w:highlight w:val="none"/>
        </w:rPr>
      </w:pPr>
    </w:p>
    <w:p w14:paraId="73A987CC">
      <w:pPr>
        <w:wordWrap w:val="0"/>
        <w:spacing w:line="360" w:lineRule="auto"/>
        <w:ind w:firstLine="442" w:firstLineChars="200"/>
        <w:rPr>
          <w:color w:val="auto"/>
          <w:highlight w:val="none"/>
        </w:rPr>
      </w:pPr>
      <w:r>
        <w:rPr>
          <w:rFonts w:hint="eastAsia"/>
          <w:b/>
          <w:bCs/>
          <w:color w:val="auto"/>
          <w:highlight w:val="none"/>
        </w:rPr>
        <w:t>注：此承诺函后附信用查询截图。</w:t>
      </w:r>
      <w:r>
        <w:rPr>
          <w:rFonts w:hint="eastAsia"/>
          <w:color w:val="auto"/>
          <w:highlight w:val="none"/>
        </w:rPr>
        <w:t>查询渠道：“中国执行信息公开网(zxgk.court.gov.cn)”查询：失信被执行人名单；“信用中国”网站(www.creditchina.gov.cn)查询：重大税收违法失信主体、“中国政府采购网”(www.ccgp.gov.cn)查询：政府采购严重违法失信行为记录名单。</w:t>
      </w:r>
    </w:p>
    <w:p w14:paraId="1AA75B35">
      <w:pPr>
        <w:spacing w:line="360" w:lineRule="auto"/>
        <w:ind w:firstLine="420" w:firstLineChars="200"/>
        <w:rPr>
          <w:bCs/>
          <w:color w:val="auto"/>
          <w:sz w:val="21"/>
          <w:highlight w:val="none"/>
        </w:rPr>
      </w:pPr>
    </w:p>
    <w:p w14:paraId="383F35DB">
      <w:pPr>
        <w:rPr>
          <w:color w:val="auto"/>
          <w:sz w:val="21"/>
          <w:highlight w:val="none"/>
        </w:rPr>
      </w:pPr>
      <w:r>
        <w:rPr>
          <w:color w:val="auto"/>
          <w:sz w:val="21"/>
          <w:highlight w:val="none"/>
        </w:rPr>
        <w:br w:type="page"/>
      </w:r>
    </w:p>
    <w:p w14:paraId="6F17F926">
      <w:pPr>
        <w:spacing w:line="360" w:lineRule="auto"/>
        <w:rPr>
          <w:b/>
          <w:bCs/>
          <w:color w:val="auto"/>
          <w:sz w:val="24"/>
          <w:szCs w:val="24"/>
          <w:highlight w:val="none"/>
        </w:rPr>
      </w:pPr>
      <w:r>
        <w:rPr>
          <w:rFonts w:hint="eastAsia"/>
          <w:b/>
          <w:bCs/>
          <w:color w:val="auto"/>
          <w:highlight w:val="none"/>
        </w:rPr>
        <w:t>（</w:t>
      </w:r>
      <w:r>
        <w:rPr>
          <w:rFonts w:hint="eastAsia"/>
          <w:b/>
          <w:bCs/>
          <w:color w:val="auto"/>
          <w:highlight w:val="none"/>
          <w:lang w:val="en-US"/>
        </w:rPr>
        <w:t>五</w:t>
      </w:r>
      <w:r>
        <w:rPr>
          <w:rFonts w:hint="eastAsia"/>
          <w:b/>
          <w:bCs/>
          <w:color w:val="auto"/>
          <w:highlight w:val="none"/>
        </w:rPr>
        <w:t>）单位负责人为同一人或者存在直接控股、管理关系的不同供应商，全部或者部分股东(基金公司或者专业投资公司作为股东的除外)为同一法人、其他组织或者自然人的不同供应商，同一自然人在两个以上供应商任职的不同供应商，不得参加同一合同项下的投标。【提供在“全国企业信用信息公示系统”中查询打印的相关材料(需包含公司基本信息、股东信息及股权变更信息)】。</w:t>
      </w:r>
    </w:p>
    <w:p w14:paraId="5A12CEE9">
      <w:pPr>
        <w:pStyle w:val="4"/>
        <w:rPr>
          <w:b/>
          <w:bCs/>
          <w:color w:val="auto"/>
          <w:sz w:val="24"/>
          <w:szCs w:val="24"/>
          <w:highlight w:val="none"/>
        </w:rPr>
      </w:pPr>
    </w:p>
    <w:p w14:paraId="655B82AB">
      <w:pPr>
        <w:rPr>
          <w:b/>
          <w:bCs/>
          <w:color w:val="auto"/>
          <w:sz w:val="24"/>
          <w:szCs w:val="24"/>
          <w:highlight w:val="none"/>
        </w:rPr>
      </w:pPr>
    </w:p>
    <w:p w14:paraId="41DBB8EC">
      <w:pPr>
        <w:pStyle w:val="25"/>
        <w:rPr>
          <w:b/>
          <w:bCs/>
          <w:color w:val="auto"/>
          <w:szCs w:val="24"/>
          <w:highlight w:val="none"/>
        </w:rPr>
      </w:pPr>
    </w:p>
    <w:p w14:paraId="38FAB07B">
      <w:pPr>
        <w:pStyle w:val="4"/>
        <w:rPr>
          <w:b/>
          <w:bCs/>
          <w:color w:val="auto"/>
          <w:sz w:val="24"/>
          <w:szCs w:val="24"/>
          <w:highlight w:val="none"/>
        </w:rPr>
      </w:pPr>
    </w:p>
    <w:p w14:paraId="2D2590B3">
      <w:pPr>
        <w:rPr>
          <w:b/>
          <w:bCs/>
          <w:color w:val="auto"/>
          <w:sz w:val="24"/>
          <w:szCs w:val="24"/>
          <w:highlight w:val="none"/>
        </w:rPr>
      </w:pPr>
    </w:p>
    <w:p w14:paraId="7BE5CF43">
      <w:pPr>
        <w:pStyle w:val="25"/>
        <w:rPr>
          <w:b/>
          <w:bCs/>
          <w:color w:val="auto"/>
          <w:szCs w:val="24"/>
          <w:highlight w:val="none"/>
        </w:rPr>
      </w:pPr>
    </w:p>
    <w:p w14:paraId="2856C2BD">
      <w:pPr>
        <w:pStyle w:val="4"/>
        <w:rPr>
          <w:b/>
          <w:bCs/>
          <w:color w:val="auto"/>
          <w:sz w:val="24"/>
          <w:szCs w:val="24"/>
          <w:highlight w:val="none"/>
        </w:rPr>
      </w:pPr>
    </w:p>
    <w:p w14:paraId="1D8E3DB3">
      <w:pPr>
        <w:rPr>
          <w:b/>
          <w:bCs/>
          <w:color w:val="auto"/>
          <w:sz w:val="24"/>
          <w:szCs w:val="24"/>
          <w:highlight w:val="none"/>
        </w:rPr>
      </w:pPr>
    </w:p>
    <w:p w14:paraId="7791B0A4">
      <w:pPr>
        <w:pStyle w:val="25"/>
        <w:rPr>
          <w:b/>
          <w:bCs/>
          <w:color w:val="auto"/>
          <w:szCs w:val="24"/>
          <w:highlight w:val="none"/>
        </w:rPr>
      </w:pPr>
    </w:p>
    <w:p w14:paraId="19023274">
      <w:pPr>
        <w:rPr>
          <w:b/>
          <w:bCs/>
          <w:color w:val="auto"/>
          <w:szCs w:val="21"/>
          <w:highlight w:val="none"/>
          <w:lang w:val="en-US"/>
        </w:rPr>
      </w:pPr>
      <w:r>
        <w:rPr>
          <w:rFonts w:hint="eastAsia"/>
          <w:b/>
          <w:bCs/>
          <w:color w:val="auto"/>
          <w:szCs w:val="21"/>
          <w:highlight w:val="none"/>
        </w:rPr>
        <w:t>（</w:t>
      </w:r>
      <w:r>
        <w:rPr>
          <w:rFonts w:hint="eastAsia"/>
          <w:b/>
          <w:bCs/>
          <w:color w:val="auto"/>
          <w:szCs w:val="21"/>
          <w:highlight w:val="none"/>
          <w:lang w:val="en-US"/>
        </w:rPr>
        <w:t>六</w:t>
      </w:r>
      <w:r>
        <w:rPr>
          <w:rFonts w:hint="eastAsia"/>
          <w:b/>
          <w:bCs/>
          <w:color w:val="auto"/>
          <w:szCs w:val="21"/>
          <w:highlight w:val="none"/>
        </w:rPr>
        <w:t>）</w:t>
      </w:r>
      <w:r>
        <w:rPr>
          <w:rFonts w:hint="eastAsia"/>
          <w:b/>
          <w:bCs/>
          <w:color w:val="auto"/>
          <w:szCs w:val="21"/>
          <w:highlight w:val="none"/>
          <w:lang w:val="en-US"/>
        </w:rPr>
        <w:t>其他资料（如有）</w:t>
      </w:r>
    </w:p>
    <w:p w14:paraId="214338BE">
      <w:pPr>
        <w:rPr>
          <w:color w:val="auto"/>
          <w:highlight w:val="none"/>
        </w:rPr>
      </w:pPr>
      <w:r>
        <w:rPr>
          <w:color w:val="auto"/>
          <w:highlight w:val="none"/>
        </w:rPr>
        <w:br w:type="page"/>
      </w:r>
    </w:p>
    <w:p w14:paraId="29ABFB3E">
      <w:pPr>
        <w:pStyle w:val="3"/>
        <w:spacing w:line="240" w:lineRule="auto"/>
        <w:jc w:val="center"/>
        <w:rPr>
          <w:rFonts w:ascii="宋体" w:hAnsi="宋体" w:eastAsia="宋体"/>
          <w:color w:val="auto"/>
          <w:sz w:val="28"/>
          <w:szCs w:val="28"/>
          <w:highlight w:val="none"/>
        </w:rPr>
      </w:pPr>
      <w:bookmarkStart w:id="119" w:name="_Toc1406"/>
      <w:bookmarkStart w:id="120" w:name="_Toc12251"/>
      <w:bookmarkStart w:id="121" w:name="_Toc16027"/>
      <w:bookmarkStart w:id="122" w:name="_Toc14867"/>
      <w:bookmarkStart w:id="123" w:name="_Toc5052"/>
      <w:bookmarkStart w:id="124" w:name="_Toc16229"/>
      <w:r>
        <w:rPr>
          <w:rFonts w:hint="eastAsia" w:ascii="宋体" w:hAnsi="宋体" w:eastAsia="宋体"/>
          <w:color w:val="auto"/>
          <w:sz w:val="28"/>
          <w:szCs w:val="28"/>
          <w:highlight w:val="none"/>
          <w:lang w:val="en-US"/>
        </w:rPr>
        <w:t>2.</w:t>
      </w:r>
      <w:r>
        <w:rPr>
          <w:rFonts w:hint="eastAsia" w:ascii="宋体" w:hAnsi="宋体" w:eastAsia="宋体"/>
          <w:color w:val="auto"/>
          <w:sz w:val="28"/>
          <w:szCs w:val="28"/>
          <w:highlight w:val="none"/>
        </w:rPr>
        <w:t>投标函及报价表</w:t>
      </w:r>
      <w:bookmarkEnd w:id="118"/>
      <w:bookmarkEnd w:id="119"/>
      <w:bookmarkEnd w:id="120"/>
      <w:bookmarkEnd w:id="121"/>
      <w:bookmarkEnd w:id="122"/>
      <w:bookmarkEnd w:id="123"/>
      <w:bookmarkEnd w:id="124"/>
    </w:p>
    <w:p w14:paraId="1E174B44">
      <w:pPr>
        <w:rPr>
          <w:color w:val="auto"/>
          <w:highlight w:val="none"/>
        </w:rPr>
      </w:pPr>
    </w:p>
    <w:p w14:paraId="404E4A5F">
      <w:pPr>
        <w:spacing w:line="360" w:lineRule="auto"/>
        <w:jc w:val="center"/>
        <w:rPr>
          <w:b/>
          <w:color w:val="auto"/>
          <w:szCs w:val="21"/>
          <w:highlight w:val="none"/>
        </w:rPr>
      </w:pPr>
      <w:r>
        <w:rPr>
          <w:rFonts w:hint="eastAsia"/>
          <w:b/>
          <w:bCs/>
          <w:color w:val="auto"/>
          <w:sz w:val="24"/>
          <w:szCs w:val="24"/>
          <w:highlight w:val="none"/>
          <w:lang w:val="en-US"/>
        </w:rPr>
        <w:t>2.1</w:t>
      </w:r>
      <w:r>
        <w:rPr>
          <w:rFonts w:hint="eastAsia"/>
          <w:b/>
          <w:bCs/>
          <w:color w:val="auto"/>
          <w:sz w:val="24"/>
          <w:szCs w:val="24"/>
          <w:highlight w:val="none"/>
        </w:rPr>
        <w:t>投标函</w:t>
      </w:r>
    </w:p>
    <w:p w14:paraId="40E5E2AF">
      <w:pPr>
        <w:pStyle w:val="6"/>
        <w:spacing w:line="360" w:lineRule="auto"/>
        <w:ind w:firstLine="440" w:firstLineChars="200"/>
        <w:rPr>
          <w:color w:val="auto"/>
          <w:sz w:val="22"/>
          <w:szCs w:val="22"/>
          <w:highlight w:val="none"/>
        </w:rPr>
      </w:pPr>
      <w:r>
        <w:rPr>
          <w:rFonts w:hint="eastAsia"/>
          <w:color w:val="auto"/>
          <w:sz w:val="22"/>
          <w:szCs w:val="22"/>
          <w:highlight w:val="none"/>
        </w:rPr>
        <w:t>致：</w:t>
      </w:r>
      <w:r>
        <w:rPr>
          <w:rFonts w:hint="eastAsia"/>
          <w:color w:val="auto"/>
          <w:sz w:val="22"/>
          <w:szCs w:val="22"/>
          <w:highlight w:val="none"/>
          <w:u w:val="single"/>
        </w:rPr>
        <w:t>郑州师范学院</w:t>
      </w:r>
    </w:p>
    <w:p w14:paraId="66F7D708">
      <w:pPr>
        <w:pStyle w:val="6"/>
        <w:spacing w:line="360" w:lineRule="auto"/>
        <w:ind w:firstLine="440" w:firstLineChars="200"/>
        <w:jc w:val="both"/>
        <w:rPr>
          <w:color w:val="auto"/>
          <w:sz w:val="22"/>
          <w:szCs w:val="22"/>
          <w:highlight w:val="none"/>
        </w:rPr>
      </w:pPr>
      <w:r>
        <w:rPr>
          <w:rFonts w:hint="eastAsia"/>
          <w:color w:val="auto"/>
          <w:sz w:val="22"/>
          <w:szCs w:val="22"/>
          <w:highlight w:val="none"/>
        </w:rPr>
        <w:t>根据贵方的投标邀请</w:t>
      </w:r>
      <w:r>
        <w:rPr>
          <w:rFonts w:hint="eastAsia"/>
          <w:color w:val="auto"/>
          <w:sz w:val="22"/>
          <w:szCs w:val="22"/>
          <w:highlight w:val="none"/>
          <w:u w:val="single"/>
        </w:rPr>
        <w:t xml:space="preserve"> 项目名称：</w:t>
      </w:r>
      <w:r>
        <w:rPr>
          <w:rFonts w:hint="eastAsia"/>
          <w:color w:val="auto"/>
          <w:sz w:val="22"/>
          <w:szCs w:val="22"/>
          <w:highlight w:val="none"/>
          <w:u w:val="single"/>
          <w:lang w:val="en-US" w:eastAsia="zh-CN"/>
        </w:rPr>
        <w:t xml:space="preserve">               </w:t>
      </w:r>
      <w:r>
        <w:rPr>
          <w:rFonts w:hint="eastAsia"/>
          <w:color w:val="auto"/>
          <w:sz w:val="22"/>
          <w:szCs w:val="22"/>
          <w:highlight w:val="none"/>
        </w:rPr>
        <w:t>（采购编号：</w:t>
      </w:r>
      <w:r>
        <w:rPr>
          <w:rFonts w:hint="eastAsia"/>
          <w:color w:val="auto"/>
          <w:sz w:val="22"/>
          <w:szCs w:val="22"/>
          <w:highlight w:val="none"/>
          <w:u w:val="single"/>
          <w:lang w:val="en-US" w:eastAsia="zh-CN"/>
        </w:rPr>
        <w:t xml:space="preserve">       </w:t>
      </w:r>
      <w:r>
        <w:rPr>
          <w:rFonts w:hint="eastAsia"/>
          <w:color w:val="auto"/>
          <w:sz w:val="22"/>
          <w:szCs w:val="22"/>
          <w:highlight w:val="none"/>
        </w:rPr>
        <w:t>），签字代表</w:t>
      </w:r>
      <w:r>
        <w:rPr>
          <w:rFonts w:hint="eastAsia"/>
          <w:color w:val="auto"/>
          <w:sz w:val="22"/>
          <w:szCs w:val="22"/>
          <w:highlight w:val="none"/>
          <w:u w:val="single"/>
          <w:lang w:val="en-US"/>
        </w:rPr>
        <w:t xml:space="preserve"> （</w:t>
      </w:r>
      <w:r>
        <w:rPr>
          <w:rFonts w:hint="eastAsia"/>
          <w:color w:val="auto"/>
          <w:sz w:val="22"/>
          <w:szCs w:val="22"/>
          <w:highlight w:val="none"/>
          <w:u w:val="single"/>
        </w:rPr>
        <w:t>姓名）</w:t>
      </w:r>
      <w:r>
        <w:rPr>
          <w:rFonts w:hint="eastAsia"/>
          <w:color w:val="auto"/>
          <w:sz w:val="22"/>
          <w:szCs w:val="22"/>
          <w:highlight w:val="none"/>
        </w:rPr>
        <w:t>经正式授权并代表我方</w:t>
      </w:r>
      <w:r>
        <w:rPr>
          <w:rFonts w:hint="eastAsia"/>
          <w:color w:val="auto"/>
          <w:sz w:val="22"/>
          <w:szCs w:val="22"/>
          <w:highlight w:val="none"/>
          <w:u w:val="single"/>
        </w:rPr>
        <w:t>（投标人名称、地址）</w:t>
      </w:r>
      <w:r>
        <w:rPr>
          <w:rFonts w:hint="eastAsia"/>
          <w:color w:val="auto"/>
          <w:sz w:val="22"/>
          <w:szCs w:val="22"/>
          <w:highlight w:val="none"/>
        </w:rPr>
        <w:t>提交投标文件，并对之负法律责任。</w:t>
      </w:r>
    </w:p>
    <w:p w14:paraId="10082A89">
      <w:pPr>
        <w:pStyle w:val="6"/>
        <w:spacing w:line="360" w:lineRule="auto"/>
        <w:ind w:firstLine="440" w:firstLineChars="200"/>
        <w:rPr>
          <w:color w:val="auto"/>
          <w:sz w:val="22"/>
          <w:szCs w:val="22"/>
          <w:highlight w:val="none"/>
        </w:rPr>
      </w:pPr>
      <w:r>
        <w:rPr>
          <w:rFonts w:hint="eastAsia"/>
          <w:color w:val="auto"/>
          <w:sz w:val="22"/>
          <w:szCs w:val="22"/>
          <w:highlight w:val="none"/>
        </w:rPr>
        <w:t>据此函，签字代表宣布同意如下：</w:t>
      </w:r>
    </w:p>
    <w:p w14:paraId="57B8B7EA">
      <w:pPr>
        <w:pStyle w:val="27"/>
        <w:tabs>
          <w:tab w:val="left" w:pos="1153"/>
          <w:tab w:val="left" w:pos="8631"/>
          <w:tab w:val="left" w:pos="9756"/>
        </w:tabs>
        <w:spacing w:line="360" w:lineRule="auto"/>
        <w:ind w:left="0" w:firstLine="440" w:firstLineChars="200"/>
        <w:rPr>
          <w:color w:val="auto"/>
          <w:highlight w:val="none"/>
        </w:rPr>
      </w:pPr>
      <w:r>
        <w:rPr>
          <w:rFonts w:hint="eastAsia"/>
          <w:color w:val="auto"/>
          <w:highlight w:val="none"/>
        </w:rPr>
        <w:t>（</w:t>
      </w:r>
      <w:r>
        <w:rPr>
          <w:rFonts w:hint="eastAsia"/>
          <w:color w:val="auto"/>
          <w:highlight w:val="none"/>
          <w:lang w:val="en-US"/>
        </w:rPr>
        <w:t>1）我方愿意以</w:t>
      </w:r>
      <w:r>
        <w:rPr>
          <w:rFonts w:hint="eastAsia"/>
          <w:color w:val="auto"/>
          <w:highlight w:val="none"/>
          <w:u w:val="single"/>
          <w:lang w:val="en-US"/>
        </w:rPr>
        <w:t xml:space="preserve">  （大写）：       ，（小写）：        的</w:t>
      </w:r>
      <w:r>
        <w:rPr>
          <w:rFonts w:hint="eastAsia"/>
          <w:color w:val="auto"/>
          <w:highlight w:val="none"/>
          <w:lang w:val="en-US"/>
        </w:rPr>
        <w:t>投标报价参与本项目，</w:t>
      </w:r>
      <w:r>
        <w:rPr>
          <w:rFonts w:hint="eastAsia"/>
          <w:color w:val="auto"/>
          <w:highlight w:val="none"/>
        </w:rPr>
        <w:t>如果我单位的投标文件被接受，我单位将按招标文件的规定签订并严格履行合同中的责任和义务。</w:t>
      </w:r>
    </w:p>
    <w:p w14:paraId="2D8FDAE0">
      <w:pPr>
        <w:pStyle w:val="27"/>
        <w:tabs>
          <w:tab w:val="left" w:pos="1153"/>
        </w:tabs>
        <w:spacing w:line="360" w:lineRule="auto"/>
        <w:ind w:left="0" w:firstLine="440" w:firstLineChars="200"/>
        <w:rPr>
          <w:color w:val="auto"/>
          <w:highlight w:val="none"/>
        </w:rPr>
      </w:pPr>
      <w:r>
        <w:rPr>
          <w:rFonts w:hint="eastAsia"/>
          <w:color w:val="auto"/>
          <w:highlight w:val="none"/>
          <w:lang w:val="en-US"/>
        </w:rPr>
        <w:t>（2）</w:t>
      </w:r>
      <w:r>
        <w:rPr>
          <w:rFonts w:hint="eastAsia"/>
          <w:color w:val="auto"/>
          <w:highlight w:val="none"/>
        </w:rPr>
        <w:t>我单位已详细审查全部招标文件，包括修改文件以及全部参考资料和有关附件。我们完全理解并同意放弃对这方面有不明及误解的权力。</w:t>
      </w:r>
    </w:p>
    <w:p w14:paraId="533767C8">
      <w:pPr>
        <w:pStyle w:val="27"/>
        <w:tabs>
          <w:tab w:val="left" w:pos="1153"/>
        </w:tabs>
        <w:spacing w:line="360" w:lineRule="auto"/>
        <w:ind w:left="0" w:firstLine="440" w:firstLineChars="200"/>
        <w:rPr>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本投标有效期为自投标截止之日起</w:t>
      </w:r>
      <w:r>
        <w:rPr>
          <w:rFonts w:hint="eastAsia"/>
          <w:color w:val="auto"/>
          <w:highlight w:val="none"/>
          <w:u w:val="single"/>
          <w:lang w:val="en-US"/>
        </w:rPr>
        <w:t>6</w:t>
      </w:r>
      <w:r>
        <w:rPr>
          <w:rFonts w:hint="eastAsia"/>
          <w:color w:val="auto"/>
          <w:highlight w:val="none"/>
          <w:u w:val="single"/>
        </w:rPr>
        <w:t>0</w:t>
      </w:r>
      <w:r>
        <w:rPr>
          <w:rFonts w:hint="eastAsia"/>
          <w:color w:val="auto"/>
          <w:highlight w:val="none"/>
        </w:rPr>
        <w:t>日历天。</w:t>
      </w:r>
    </w:p>
    <w:p w14:paraId="778A9B1F">
      <w:pPr>
        <w:pStyle w:val="27"/>
        <w:tabs>
          <w:tab w:val="left" w:pos="1153"/>
        </w:tabs>
        <w:spacing w:line="360" w:lineRule="auto"/>
        <w:ind w:left="0" w:firstLine="440" w:firstLineChars="200"/>
        <w:rPr>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我单位承诺，与招标方聘请的为此项目提供咨询服务及任何附属机构均无关联，非招标方的附属机构。</w:t>
      </w:r>
    </w:p>
    <w:p w14:paraId="0EDC695C">
      <w:pPr>
        <w:pStyle w:val="27"/>
        <w:tabs>
          <w:tab w:val="left" w:pos="1153"/>
        </w:tabs>
        <w:spacing w:line="360" w:lineRule="auto"/>
        <w:ind w:left="0" w:firstLine="440" w:firstLineChars="200"/>
        <w:rPr>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我单位同意提供按照贵方可能要求的与其投标有关的一切数据或资料，完全理解贵方不一定接受最低价的投标或收到的任何投标。</w:t>
      </w:r>
    </w:p>
    <w:p w14:paraId="2FB59C52">
      <w:pPr>
        <w:pStyle w:val="27"/>
        <w:tabs>
          <w:tab w:val="left" w:pos="1153"/>
        </w:tabs>
        <w:spacing w:line="360" w:lineRule="auto"/>
        <w:ind w:left="0" w:firstLine="440" w:firstLineChars="200"/>
        <w:rPr>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在本次投标活动中提供的所有证明文件，均是真实的，一旦发现有虚假材料，我公司承诺愿承担相应法律责任。</w:t>
      </w:r>
    </w:p>
    <w:p w14:paraId="0478FD40">
      <w:pPr>
        <w:pStyle w:val="6"/>
        <w:rPr>
          <w:color w:val="auto"/>
          <w:sz w:val="22"/>
          <w:szCs w:val="22"/>
          <w:highlight w:val="none"/>
        </w:rPr>
      </w:pPr>
    </w:p>
    <w:p w14:paraId="3391D206">
      <w:pPr>
        <w:pStyle w:val="6"/>
        <w:spacing w:before="7"/>
        <w:rPr>
          <w:color w:val="auto"/>
          <w:sz w:val="22"/>
          <w:szCs w:val="22"/>
          <w:highlight w:val="none"/>
        </w:rPr>
      </w:pPr>
    </w:p>
    <w:p w14:paraId="2494C7ED">
      <w:pPr>
        <w:pStyle w:val="6"/>
        <w:spacing w:line="480" w:lineRule="auto"/>
        <w:ind w:firstLine="4400" w:firstLineChars="2000"/>
        <w:rPr>
          <w:color w:val="auto"/>
          <w:sz w:val="22"/>
          <w:szCs w:val="22"/>
          <w:highlight w:val="none"/>
        </w:rPr>
      </w:pPr>
      <w:r>
        <w:rPr>
          <w:rFonts w:hint="eastAsia"/>
          <w:color w:val="auto"/>
          <w:sz w:val="22"/>
          <w:szCs w:val="22"/>
          <w:highlight w:val="none"/>
        </w:rPr>
        <w:t>投标人：（盖章）</w:t>
      </w:r>
    </w:p>
    <w:p w14:paraId="260508C6">
      <w:pPr>
        <w:pStyle w:val="6"/>
        <w:tabs>
          <w:tab w:val="left" w:pos="5683"/>
        </w:tabs>
        <w:spacing w:line="480" w:lineRule="auto"/>
        <w:ind w:firstLine="4400" w:firstLineChars="2000"/>
        <w:rPr>
          <w:color w:val="auto"/>
          <w:sz w:val="22"/>
          <w:szCs w:val="22"/>
          <w:highlight w:val="none"/>
        </w:rPr>
      </w:pPr>
      <w:r>
        <w:rPr>
          <w:rFonts w:hint="eastAsia"/>
          <w:color w:val="auto"/>
          <w:sz w:val="22"/>
          <w:szCs w:val="22"/>
          <w:highlight w:val="none"/>
        </w:rPr>
        <w:t>法定代表人或其</w:t>
      </w:r>
      <w:r>
        <w:rPr>
          <w:rFonts w:hint="eastAsia"/>
          <w:color w:val="auto"/>
          <w:sz w:val="22"/>
          <w:szCs w:val="22"/>
          <w:highlight w:val="none"/>
          <w:lang w:eastAsia="zh-CN"/>
        </w:rPr>
        <w:t>授权委托</w:t>
      </w:r>
      <w:r>
        <w:rPr>
          <w:rFonts w:hint="eastAsia"/>
          <w:color w:val="auto"/>
          <w:sz w:val="22"/>
          <w:szCs w:val="22"/>
          <w:highlight w:val="none"/>
        </w:rPr>
        <w:t xml:space="preserve">人:（签字或盖章） </w:t>
      </w:r>
    </w:p>
    <w:p w14:paraId="41A7F810">
      <w:pPr>
        <w:pStyle w:val="6"/>
        <w:tabs>
          <w:tab w:val="left" w:pos="5683"/>
        </w:tabs>
        <w:spacing w:line="480" w:lineRule="auto"/>
        <w:ind w:firstLine="4400" w:firstLineChars="2000"/>
        <w:rPr>
          <w:color w:val="auto"/>
          <w:sz w:val="22"/>
          <w:szCs w:val="22"/>
          <w:highlight w:val="none"/>
        </w:rPr>
      </w:pPr>
      <w:r>
        <w:rPr>
          <w:rFonts w:hint="eastAsia"/>
          <w:color w:val="auto"/>
          <w:sz w:val="22"/>
          <w:szCs w:val="22"/>
          <w:highlight w:val="none"/>
        </w:rPr>
        <w:t xml:space="preserve">地址： </w:t>
      </w:r>
    </w:p>
    <w:p w14:paraId="73ACFBD3">
      <w:pPr>
        <w:pStyle w:val="6"/>
        <w:tabs>
          <w:tab w:val="left" w:pos="5683"/>
        </w:tabs>
        <w:spacing w:line="480" w:lineRule="auto"/>
        <w:ind w:firstLine="4400" w:firstLineChars="2000"/>
        <w:rPr>
          <w:color w:val="auto"/>
          <w:sz w:val="22"/>
          <w:szCs w:val="22"/>
          <w:highlight w:val="none"/>
        </w:rPr>
      </w:pPr>
      <w:r>
        <w:rPr>
          <w:rFonts w:hint="eastAsia"/>
          <w:color w:val="auto"/>
          <w:sz w:val="22"/>
          <w:szCs w:val="22"/>
          <w:highlight w:val="none"/>
        </w:rPr>
        <w:t>电话：</w:t>
      </w:r>
    </w:p>
    <w:p w14:paraId="2C6304F4">
      <w:pPr>
        <w:pStyle w:val="6"/>
        <w:tabs>
          <w:tab w:val="left" w:pos="5683"/>
        </w:tabs>
        <w:spacing w:line="480" w:lineRule="auto"/>
        <w:ind w:firstLine="4400" w:firstLineChars="2000"/>
        <w:rPr>
          <w:color w:val="auto"/>
          <w:highlight w:val="none"/>
          <w:lang w:val="en-US"/>
        </w:rPr>
      </w:pPr>
      <w:r>
        <w:rPr>
          <w:rFonts w:hint="eastAsia"/>
          <w:color w:val="auto"/>
          <w:sz w:val="22"/>
          <w:szCs w:val="22"/>
          <w:highlight w:val="none"/>
        </w:rPr>
        <w:t xml:space="preserve">日期：   </w:t>
      </w:r>
      <w:r>
        <w:rPr>
          <w:rFonts w:hint="eastAsia"/>
          <w:color w:val="auto"/>
          <w:sz w:val="22"/>
          <w:szCs w:val="22"/>
          <w:highlight w:val="none"/>
          <w:lang w:val="en-US"/>
        </w:rPr>
        <w:t>年   月   日</w:t>
      </w:r>
    </w:p>
    <w:p w14:paraId="4ED1875A">
      <w:pPr>
        <w:rPr>
          <w:color w:val="auto"/>
          <w:highlight w:val="none"/>
        </w:rPr>
      </w:pPr>
      <w:r>
        <w:rPr>
          <w:color w:val="auto"/>
          <w:highlight w:val="none"/>
        </w:rPr>
        <w:br w:type="page"/>
      </w:r>
    </w:p>
    <w:p w14:paraId="399AAD8A">
      <w:pPr>
        <w:spacing w:line="360" w:lineRule="auto"/>
        <w:jc w:val="center"/>
        <w:rPr>
          <w:color w:val="auto"/>
          <w:sz w:val="10"/>
          <w:highlight w:val="none"/>
        </w:rPr>
      </w:pPr>
      <w:bookmarkStart w:id="125" w:name="2.2投标函附录"/>
      <w:bookmarkEnd w:id="125"/>
      <w:r>
        <w:rPr>
          <w:rFonts w:hint="eastAsia"/>
          <w:b/>
          <w:bCs/>
          <w:color w:val="auto"/>
          <w:sz w:val="24"/>
          <w:szCs w:val="24"/>
          <w:highlight w:val="none"/>
          <w:lang w:val="en-US"/>
        </w:rPr>
        <w:t>2.2报价表</w:t>
      </w:r>
    </w:p>
    <w:tbl>
      <w:tblPr>
        <w:tblStyle w:val="18"/>
        <w:tblW w:w="92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70"/>
        <w:gridCol w:w="6349"/>
      </w:tblGrid>
      <w:tr w14:paraId="5F6C0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2870" w:type="dxa"/>
            <w:vAlign w:val="center"/>
          </w:tcPr>
          <w:p w14:paraId="6CDCDF57">
            <w:pPr>
              <w:jc w:val="center"/>
              <w:rPr>
                <w:color w:val="auto"/>
                <w:highlight w:val="none"/>
              </w:rPr>
            </w:pPr>
            <w:r>
              <w:rPr>
                <w:rFonts w:hint="eastAsia"/>
                <w:color w:val="auto"/>
                <w:highlight w:val="none"/>
              </w:rPr>
              <w:t>项目名称</w:t>
            </w:r>
          </w:p>
        </w:tc>
        <w:tc>
          <w:tcPr>
            <w:tcW w:w="6349" w:type="dxa"/>
            <w:vAlign w:val="center"/>
          </w:tcPr>
          <w:p w14:paraId="6404F773">
            <w:pPr>
              <w:rPr>
                <w:color w:val="auto"/>
                <w:highlight w:val="none"/>
              </w:rPr>
            </w:pPr>
          </w:p>
        </w:tc>
      </w:tr>
      <w:tr w14:paraId="5FB53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jc w:val="center"/>
        </w:trPr>
        <w:tc>
          <w:tcPr>
            <w:tcW w:w="2870" w:type="dxa"/>
            <w:vAlign w:val="center"/>
          </w:tcPr>
          <w:p w14:paraId="6C5C7EB6">
            <w:pPr>
              <w:jc w:val="center"/>
              <w:rPr>
                <w:color w:val="auto"/>
                <w:highlight w:val="none"/>
              </w:rPr>
            </w:pPr>
            <w:r>
              <w:rPr>
                <w:rFonts w:hint="eastAsia"/>
                <w:color w:val="auto"/>
                <w:highlight w:val="none"/>
              </w:rPr>
              <w:t>采购编号</w:t>
            </w:r>
          </w:p>
        </w:tc>
        <w:tc>
          <w:tcPr>
            <w:tcW w:w="6349" w:type="dxa"/>
            <w:vAlign w:val="center"/>
          </w:tcPr>
          <w:p w14:paraId="5A9DEB48">
            <w:pPr>
              <w:rPr>
                <w:color w:val="auto"/>
                <w:highlight w:val="none"/>
              </w:rPr>
            </w:pPr>
          </w:p>
        </w:tc>
      </w:tr>
      <w:tr w14:paraId="28B54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jc w:val="center"/>
        </w:trPr>
        <w:tc>
          <w:tcPr>
            <w:tcW w:w="2870" w:type="dxa"/>
            <w:vAlign w:val="center"/>
          </w:tcPr>
          <w:p w14:paraId="6577B18C">
            <w:pPr>
              <w:jc w:val="center"/>
              <w:rPr>
                <w:color w:val="auto"/>
                <w:highlight w:val="none"/>
              </w:rPr>
            </w:pPr>
            <w:r>
              <w:rPr>
                <w:rFonts w:hint="eastAsia"/>
                <w:color w:val="auto"/>
                <w:highlight w:val="none"/>
              </w:rPr>
              <w:t>投标人名称</w:t>
            </w:r>
          </w:p>
        </w:tc>
        <w:tc>
          <w:tcPr>
            <w:tcW w:w="6349" w:type="dxa"/>
            <w:vAlign w:val="center"/>
          </w:tcPr>
          <w:p w14:paraId="4844979C">
            <w:pPr>
              <w:rPr>
                <w:color w:val="auto"/>
                <w:highlight w:val="none"/>
              </w:rPr>
            </w:pPr>
          </w:p>
        </w:tc>
      </w:tr>
      <w:tr w14:paraId="3B782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jc w:val="center"/>
        </w:trPr>
        <w:tc>
          <w:tcPr>
            <w:tcW w:w="2870" w:type="dxa"/>
            <w:vAlign w:val="center"/>
          </w:tcPr>
          <w:p w14:paraId="183D2D0E">
            <w:pPr>
              <w:jc w:val="center"/>
              <w:rPr>
                <w:color w:val="auto"/>
                <w:highlight w:val="none"/>
              </w:rPr>
            </w:pPr>
            <w:r>
              <w:rPr>
                <w:rFonts w:hint="eastAsia"/>
                <w:color w:val="auto"/>
                <w:highlight w:val="none"/>
              </w:rPr>
              <w:t>投标内容</w:t>
            </w:r>
          </w:p>
        </w:tc>
        <w:tc>
          <w:tcPr>
            <w:tcW w:w="6349" w:type="dxa"/>
            <w:vAlign w:val="center"/>
          </w:tcPr>
          <w:p w14:paraId="2574371D">
            <w:pPr>
              <w:rPr>
                <w:color w:val="auto"/>
                <w:highlight w:val="none"/>
              </w:rPr>
            </w:pPr>
          </w:p>
        </w:tc>
      </w:tr>
      <w:tr w14:paraId="02D34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jc w:val="center"/>
        </w:trPr>
        <w:tc>
          <w:tcPr>
            <w:tcW w:w="2870" w:type="dxa"/>
            <w:vAlign w:val="center"/>
          </w:tcPr>
          <w:p w14:paraId="451A7C0F">
            <w:pPr>
              <w:jc w:val="center"/>
              <w:rPr>
                <w:color w:val="auto"/>
                <w:highlight w:val="none"/>
              </w:rPr>
            </w:pPr>
            <w:r>
              <w:rPr>
                <w:rFonts w:hint="eastAsia"/>
                <w:color w:val="auto"/>
                <w:highlight w:val="none"/>
              </w:rPr>
              <w:t>投标总报价</w:t>
            </w:r>
          </w:p>
        </w:tc>
        <w:tc>
          <w:tcPr>
            <w:tcW w:w="6349" w:type="dxa"/>
            <w:vAlign w:val="center"/>
          </w:tcPr>
          <w:p w14:paraId="76C7F911">
            <w:pPr>
              <w:rPr>
                <w:rFonts w:hint="eastAsia"/>
                <w:color w:val="auto"/>
                <w:highlight w:val="none"/>
              </w:rPr>
            </w:pPr>
            <w:r>
              <w:rPr>
                <w:rFonts w:hint="eastAsia"/>
                <w:color w:val="auto"/>
                <w:highlight w:val="none"/>
              </w:rPr>
              <w:t>大写：</w:t>
            </w:r>
          </w:p>
          <w:p w14:paraId="61B83EC6">
            <w:pPr>
              <w:rPr>
                <w:color w:val="auto"/>
                <w:highlight w:val="none"/>
                <w:lang w:val="en-US"/>
              </w:rPr>
            </w:pPr>
            <w:r>
              <w:rPr>
                <w:rFonts w:hint="eastAsia"/>
                <w:color w:val="auto"/>
                <w:highlight w:val="none"/>
              </w:rPr>
              <w:t>小写：</w:t>
            </w:r>
          </w:p>
        </w:tc>
      </w:tr>
      <w:tr w14:paraId="6313F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2870" w:type="dxa"/>
            <w:vAlign w:val="center"/>
          </w:tcPr>
          <w:p w14:paraId="797ABD52">
            <w:pPr>
              <w:jc w:val="center"/>
              <w:rPr>
                <w:color w:val="auto"/>
                <w:highlight w:val="none"/>
              </w:rPr>
            </w:pPr>
            <w:r>
              <w:rPr>
                <w:rFonts w:hint="eastAsia"/>
                <w:color w:val="auto"/>
                <w:highlight w:val="none"/>
              </w:rPr>
              <w:t>交货期</w:t>
            </w:r>
          </w:p>
        </w:tc>
        <w:tc>
          <w:tcPr>
            <w:tcW w:w="6349" w:type="dxa"/>
            <w:vAlign w:val="center"/>
          </w:tcPr>
          <w:p w14:paraId="3BCA773F">
            <w:pPr>
              <w:rPr>
                <w:color w:val="auto"/>
                <w:highlight w:val="none"/>
              </w:rPr>
            </w:pPr>
          </w:p>
        </w:tc>
      </w:tr>
      <w:tr w14:paraId="3D84E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2870" w:type="dxa"/>
            <w:vAlign w:val="center"/>
          </w:tcPr>
          <w:p w14:paraId="6C2A39CD">
            <w:pPr>
              <w:jc w:val="center"/>
              <w:rPr>
                <w:color w:val="auto"/>
                <w:highlight w:val="none"/>
              </w:rPr>
            </w:pPr>
            <w:r>
              <w:rPr>
                <w:rFonts w:hint="eastAsia"/>
                <w:color w:val="auto"/>
                <w:highlight w:val="none"/>
              </w:rPr>
              <w:t>质量要求</w:t>
            </w:r>
          </w:p>
        </w:tc>
        <w:tc>
          <w:tcPr>
            <w:tcW w:w="6349" w:type="dxa"/>
            <w:vAlign w:val="center"/>
          </w:tcPr>
          <w:p w14:paraId="207BAAB2">
            <w:pPr>
              <w:rPr>
                <w:color w:val="auto"/>
                <w:highlight w:val="none"/>
              </w:rPr>
            </w:pPr>
          </w:p>
        </w:tc>
      </w:tr>
      <w:tr w14:paraId="0727C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2870" w:type="dxa"/>
            <w:vAlign w:val="center"/>
          </w:tcPr>
          <w:p w14:paraId="7756FABC">
            <w:pPr>
              <w:jc w:val="center"/>
              <w:rPr>
                <w:color w:val="auto"/>
                <w:highlight w:val="none"/>
              </w:rPr>
            </w:pPr>
            <w:r>
              <w:rPr>
                <w:rFonts w:hint="eastAsia"/>
                <w:color w:val="auto"/>
                <w:highlight w:val="none"/>
              </w:rPr>
              <w:t>质保期</w:t>
            </w:r>
          </w:p>
        </w:tc>
        <w:tc>
          <w:tcPr>
            <w:tcW w:w="6349" w:type="dxa"/>
            <w:vAlign w:val="center"/>
          </w:tcPr>
          <w:p w14:paraId="214FFEFC">
            <w:pPr>
              <w:rPr>
                <w:color w:val="auto"/>
                <w:highlight w:val="none"/>
              </w:rPr>
            </w:pPr>
          </w:p>
        </w:tc>
      </w:tr>
      <w:tr w14:paraId="4E681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2870" w:type="dxa"/>
            <w:vAlign w:val="center"/>
          </w:tcPr>
          <w:p w14:paraId="72B53F3F">
            <w:pPr>
              <w:jc w:val="center"/>
              <w:rPr>
                <w:color w:val="auto"/>
                <w:highlight w:val="none"/>
              </w:rPr>
            </w:pPr>
            <w:r>
              <w:rPr>
                <w:rFonts w:hint="eastAsia"/>
                <w:color w:val="auto"/>
                <w:highlight w:val="none"/>
              </w:rPr>
              <w:t>交货地点</w:t>
            </w:r>
          </w:p>
        </w:tc>
        <w:tc>
          <w:tcPr>
            <w:tcW w:w="6349" w:type="dxa"/>
            <w:vAlign w:val="center"/>
          </w:tcPr>
          <w:p w14:paraId="0F8D8D86">
            <w:pPr>
              <w:rPr>
                <w:color w:val="auto"/>
                <w:highlight w:val="none"/>
              </w:rPr>
            </w:pPr>
            <w:r>
              <w:rPr>
                <w:rFonts w:hint="eastAsia"/>
                <w:color w:val="auto"/>
                <w:highlight w:val="none"/>
              </w:rPr>
              <w:t>采购人指定地点</w:t>
            </w:r>
          </w:p>
        </w:tc>
      </w:tr>
      <w:tr w14:paraId="0E3E6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2870" w:type="dxa"/>
            <w:vAlign w:val="center"/>
          </w:tcPr>
          <w:p w14:paraId="4C27CB18">
            <w:pPr>
              <w:jc w:val="center"/>
              <w:rPr>
                <w:color w:val="auto"/>
                <w:highlight w:val="none"/>
              </w:rPr>
            </w:pPr>
            <w:r>
              <w:rPr>
                <w:rFonts w:hint="eastAsia"/>
                <w:color w:val="auto"/>
                <w:highlight w:val="none"/>
              </w:rPr>
              <w:t>投标有效期</w:t>
            </w:r>
          </w:p>
        </w:tc>
        <w:tc>
          <w:tcPr>
            <w:tcW w:w="6349" w:type="dxa"/>
            <w:vAlign w:val="center"/>
          </w:tcPr>
          <w:p w14:paraId="7F8422C6">
            <w:pPr>
              <w:rPr>
                <w:color w:val="auto"/>
                <w:highlight w:val="none"/>
              </w:rPr>
            </w:pPr>
            <w:r>
              <w:rPr>
                <w:rFonts w:hint="eastAsia"/>
                <w:color w:val="auto"/>
                <w:highlight w:val="none"/>
              </w:rPr>
              <w:t>自投标截止之日起</w:t>
            </w:r>
            <w:r>
              <w:rPr>
                <w:rFonts w:hint="eastAsia"/>
                <w:color w:val="auto"/>
                <w:highlight w:val="none"/>
                <w:lang w:val="en-US"/>
              </w:rPr>
              <w:t>6</w:t>
            </w:r>
            <w:r>
              <w:rPr>
                <w:rFonts w:hint="eastAsia"/>
                <w:color w:val="auto"/>
                <w:highlight w:val="none"/>
              </w:rPr>
              <w:t>0日历天</w:t>
            </w:r>
          </w:p>
        </w:tc>
      </w:tr>
      <w:tr w14:paraId="1374F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2870" w:type="dxa"/>
            <w:vAlign w:val="center"/>
          </w:tcPr>
          <w:p w14:paraId="2D2616C1">
            <w:pPr>
              <w:jc w:val="center"/>
              <w:rPr>
                <w:color w:val="auto"/>
                <w:highlight w:val="none"/>
              </w:rPr>
            </w:pPr>
            <w:r>
              <w:rPr>
                <w:rFonts w:hint="eastAsia"/>
                <w:color w:val="auto"/>
                <w:highlight w:val="none"/>
              </w:rPr>
              <w:t>备注</w:t>
            </w:r>
          </w:p>
        </w:tc>
        <w:tc>
          <w:tcPr>
            <w:tcW w:w="6349" w:type="dxa"/>
            <w:vAlign w:val="center"/>
          </w:tcPr>
          <w:p w14:paraId="573C107A">
            <w:pPr>
              <w:rPr>
                <w:color w:val="auto"/>
                <w:highlight w:val="none"/>
              </w:rPr>
            </w:pPr>
            <w:r>
              <w:rPr>
                <w:rFonts w:hint="eastAsia"/>
                <w:color w:val="auto"/>
                <w:highlight w:val="none"/>
              </w:rPr>
              <w:t>完全响应招标文件内要求</w:t>
            </w:r>
          </w:p>
        </w:tc>
      </w:tr>
    </w:tbl>
    <w:p w14:paraId="6C218977">
      <w:pPr>
        <w:pStyle w:val="6"/>
        <w:spacing w:before="8"/>
        <w:rPr>
          <w:color w:val="auto"/>
          <w:sz w:val="5"/>
          <w:highlight w:val="none"/>
        </w:rPr>
      </w:pPr>
    </w:p>
    <w:p w14:paraId="5145F476">
      <w:pPr>
        <w:pStyle w:val="27"/>
        <w:tabs>
          <w:tab w:val="left" w:pos="644"/>
        </w:tabs>
        <w:spacing w:before="3" w:line="360" w:lineRule="auto"/>
        <w:ind w:left="12" w:firstLineChars="200"/>
        <w:rPr>
          <w:color w:val="auto"/>
          <w:sz w:val="21"/>
          <w:highlight w:val="none"/>
          <w:lang w:val="en-US"/>
        </w:rPr>
      </w:pPr>
    </w:p>
    <w:p w14:paraId="6B3BCC48">
      <w:pPr>
        <w:pStyle w:val="6"/>
        <w:rPr>
          <w:color w:val="auto"/>
          <w:sz w:val="20"/>
          <w:highlight w:val="none"/>
        </w:rPr>
      </w:pPr>
    </w:p>
    <w:p w14:paraId="5F376172">
      <w:pPr>
        <w:pStyle w:val="6"/>
        <w:spacing w:before="7"/>
        <w:rPr>
          <w:color w:val="auto"/>
          <w:sz w:val="27"/>
          <w:highlight w:val="none"/>
        </w:rPr>
      </w:pPr>
    </w:p>
    <w:p w14:paraId="694B658A">
      <w:pPr>
        <w:pStyle w:val="6"/>
        <w:spacing w:line="480" w:lineRule="auto"/>
        <w:ind w:firstLine="4400" w:firstLineChars="2000"/>
        <w:rPr>
          <w:color w:val="auto"/>
          <w:sz w:val="22"/>
          <w:szCs w:val="22"/>
          <w:highlight w:val="none"/>
        </w:rPr>
      </w:pPr>
      <w:r>
        <w:rPr>
          <w:rFonts w:hint="eastAsia"/>
          <w:color w:val="auto"/>
          <w:sz w:val="22"/>
          <w:szCs w:val="22"/>
          <w:highlight w:val="none"/>
        </w:rPr>
        <w:t>投标人：（盖章）</w:t>
      </w:r>
    </w:p>
    <w:p w14:paraId="5DF7350A">
      <w:pPr>
        <w:pStyle w:val="6"/>
        <w:spacing w:line="480" w:lineRule="auto"/>
        <w:ind w:firstLine="4400" w:firstLineChars="2000"/>
        <w:rPr>
          <w:color w:val="auto"/>
          <w:sz w:val="22"/>
          <w:szCs w:val="22"/>
          <w:highlight w:val="none"/>
        </w:rPr>
      </w:pPr>
      <w:r>
        <w:rPr>
          <w:rFonts w:hint="eastAsia"/>
          <w:color w:val="auto"/>
          <w:sz w:val="22"/>
          <w:szCs w:val="22"/>
          <w:highlight w:val="none"/>
        </w:rPr>
        <w:t>法定代表人或其</w:t>
      </w:r>
      <w:r>
        <w:rPr>
          <w:rFonts w:hint="eastAsia"/>
          <w:color w:val="auto"/>
          <w:sz w:val="22"/>
          <w:szCs w:val="22"/>
          <w:highlight w:val="none"/>
          <w:lang w:eastAsia="zh-CN"/>
        </w:rPr>
        <w:t>授权委托</w:t>
      </w:r>
      <w:r>
        <w:rPr>
          <w:rFonts w:hint="eastAsia"/>
          <w:color w:val="auto"/>
          <w:sz w:val="22"/>
          <w:szCs w:val="22"/>
          <w:highlight w:val="none"/>
        </w:rPr>
        <w:t>人：（签字或盖章）</w:t>
      </w:r>
    </w:p>
    <w:p w14:paraId="4AF62F84">
      <w:pPr>
        <w:pStyle w:val="6"/>
        <w:spacing w:line="480" w:lineRule="auto"/>
        <w:ind w:firstLine="5500" w:firstLineChars="2500"/>
        <w:rPr>
          <w:color w:val="auto"/>
          <w:highlight w:val="none"/>
        </w:rPr>
      </w:pPr>
      <w:r>
        <w:rPr>
          <w:rFonts w:hint="eastAsia"/>
          <w:color w:val="auto"/>
          <w:sz w:val="22"/>
          <w:szCs w:val="22"/>
          <w:highlight w:val="none"/>
        </w:rPr>
        <w:t>日期：</w:t>
      </w:r>
      <w:r>
        <w:rPr>
          <w:rFonts w:hint="eastAsia"/>
          <w:color w:val="auto"/>
          <w:sz w:val="22"/>
          <w:szCs w:val="22"/>
          <w:highlight w:val="none"/>
          <w:lang w:val="en-US" w:eastAsia="zh-CN"/>
        </w:rPr>
        <w:t xml:space="preserve">  </w:t>
      </w:r>
      <w:r>
        <w:rPr>
          <w:rFonts w:hint="eastAsia"/>
          <w:color w:val="auto"/>
          <w:sz w:val="22"/>
          <w:szCs w:val="22"/>
          <w:highlight w:val="none"/>
        </w:rPr>
        <w:t>年</w:t>
      </w:r>
      <w:r>
        <w:rPr>
          <w:rFonts w:hint="eastAsia"/>
          <w:color w:val="auto"/>
          <w:sz w:val="22"/>
          <w:szCs w:val="22"/>
          <w:highlight w:val="none"/>
          <w:lang w:val="en-US" w:eastAsia="zh-CN"/>
        </w:rPr>
        <w:t xml:space="preserve">  </w:t>
      </w:r>
      <w:r>
        <w:rPr>
          <w:rFonts w:hint="eastAsia"/>
          <w:color w:val="auto"/>
          <w:sz w:val="22"/>
          <w:szCs w:val="22"/>
          <w:highlight w:val="none"/>
        </w:rPr>
        <w:t>月</w:t>
      </w:r>
      <w:r>
        <w:rPr>
          <w:rFonts w:hint="eastAsia"/>
          <w:color w:val="auto"/>
          <w:sz w:val="22"/>
          <w:szCs w:val="22"/>
          <w:highlight w:val="none"/>
          <w:lang w:val="en-US" w:eastAsia="zh-CN"/>
        </w:rPr>
        <w:t xml:space="preserve">  </w:t>
      </w:r>
      <w:r>
        <w:rPr>
          <w:rFonts w:hint="eastAsia"/>
          <w:color w:val="auto"/>
          <w:sz w:val="22"/>
          <w:szCs w:val="22"/>
          <w:highlight w:val="none"/>
        </w:rPr>
        <w:t>日</w:t>
      </w:r>
    </w:p>
    <w:p w14:paraId="2968AC3E">
      <w:pPr>
        <w:pStyle w:val="4"/>
        <w:rPr>
          <w:color w:val="auto"/>
          <w:sz w:val="24"/>
          <w:highlight w:val="none"/>
        </w:rPr>
      </w:pPr>
    </w:p>
    <w:p w14:paraId="17EF602E">
      <w:pPr>
        <w:rPr>
          <w:color w:val="auto"/>
          <w:sz w:val="21"/>
          <w:szCs w:val="21"/>
          <w:highlight w:val="none"/>
        </w:rPr>
      </w:pPr>
      <w:r>
        <w:rPr>
          <w:color w:val="auto"/>
          <w:sz w:val="21"/>
          <w:szCs w:val="21"/>
          <w:highlight w:val="none"/>
        </w:rPr>
        <w:br w:type="page"/>
      </w:r>
    </w:p>
    <w:p w14:paraId="6BF12997">
      <w:pPr>
        <w:spacing w:line="360" w:lineRule="auto"/>
        <w:jc w:val="center"/>
        <w:rPr>
          <w:b/>
          <w:bCs/>
          <w:color w:val="auto"/>
          <w:sz w:val="24"/>
          <w:szCs w:val="24"/>
          <w:highlight w:val="none"/>
        </w:rPr>
      </w:pPr>
      <w:r>
        <w:rPr>
          <w:rFonts w:hint="eastAsia"/>
          <w:b/>
          <w:bCs/>
          <w:color w:val="auto"/>
          <w:sz w:val="24"/>
          <w:szCs w:val="24"/>
          <w:highlight w:val="none"/>
        </w:rPr>
        <w:t>分项报价表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1133"/>
        <w:gridCol w:w="1133"/>
        <w:gridCol w:w="1133"/>
        <w:gridCol w:w="1133"/>
        <w:gridCol w:w="1133"/>
        <w:gridCol w:w="1133"/>
        <w:gridCol w:w="1134"/>
      </w:tblGrid>
      <w:tr w14:paraId="1448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3" w:type="dxa"/>
            <w:vAlign w:val="center"/>
          </w:tcPr>
          <w:p w14:paraId="512CEABD">
            <w:pPr>
              <w:jc w:val="center"/>
              <w:rPr>
                <w:b/>
                <w:bCs/>
                <w:color w:val="auto"/>
                <w:highlight w:val="none"/>
              </w:rPr>
            </w:pPr>
            <w:r>
              <w:rPr>
                <w:rFonts w:hint="eastAsia"/>
                <w:b/>
                <w:bCs/>
                <w:color w:val="auto"/>
                <w:highlight w:val="none"/>
              </w:rPr>
              <w:t>序号</w:t>
            </w:r>
          </w:p>
        </w:tc>
        <w:tc>
          <w:tcPr>
            <w:tcW w:w="1133" w:type="dxa"/>
            <w:vAlign w:val="center"/>
          </w:tcPr>
          <w:p w14:paraId="0D7B2050">
            <w:pPr>
              <w:jc w:val="center"/>
              <w:rPr>
                <w:b/>
                <w:bCs/>
                <w:color w:val="auto"/>
                <w:highlight w:val="none"/>
              </w:rPr>
            </w:pPr>
            <w:r>
              <w:rPr>
                <w:rFonts w:hint="eastAsia"/>
                <w:b/>
                <w:bCs/>
                <w:color w:val="auto"/>
                <w:highlight w:val="none"/>
              </w:rPr>
              <w:t>产品名称</w:t>
            </w:r>
          </w:p>
        </w:tc>
        <w:tc>
          <w:tcPr>
            <w:tcW w:w="1133" w:type="dxa"/>
            <w:vAlign w:val="center"/>
          </w:tcPr>
          <w:p w14:paraId="617D6F76">
            <w:pPr>
              <w:jc w:val="center"/>
              <w:rPr>
                <w:b/>
                <w:bCs/>
                <w:color w:val="auto"/>
                <w:highlight w:val="none"/>
              </w:rPr>
            </w:pPr>
            <w:r>
              <w:rPr>
                <w:rFonts w:hint="eastAsia"/>
                <w:b/>
                <w:bCs/>
                <w:color w:val="auto"/>
                <w:highlight w:val="none"/>
              </w:rPr>
              <w:t>品牌型号</w:t>
            </w:r>
          </w:p>
        </w:tc>
        <w:tc>
          <w:tcPr>
            <w:tcW w:w="1133" w:type="dxa"/>
            <w:vAlign w:val="center"/>
          </w:tcPr>
          <w:p w14:paraId="25427E24">
            <w:pPr>
              <w:jc w:val="center"/>
              <w:rPr>
                <w:b/>
                <w:bCs/>
                <w:color w:val="auto"/>
                <w:highlight w:val="none"/>
              </w:rPr>
            </w:pPr>
            <w:r>
              <w:rPr>
                <w:rFonts w:hint="eastAsia"/>
                <w:b/>
                <w:bCs/>
                <w:color w:val="auto"/>
                <w:highlight w:val="none"/>
              </w:rPr>
              <w:t>单位</w:t>
            </w:r>
          </w:p>
        </w:tc>
        <w:tc>
          <w:tcPr>
            <w:tcW w:w="1133" w:type="dxa"/>
            <w:vAlign w:val="center"/>
          </w:tcPr>
          <w:p w14:paraId="5C3DBDAE">
            <w:pPr>
              <w:jc w:val="center"/>
              <w:rPr>
                <w:b/>
                <w:bCs/>
                <w:color w:val="auto"/>
                <w:highlight w:val="none"/>
              </w:rPr>
            </w:pPr>
            <w:r>
              <w:rPr>
                <w:rFonts w:hint="eastAsia"/>
                <w:b/>
                <w:bCs/>
                <w:color w:val="auto"/>
                <w:highlight w:val="none"/>
              </w:rPr>
              <w:t>数量</w:t>
            </w:r>
          </w:p>
        </w:tc>
        <w:tc>
          <w:tcPr>
            <w:tcW w:w="1133" w:type="dxa"/>
            <w:vAlign w:val="center"/>
          </w:tcPr>
          <w:p w14:paraId="6BF778D1">
            <w:pPr>
              <w:jc w:val="center"/>
              <w:rPr>
                <w:b/>
                <w:bCs/>
                <w:color w:val="auto"/>
                <w:highlight w:val="none"/>
              </w:rPr>
            </w:pPr>
            <w:r>
              <w:rPr>
                <w:rFonts w:hint="eastAsia"/>
                <w:b/>
                <w:bCs/>
                <w:color w:val="auto"/>
                <w:highlight w:val="none"/>
              </w:rPr>
              <w:t>单价</w:t>
            </w:r>
          </w:p>
        </w:tc>
        <w:tc>
          <w:tcPr>
            <w:tcW w:w="1133" w:type="dxa"/>
            <w:vAlign w:val="center"/>
          </w:tcPr>
          <w:p w14:paraId="5713913D">
            <w:pPr>
              <w:jc w:val="center"/>
              <w:rPr>
                <w:b/>
                <w:bCs/>
                <w:color w:val="auto"/>
                <w:highlight w:val="none"/>
              </w:rPr>
            </w:pPr>
            <w:r>
              <w:rPr>
                <w:rFonts w:hint="eastAsia"/>
                <w:b/>
                <w:bCs/>
                <w:color w:val="auto"/>
                <w:highlight w:val="none"/>
              </w:rPr>
              <w:t>总价</w:t>
            </w:r>
          </w:p>
        </w:tc>
        <w:tc>
          <w:tcPr>
            <w:tcW w:w="1134" w:type="dxa"/>
            <w:vAlign w:val="center"/>
          </w:tcPr>
          <w:p w14:paraId="263FA8D4">
            <w:pPr>
              <w:jc w:val="center"/>
              <w:rPr>
                <w:b/>
                <w:bCs/>
                <w:color w:val="auto"/>
                <w:highlight w:val="none"/>
              </w:rPr>
            </w:pPr>
            <w:r>
              <w:rPr>
                <w:rFonts w:hint="eastAsia"/>
                <w:b/>
                <w:bCs/>
                <w:color w:val="auto"/>
                <w:highlight w:val="none"/>
              </w:rPr>
              <w:t>备注</w:t>
            </w:r>
          </w:p>
        </w:tc>
      </w:tr>
      <w:tr w14:paraId="4EC5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3" w:type="dxa"/>
            <w:vAlign w:val="center"/>
          </w:tcPr>
          <w:p w14:paraId="7B2B1C05">
            <w:pPr>
              <w:jc w:val="center"/>
              <w:rPr>
                <w:b/>
                <w:bCs/>
                <w:color w:val="auto"/>
                <w:highlight w:val="none"/>
              </w:rPr>
            </w:pPr>
          </w:p>
        </w:tc>
        <w:tc>
          <w:tcPr>
            <w:tcW w:w="1133" w:type="dxa"/>
            <w:vAlign w:val="center"/>
          </w:tcPr>
          <w:p w14:paraId="0307248A">
            <w:pPr>
              <w:jc w:val="center"/>
              <w:rPr>
                <w:b/>
                <w:bCs/>
                <w:color w:val="auto"/>
                <w:highlight w:val="none"/>
              </w:rPr>
            </w:pPr>
          </w:p>
        </w:tc>
        <w:tc>
          <w:tcPr>
            <w:tcW w:w="1133" w:type="dxa"/>
            <w:vAlign w:val="center"/>
          </w:tcPr>
          <w:p w14:paraId="0F1CDEC2">
            <w:pPr>
              <w:jc w:val="center"/>
              <w:rPr>
                <w:b/>
                <w:bCs/>
                <w:color w:val="auto"/>
                <w:highlight w:val="none"/>
              </w:rPr>
            </w:pPr>
          </w:p>
        </w:tc>
        <w:tc>
          <w:tcPr>
            <w:tcW w:w="1133" w:type="dxa"/>
            <w:vAlign w:val="center"/>
          </w:tcPr>
          <w:p w14:paraId="3746D7F8">
            <w:pPr>
              <w:jc w:val="center"/>
              <w:rPr>
                <w:b/>
                <w:bCs/>
                <w:color w:val="auto"/>
                <w:highlight w:val="none"/>
              </w:rPr>
            </w:pPr>
          </w:p>
        </w:tc>
        <w:tc>
          <w:tcPr>
            <w:tcW w:w="1133" w:type="dxa"/>
            <w:vAlign w:val="center"/>
          </w:tcPr>
          <w:p w14:paraId="7942F441">
            <w:pPr>
              <w:jc w:val="center"/>
              <w:rPr>
                <w:b/>
                <w:bCs/>
                <w:color w:val="auto"/>
                <w:highlight w:val="none"/>
              </w:rPr>
            </w:pPr>
          </w:p>
        </w:tc>
        <w:tc>
          <w:tcPr>
            <w:tcW w:w="1133" w:type="dxa"/>
            <w:vAlign w:val="center"/>
          </w:tcPr>
          <w:p w14:paraId="744D4D3E">
            <w:pPr>
              <w:jc w:val="center"/>
              <w:rPr>
                <w:b/>
                <w:bCs/>
                <w:color w:val="auto"/>
                <w:highlight w:val="none"/>
              </w:rPr>
            </w:pPr>
          </w:p>
        </w:tc>
        <w:tc>
          <w:tcPr>
            <w:tcW w:w="1133" w:type="dxa"/>
            <w:vAlign w:val="center"/>
          </w:tcPr>
          <w:p w14:paraId="2A2FA74A">
            <w:pPr>
              <w:jc w:val="center"/>
              <w:rPr>
                <w:b/>
                <w:bCs/>
                <w:color w:val="auto"/>
                <w:highlight w:val="none"/>
              </w:rPr>
            </w:pPr>
          </w:p>
        </w:tc>
        <w:tc>
          <w:tcPr>
            <w:tcW w:w="1134" w:type="dxa"/>
            <w:vAlign w:val="center"/>
          </w:tcPr>
          <w:p w14:paraId="701030E5">
            <w:pPr>
              <w:jc w:val="center"/>
              <w:rPr>
                <w:b/>
                <w:bCs/>
                <w:color w:val="auto"/>
                <w:highlight w:val="none"/>
              </w:rPr>
            </w:pPr>
          </w:p>
        </w:tc>
      </w:tr>
      <w:tr w14:paraId="6E36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3" w:type="dxa"/>
            <w:vAlign w:val="center"/>
          </w:tcPr>
          <w:p w14:paraId="4ADA2793">
            <w:pPr>
              <w:jc w:val="center"/>
              <w:rPr>
                <w:b/>
                <w:bCs/>
                <w:color w:val="auto"/>
                <w:highlight w:val="none"/>
              </w:rPr>
            </w:pPr>
          </w:p>
        </w:tc>
        <w:tc>
          <w:tcPr>
            <w:tcW w:w="1133" w:type="dxa"/>
            <w:vAlign w:val="center"/>
          </w:tcPr>
          <w:p w14:paraId="5735C1D4">
            <w:pPr>
              <w:jc w:val="center"/>
              <w:rPr>
                <w:b/>
                <w:bCs/>
                <w:color w:val="auto"/>
                <w:highlight w:val="none"/>
              </w:rPr>
            </w:pPr>
          </w:p>
        </w:tc>
        <w:tc>
          <w:tcPr>
            <w:tcW w:w="1133" w:type="dxa"/>
            <w:vAlign w:val="center"/>
          </w:tcPr>
          <w:p w14:paraId="7A291A57">
            <w:pPr>
              <w:jc w:val="center"/>
              <w:rPr>
                <w:b/>
                <w:bCs/>
                <w:color w:val="auto"/>
                <w:highlight w:val="none"/>
              </w:rPr>
            </w:pPr>
          </w:p>
        </w:tc>
        <w:tc>
          <w:tcPr>
            <w:tcW w:w="1133" w:type="dxa"/>
            <w:vAlign w:val="center"/>
          </w:tcPr>
          <w:p w14:paraId="0C9E12B4">
            <w:pPr>
              <w:jc w:val="center"/>
              <w:rPr>
                <w:b/>
                <w:bCs/>
                <w:color w:val="auto"/>
                <w:highlight w:val="none"/>
              </w:rPr>
            </w:pPr>
          </w:p>
        </w:tc>
        <w:tc>
          <w:tcPr>
            <w:tcW w:w="1133" w:type="dxa"/>
            <w:vAlign w:val="center"/>
          </w:tcPr>
          <w:p w14:paraId="356493E1">
            <w:pPr>
              <w:jc w:val="center"/>
              <w:rPr>
                <w:b/>
                <w:bCs/>
                <w:color w:val="auto"/>
                <w:highlight w:val="none"/>
              </w:rPr>
            </w:pPr>
          </w:p>
        </w:tc>
        <w:tc>
          <w:tcPr>
            <w:tcW w:w="1133" w:type="dxa"/>
            <w:vAlign w:val="center"/>
          </w:tcPr>
          <w:p w14:paraId="6D7CE1B5">
            <w:pPr>
              <w:jc w:val="center"/>
              <w:rPr>
                <w:b/>
                <w:bCs/>
                <w:color w:val="auto"/>
                <w:highlight w:val="none"/>
              </w:rPr>
            </w:pPr>
          </w:p>
        </w:tc>
        <w:tc>
          <w:tcPr>
            <w:tcW w:w="1133" w:type="dxa"/>
            <w:vAlign w:val="center"/>
          </w:tcPr>
          <w:p w14:paraId="5891FA4A">
            <w:pPr>
              <w:jc w:val="center"/>
              <w:rPr>
                <w:b/>
                <w:bCs/>
                <w:color w:val="auto"/>
                <w:highlight w:val="none"/>
              </w:rPr>
            </w:pPr>
          </w:p>
        </w:tc>
        <w:tc>
          <w:tcPr>
            <w:tcW w:w="1134" w:type="dxa"/>
            <w:vAlign w:val="center"/>
          </w:tcPr>
          <w:p w14:paraId="19F8C22E">
            <w:pPr>
              <w:jc w:val="center"/>
              <w:rPr>
                <w:b/>
                <w:bCs/>
                <w:color w:val="auto"/>
                <w:highlight w:val="none"/>
              </w:rPr>
            </w:pPr>
          </w:p>
        </w:tc>
      </w:tr>
      <w:tr w14:paraId="3C9D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3" w:type="dxa"/>
            <w:vAlign w:val="center"/>
          </w:tcPr>
          <w:p w14:paraId="3973CF83">
            <w:pPr>
              <w:jc w:val="center"/>
              <w:rPr>
                <w:b/>
                <w:bCs/>
                <w:color w:val="auto"/>
                <w:highlight w:val="none"/>
              </w:rPr>
            </w:pPr>
          </w:p>
        </w:tc>
        <w:tc>
          <w:tcPr>
            <w:tcW w:w="1133" w:type="dxa"/>
            <w:vAlign w:val="center"/>
          </w:tcPr>
          <w:p w14:paraId="0FD8C4AA">
            <w:pPr>
              <w:jc w:val="center"/>
              <w:rPr>
                <w:b/>
                <w:bCs/>
                <w:color w:val="auto"/>
                <w:highlight w:val="none"/>
              </w:rPr>
            </w:pPr>
          </w:p>
        </w:tc>
        <w:tc>
          <w:tcPr>
            <w:tcW w:w="1133" w:type="dxa"/>
            <w:vAlign w:val="center"/>
          </w:tcPr>
          <w:p w14:paraId="1718A0B6">
            <w:pPr>
              <w:jc w:val="center"/>
              <w:rPr>
                <w:b/>
                <w:bCs/>
                <w:color w:val="auto"/>
                <w:highlight w:val="none"/>
              </w:rPr>
            </w:pPr>
          </w:p>
        </w:tc>
        <w:tc>
          <w:tcPr>
            <w:tcW w:w="1133" w:type="dxa"/>
            <w:vAlign w:val="center"/>
          </w:tcPr>
          <w:p w14:paraId="3BFE5ACF">
            <w:pPr>
              <w:jc w:val="center"/>
              <w:rPr>
                <w:b/>
                <w:bCs/>
                <w:color w:val="auto"/>
                <w:highlight w:val="none"/>
              </w:rPr>
            </w:pPr>
          </w:p>
        </w:tc>
        <w:tc>
          <w:tcPr>
            <w:tcW w:w="1133" w:type="dxa"/>
            <w:vAlign w:val="center"/>
          </w:tcPr>
          <w:p w14:paraId="5906CBF1">
            <w:pPr>
              <w:jc w:val="center"/>
              <w:rPr>
                <w:b/>
                <w:bCs/>
                <w:color w:val="auto"/>
                <w:highlight w:val="none"/>
              </w:rPr>
            </w:pPr>
          </w:p>
        </w:tc>
        <w:tc>
          <w:tcPr>
            <w:tcW w:w="1133" w:type="dxa"/>
            <w:vAlign w:val="center"/>
          </w:tcPr>
          <w:p w14:paraId="5A7C8BEF">
            <w:pPr>
              <w:jc w:val="center"/>
              <w:rPr>
                <w:b/>
                <w:bCs/>
                <w:color w:val="auto"/>
                <w:highlight w:val="none"/>
              </w:rPr>
            </w:pPr>
          </w:p>
        </w:tc>
        <w:tc>
          <w:tcPr>
            <w:tcW w:w="1133" w:type="dxa"/>
            <w:vAlign w:val="center"/>
          </w:tcPr>
          <w:p w14:paraId="688DC2D3">
            <w:pPr>
              <w:jc w:val="center"/>
              <w:rPr>
                <w:b/>
                <w:bCs/>
                <w:color w:val="auto"/>
                <w:highlight w:val="none"/>
              </w:rPr>
            </w:pPr>
          </w:p>
        </w:tc>
        <w:tc>
          <w:tcPr>
            <w:tcW w:w="1134" w:type="dxa"/>
            <w:vAlign w:val="center"/>
          </w:tcPr>
          <w:p w14:paraId="6EB59284">
            <w:pPr>
              <w:jc w:val="center"/>
              <w:rPr>
                <w:b/>
                <w:bCs/>
                <w:color w:val="auto"/>
                <w:highlight w:val="none"/>
              </w:rPr>
            </w:pPr>
          </w:p>
        </w:tc>
      </w:tr>
      <w:tr w14:paraId="7C16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3" w:type="dxa"/>
            <w:vAlign w:val="center"/>
          </w:tcPr>
          <w:p w14:paraId="78EB822C">
            <w:pPr>
              <w:jc w:val="center"/>
              <w:rPr>
                <w:b/>
                <w:bCs/>
                <w:color w:val="auto"/>
                <w:highlight w:val="none"/>
              </w:rPr>
            </w:pPr>
          </w:p>
        </w:tc>
        <w:tc>
          <w:tcPr>
            <w:tcW w:w="1133" w:type="dxa"/>
            <w:vAlign w:val="center"/>
          </w:tcPr>
          <w:p w14:paraId="1C71E4EA">
            <w:pPr>
              <w:jc w:val="center"/>
              <w:rPr>
                <w:b/>
                <w:bCs/>
                <w:color w:val="auto"/>
                <w:highlight w:val="none"/>
              </w:rPr>
            </w:pPr>
          </w:p>
        </w:tc>
        <w:tc>
          <w:tcPr>
            <w:tcW w:w="1133" w:type="dxa"/>
            <w:vAlign w:val="center"/>
          </w:tcPr>
          <w:p w14:paraId="436BE2B1">
            <w:pPr>
              <w:jc w:val="center"/>
              <w:rPr>
                <w:b/>
                <w:bCs/>
                <w:color w:val="auto"/>
                <w:highlight w:val="none"/>
              </w:rPr>
            </w:pPr>
          </w:p>
        </w:tc>
        <w:tc>
          <w:tcPr>
            <w:tcW w:w="1133" w:type="dxa"/>
            <w:vAlign w:val="center"/>
          </w:tcPr>
          <w:p w14:paraId="52D0B223">
            <w:pPr>
              <w:jc w:val="center"/>
              <w:rPr>
                <w:b/>
                <w:bCs/>
                <w:color w:val="auto"/>
                <w:highlight w:val="none"/>
              </w:rPr>
            </w:pPr>
          </w:p>
        </w:tc>
        <w:tc>
          <w:tcPr>
            <w:tcW w:w="1133" w:type="dxa"/>
            <w:vAlign w:val="center"/>
          </w:tcPr>
          <w:p w14:paraId="03D3AA33">
            <w:pPr>
              <w:jc w:val="center"/>
              <w:rPr>
                <w:b/>
                <w:bCs/>
                <w:color w:val="auto"/>
                <w:highlight w:val="none"/>
              </w:rPr>
            </w:pPr>
          </w:p>
        </w:tc>
        <w:tc>
          <w:tcPr>
            <w:tcW w:w="1133" w:type="dxa"/>
            <w:vAlign w:val="center"/>
          </w:tcPr>
          <w:p w14:paraId="07386916">
            <w:pPr>
              <w:jc w:val="center"/>
              <w:rPr>
                <w:b/>
                <w:bCs/>
                <w:color w:val="auto"/>
                <w:highlight w:val="none"/>
              </w:rPr>
            </w:pPr>
          </w:p>
        </w:tc>
        <w:tc>
          <w:tcPr>
            <w:tcW w:w="1133" w:type="dxa"/>
            <w:vAlign w:val="center"/>
          </w:tcPr>
          <w:p w14:paraId="7A6893E6">
            <w:pPr>
              <w:jc w:val="center"/>
              <w:rPr>
                <w:b/>
                <w:bCs/>
                <w:color w:val="auto"/>
                <w:highlight w:val="none"/>
              </w:rPr>
            </w:pPr>
          </w:p>
        </w:tc>
        <w:tc>
          <w:tcPr>
            <w:tcW w:w="1134" w:type="dxa"/>
            <w:vAlign w:val="center"/>
          </w:tcPr>
          <w:p w14:paraId="4BAD1FA9">
            <w:pPr>
              <w:jc w:val="center"/>
              <w:rPr>
                <w:b/>
                <w:bCs/>
                <w:color w:val="auto"/>
                <w:highlight w:val="none"/>
              </w:rPr>
            </w:pPr>
          </w:p>
        </w:tc>
      </w:tr>
      <w:tr w14:paraId="5DD0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3" w:type="dxa"/>
            <w:vAlign w:val="center"/>
          </w:tcPr>
          <w:p w14:paraId="0B102236">
            <w:pPr>
              <w:jc w:val="center"/>
              <w:rPr>
                <w:b/>
                <w:bCs/>
                <w:color w:val="auto"/>
                <w:highlight w:val="none"/>
              </w:rPr>
            </w:pPr>
          </w:p>
        </w:tc>
        <w:tc>
          <w:tcPr>
            <w:tcW w:w="1133" w:type="dxa"/>
            <w:vAlign w:val="center"/>
          </w:tcPr>
          <w:p w14:paraId="3C129D71">
            <w:pPr>
              <w:jc w:val="center"/>
              <w:rPr>
                <w:b/>
                <w:bCs/>
                <w:color w:val="auto"/>
                <w:highlight w:val="none"/>
              </w:rPr>
            </w:pPr>
          </w:p>
        </w:tc>
        <w:tc>
          <w:tcPr>
            <w:tcW w:w="1133" w:type="dxa"/>
            <w:vAlign w:val="center"/>
          </w:tcPr>
          <w:p w14:paraId="446A8D49">
            <w:pPr>
              <w:jc w:val="center"/>
              <w:rPr>
                <w:b/>
                <w:bCs/>
                <w:color w:val="auto"/>
                <w:highlight w:val="none"/>
              </w:rPr>
            </w:pPr>
          </w:p>
        </w:tc>
        <w:tc>
          <w:tcPr>
            <w:tcW w:w="1133" w:type="dxa"/>
            <w:vAlign w:val="center"/>
          </w:tcPr>
          <w:p w14:paraId="4DCB18EE">
            <w:pPr>
              <w:jc w:val="center"/>
              <w:rPr>
                <w:b/>
                <w:bCs/>
                <w:color w:val="auto"/>
                <w:highlight w:val="none"/>
              </w:rPr>
            </w:pPr>
          </w:p>
        </w:tc>
        <w:tc>
          <w:tcPr>
            <w:tcW w:w="1133" w:type="dxa"/>
            <w:vAlign w:val="center"/>
          </w:tcPr>
          <w:p w14:paraId="1D23E9C8">
            <w:pPr>
              <w:jc w:val="center"/>
              <w:rPr>
                <w:b/>
                <w:bCs/>
                <w:color w:val="auto"/>
                <w:highlight w:val="none"/>
              </w:rPr>
            </w:pPr>
          </w:p>
        </w:tc>
        <w:tc>
          <w:tcPr>
            <w:tcW w:w="1133" w:type="dxa"/>
            <w:vAlign w:val="center"/>
          </w:tcPr>
          <w:p w14:paraId="517FB9EA">
            <w:pPr>
              <w:jc w:val="center"/>
              <w:rPr>
                <w:b/>
                <w:bCs/>
                <w:color w:val="auto"/>
                <w:highlight w:val="none"/>
              </w:rPr>
            </w:pPr>
          </w:p>
        </w:tc>
        <w:tc>
          <w:tcPr>
            <w:tcW w:w="1133" w:type="dxa"/>
            <w:vAlign w:val="center"/>
          </w:tcPr>
          <w:p w14:paraId="06B4E98B">
            <w:pPr>
              <w:jc w:val="center"/>
              <w:rPr>
                <w:b/>
                <w:bCs/>
                <w:color w:val="auto"/>
                <w:highlight w:val="none"/>
              </w:rPr>
            </w:pPr>
          </w:p>
        </w:tc>
        <w:tc>
          <w:tcPr>
            <w:tcW w:w="1134" w:type="dxa"/>
            <w:vAlign w:val="center"/>
          </w:tcPr>
          <w:p w14:paraId="568453C1">
            <w:pPr>
              <w:jc w:val="center"/>
              <w:rPr>
                <w:b/>
                <w:bCs/>
                <w:color w:val="auto"/>
                <w:highlight w:val="none"/>
              </w:rPr>
            </w:pPr>
          </w:p>
        </w:tc>
      </w:tr>
      <w:tr w14:paraId="41D34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3" w:type="dxa"/>
            <w:vAlign w:val="center"/>
          </w:tcPr>
          <w:p w14:paraId="57E01AD6">
            <w:pPr>
              <w:jc w:val="center"/>
              <w:rPr>
                <w:b/>
                <w:bCs/>
                <w:color w:val="auto"/>
                <w:highlight w:val="none"/>
              </w:rPr>
            </w:pPr>
          </w:p>
        </w:tc>
        <w:tc>
          <w:tcPr>
            <w:tcW w:w="1133" w:type="dxa"/>
            <w:vAlign w:val="center"/>
          </w:tcPr>
          <w:p w14:paraId="4964D578">
            <w:pPr>
              <w:jc w:val="center"/>
              <w:rPr>
                <w:b/>
                <w:bCs/>
                <w:color w:val="auto"/>
                <w:highlight w:val="none"/>
              </w:rPr>
            </w:pPr>
          </w:p>
        </w:tc>
        <w:tc>
          <w:tcPr>
            <w:tcW w:w="1133" w:type="dxa"/>
            <w:vAlign w:val="center"/>
          </w:tcPr>
          <w:p w14:paraId="6B811266">
            <w:pPr>
              <w:jc w:val="center"/>
              <w:rPr>
                <w:b/>
                <w:bCs/>
                <w:color w:val="auto"/>
                <w:highlight w:val="none"/>
              </w:rPr>
            </w:pPr>
          </w:p>
        </w:tc>
        <w:tc>
          <w:tcPr>
            <w:tcW w:w="1133" w:type="dxa"/>
            <w:vAlign w:val="center"/>
          </w:tcPr>
          <w:p w14:paraId="3B9174F1">
            <w:pPr>
              <w:jc w:val="center"/>
              <w:rPr>
                <w:b/>
                <w:bCs/>
                <w:color w:val="auto"/>
                <w:highlight w:val="none"/>
              </w:rPr>
            </w:pPr>
          </w:p>
        </w:tc>
        <w:tc>
          <w:tcPr>
            <w:tcW w:w="1133" w:type="dxa"/>
            <w:vAlign w:val="center"/>
          </w:tcPr>
          <w:p w14:paraId="61906264">
            <w:pPr>
              <w:jc w:val="center"/>
              <w:rPr>
                <w:b/>
                <w:bCs/>
                <w:color w:val="auto"/>
                <w:highlight w:val="none"/>
              </w:rPr>
            </w:pPr>
          </w:p>
        </w:tc>
        <w:tc>
          <w:tcPr>
            <w:tcW w:w="1133" w:type="dxa"/>
            <w:vAlign w:val="center"/>
          </w:tcPr>
          <w:p w14:paraId="2104BADB">
            <w:pPr>
              <w:jc w:val="center"/>
              <w:rPr>
                <w:b/>
                <w:bCs/>
                <w:color w:val="auto"/>
                <w:highlight w:val="none"/>
              </w:rPr>
            </w:pPr>
          </w:p>
        </w:tc>
        <w:tc>
          <w:tcPr>
            <w:tcW w:w="1133" w:type="dxa"/>
            <w:vAlign w:val="center"/>
          </w:tcPr>
          <w:p w14:paraId="6D6EF576">
            <w:pPr>
              <w:jc w:val="center"/>
              <w:rPr>
                <w:b/>
                <w:bCs/>
                <w:color w:val="auto"/>
                <w:highlight w:val="none"/>
              </w:rPr>
            </w:pPr>
          </w:p>
        </w:tc>
        <w:tc>
          <w:tcPr>
            <w:tcW w:w="1134" w:type="dxa"/>
            <w:vAlign w:val="center"/>
          </w:tcPr>
          <w:p w14:paraId="27CA55A6">
            <w:pPr>
              <w:jc w:val="center"/>
              <w:rPr>
                <w:b/>
                <w:bCs/>
                <w:color w:val="auto"/>
                <w:highlight w:val="none"/>
              </w:rPr>
            </w:pPr>
          </w:p>
        </w:tc>
      </w:tr>
      <w:tr w14:paraId="1ACA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3" w:type="dxa"/>
            <w:vAlign w:val="center"/>
          </w:tcPr>
          <w:p w14:paraId="3AECF176">
            <w:pPr>
              <w:jc w:val="center"/>
              <w:rPr>
                <w:b/>
                <w:bCs/>
                <w:color w:val="auto"/>
                <w:highlight w:val="none"/>
              </w:rPr>
            </w:pPr>
          </w:p>
        </w:tc>
        <w:tc>
          <w:tcPr>
            <w:tcW w:w="1133" w:type="dxa"/>
            <w:vAlign w:val="center"/>
          </w:tcPr>
          <w:p w14:paraId="6B3A06B1">
            <w:pPr>
              <w:jc w:val="center"/>
              <w:rPr>
                <w:b/>
                <w:bCs/>
                <w:color w:val="auto"/>
                <w:highlight w:val="none"/>
              </w:rPr>
            </w:pPr>
          </w:p>
        </w:tc>
        <w:tc>
          <w:tcPr>
            <w:tcW w:w="1133" w:type="dxa"/>
            <w:vAlign w:val="center"/>
          </w:tcPr>
          <w:p w14:paraId="0AFCB6BB">
            <w:pPr>
              <w:jc w:val="center"/>
              <w:rPr>
                <w:b/>
                <w:bCs/>
                <w:color w:val="auto"/>
                <w:highlight w:val="none"/>
              </w:rPr>
            </w:pPr>
          </w:p>
        </w:tc>
        <w:tc>
          <w:tcPr>
            <w:tcW w:w="1133" w:type="dxa"/>
            <w:vAlign w:val="center"/>
          </w:tcPr>
          <w:p w14:paraId="0841EBBC">
            <w:pPr>
              <w:jc w:val="center"/>
              <w:rPr>
                <w:b/>
                <w:bCs/>
                <w:color w:val="auto"/>
                <w:highlight w:val="none"/>
              </w:rPr>
            </w:pPr>
          </w:p>
        </w:tc>
        <w:tc>
          <w:tcPr>
            <w:tcW w:w="1133" w:type="dxa"/>
            <w:vAlign w:val="center"/>
          </w:tcPr>
          <w:p w14:paraId="7C3ACCBA">
            <w:pPr>
              <w:jc w:val="center"/>
              <w:rPr>
                <w:b/>
                <w:bCs/>
                <w:color w:val="auto"/>
                <w:highlight w:val="none"/>
              </w:rPr>
            </w:pPr>
          </w:p>
        </w:tc>
        <w:tc>
          <w:tcPr>
            <w:tcW w:w="1133" w:type="dxa"/>
            <w:vAlign w:val="center"/>
          </w:tcPr>
          <w:p w14:paraId="40777FAA">
            <w:pPr>
              <w:jc w:val="center"/>
              <w:rPr>
                <w:b/>
                <w:bCs/>
                <w:color w:val="auto"/>
                <w:highlight w:val="none"/>
              </w:rPr>
            </w:pPr>
          </w:p>
        </w:tc>
        <w:tc>
          <w:tcPr>
            <w:tcW w:w="1133" w:type="dxa"/>
            <w:vAlign w:val="center"/>
          </w:tcPr>
          <w:p w14:paraId="776CD078">
            <w:pPr>
              <w:jc w:val="center"/>
              <w:rPr>
                <w:b/>
                <w:bCs/>
                <w:color w:val="auto"/>
                <w:highlight w:val="none"/>
              </w:rPr>
            </w:pPr>
          </w:p>
        </w:tc>
        <w:tc>
          <w:tcPr>
            <w:tcW w:w="1134" w:type="dxa"/>
            <w:vAlign w:val="center"/>
          </w:tcPr>
          <w:p w14:paraId="608EB058">
            <w:pPr>
              <w:jc w:val="center"/>
              <w:rPr>
                <w:b/>
                <w:bCs/>
                <w:color w:val="auto"/>
                <w:highlight w:val="none"/>
              </w:rPr>
            </w:pPr>
          </w:p>
        </w:tc>
      </w:tr>
      <w:tr w14:paraId="0036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3" w:type="dxa"/>
            <w:vAlign w:val="center"/>
          </w:tcPr>
          <w:p w14:paraId="2651C6D3">
            <w:pPr>
              <w:jc w:val="center"/>
              <w:rPr>
                <w:b/>
                <w:bCs/>
                <w:color w:val="auto"/>
                <w:highlight w:val="none"/>
              </w:rPr>
            </w:pPr>
          </w:p>
        </w:tc>
        <w:tc>
          <w:tcPr>
            <w:tcW w:w="1133" w:type="dxa"/>
            <w:vAlign w:val="center"/>
          </w:tcPr>
          <w:p w14:paraId="7F95512C">
            <w:pPr>
              <w:jc w:val="center"/>
              <w:rPr>
                <w:b/>
                <w:bCs/>
                <w:color w:val="auto"/>
                <w:highlight w:val="none"/>
              </w:rPr>
            </w:pPr>
          </w:p>
        </w:tc>
        <w:tc>
          <w:tcPr>
            <w:tcW w:w="1133" w:type="dxa"/>
            <w:vAlign w:val="center"/>
          </w:tcPr>
          <w:p w14:paraId="252E75A4">
            <w:pPr>
              <w:jc w:val="center"/>
              <w:rPr>
                <w:b/>
                <w:bCs/>
                <w:color w:val="auto"/>
                <w:highlight w:val="none"/>
              </w:rPr>
            </w:pPr>
          </w:p>
        </w:tc>
        <w:tc>
          <w:tcPr>
            <w:tcW w:w="1133" w:type="dxa"/>
            <w:vAlign w:val="center"/>
          </w:tcPr>
          <w:p w14:paraId="024F6D5F">
            <w:pPr>
              <w:jc w:val="center"/>
              <w:rPr>
                <w:b/>
                <w:bCs/>
                <w:color w:val="auto"/>
                <w:highlight w:val="none"/>
              </w:rPr>
            </w:pPr>
          </w:p>
        </w:tc>
        <w:tc>
          <w:tcPr>
            <w:tcW w:w="1133" w:type="dxa"/>
            <w:vAlign w:val="center"/>
          </w:tcPr>
          <w:p w14:paraId="568E8A49">
            <w:pPr>
              <w:jc w:val="center"/>
              <w:rPr>
                <w:b/>
                <w:bCs/>
                <w:color w:val="auto"/>
                <w:highlight w:val="none"/>
              </w:rPr>
            </w:pPr>
          </w:p>
        </w:tc>
        <w:tc>
          <w:tcPr>
            <w:tcW w:w="1133" w:type="dxa"/>
            <w:vAlign w:val="center"/>
          </w:tcPr>
          <w:p w14:paraId="58014581">
            <w:pPr>
              <w:jc w:val="center"/>
              <w:rPr>
                <w:b/>
                <w:bCs/>
                <w:color w:val="auto"/>
                <w:highlight w:val="none"/>
              </w:rPr>
            </w:pPr>
          </w:p>
        </w:tc>
        <w:tc>
          <w:tcPr>
            <w:tcW w:w="1133" w:type="dxa"/>
            <w:vAlign w:val="center"/>
          </w:tcPr>
          <w:p w14:paraId="00A7081F">
            <w:pPr>
              <w:jc w:val="center"/>
              <w:rPr>
                <w:b/>
                <w:bCs/>
                <w:color w:val="auto"/>
                <w:highlight w:val="none"/>
              </w:rPr>
            </w:pPr>
          </w:p>
        </w:tc>
        <w:tc>
          <w:tcPr>
            <w:tcW w:w="1134" w:type="dxa"/>
            <w:vAlign w:val="center"/>
          </w:tcPr>
          <w:p w14:paraId="4B75620E">
            <w:pPr>
              <w:jc w:val="center"/>
              <w:rPr>
                <w:b/>
                <w:bCs/>
                <w:color w:val="auto"/>
                <w:highlight w:val="none"/>
              </w:rPr>
            </w:pPr>
          </w:p>
        </w:tc>
      </w:tr>
      <w:tr w14:paraId="141A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3" w:type="dxa"/>
            <w:vAlign w:val="center"/>
          </w:tcPr>
          <w:p w14:paraId="63D28EAD">
            <w:pPr>
              <w:jc w:val="center"/>
              <w:rPr>
                <w:b/>
                <w:bCs/>
                <w:color w:val="auto"/>
                <w:highlight w:val="none"/>
              </w:rPr>
            </w:pPr>
          </w:p>
        </w:tc>
        <w:tc>
          <w:tcPr>
            <w:tcW w:w="1133" w:type="dxa"/>
            <w:vAlign w:val="center"/>
          </w:tcPr>
          <w:p w14:paraId="19F7A165">
            <w:pPr>
              <w:jc w:val="center"/>
              <w:rPr>
                <w:b/>
                <w:bCs/>
                <w:color w:val="auto"/>
                <w:highlight w:val="none"/>
              </w:rPr>
            </w:pPr>
          </w:p>
        </w:tc>
        <w:tc>
          <w:tcPr>
            <w:tcW w:w="1133" w:type="dxa"/>
            <w:vAlign w:val="center"/>
          </w:tcPr>
          <w:p w14:paraId="3AD16C7A">
            <w:pPr>
              <w:jc w:val="center"/>
              <w:rPr>
                <w:b/>
                <w:bCs/>
                <w:color w:val="auto"/>
                <w:highlight w:val="none"/>
              </w:rPr>
            </w:pPr>
          </w:p>
        </w:tc>
        <w:tc>
          <w:tcPr>
            <w:tcW w:w="1133" w:type="dxa"/>
            <w:vAlign w:val="center"/>
          </w:tcPr>
          <w:p w14:paraId="61259E7E">
            <w:pPr>
              <w:jc w:val="center"/>
              <w:rPr>
                <w:b/>
                <w:bCs/>
                <w:color w:val="auto"/>
                <w:highlight w:val="none"/>
              </w:rPr>
            </w:pPr>
          </w:p>
        </w:tc>
        <w:tc>
          <w:tcPr>
            <w:tcW w:w="1133" w:type="dxa"/>
            <w:vAlign w:val="center"/>
          </w:tcPr>
          <w:p w14:paraId="6FDD4BD4">
            <w:pPr>
              <w:jc w:val="center"/>
              <w:rPr>
                <w:b/>
                <w:bCs/>
                <w:color w:val="auto"/>
                <w:highlight w:val="none"/>
              </w:rPr>
            </w:pPr>
          </w:p>
        </w:tc>
        <w:tc>
          <w:tcPr>
            <w:tcW w:w="1133" w:type="dxa"/>
            <w:vAlign w:val="center"/>
          </w:tcPr>
          <w:p w14:paraId="639B1637">
            <w:pPr>
              <w:jc w:val="center"/>
              <w:rPr>
                <w:b/>
                <w:bCs/>
                <w:color w:val="auto"/>
                <w:highlight w:val="none"/>
              </w:rPr>
            </w:pPr>
          </w:p>
        </w:tc>
        <w:tc>
          <w:tcPr>
            <w:tcW w:w="1133" w:type="dxa"/>
            <w:vAlign w:val="center"/>
          </w:tcPr>
          <w:p w14:paraId="334A2D80">
            <w:pPr>
              <w:jc w:val="center"/>
              <w:rPr>
                <w:b/>
                <w:bCs/>
                <w:color w:val="auto"/>
                <w:highlight w:val="none"/>
              </w:rPr>
            </w:pPr>
          </w:p>
        </w:tc>
        <w:tc>
          <w:tcPr>
            <w:tcW w:w="1134" w:type="dxa"/>
            <w:vAlign w:val="center"/>
          </w:tcPr>
          <w:p w14:paraId="4E284ABD">
            <w:pPr>
              <w:jc w:val="center"/>
              <w:rPr>
                <w:b/>
                <w:bCs/>
                <w:color w:val="auto"/>
                <w:highlight w:val="none"/>
              </w:rPr>
            </w:pPr>
          </w:p>
        </w:tc>
      </w:tr>
      <w:tr w14:paraId="007C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3" w:type="dxa"/>
            <w:vAlign w:val="center"/>
          </w:tcPr>
          <w:p w14:paraId="6DA7B2F6">
            <w:pPr>
              <w:jc w:val="center"/>
              <w:rPr>
                <w:b/>
                <w:bCs/>
                <w:color w:val="auto"/>
                <w:highlight w:val="none"/>
              </w:rPr>
            </w:pPr>
          </w:p>
        </w:tc>
        <w:tc>
          <w:tcPr>
            <w:tcW w:w="1133" w:type="dxa"/>
            <w:vAlign w:val="center"/>
          </w:tcPr>
          <w:p w14:paraId="32642CAF">
            <w:pPr>
              <w:jc w:val="center"/>
              <w:rPr>
                <w:b/>
                <w:bCs/>
                <w:color w:val="auto"/>
                <w:highlight w:val="none"/>
              </w:rPr>
            </w:pPr>
          </w:p>
        </w:tc>
        <w:tc>
          <w:tcPr>
            <w:tcW w:w="1133" w:type="dxa"/>
            <w:vAlign w:val="center"/>
          </w:tcPr>
          <w:p w14:paraId="1B12908C">
            <w:pPr>
              <w:jc w:val="center"/>
              <w:rPr>
                <w:b/>
                <w:bCs/>
                <w:color w:val="auto"/>
                <w:highlight w:val="none"/>
              </w:rPr>
            </w:pPr>
          </w:p>
        </w:tc>
        <w:tc>
          <w:tcPr>
            <w:tcW w:w="1133" w:type="dxa"/>
            <w:vAlign w:val="center"/>
          </w:tcPr>
          <w:p w14:paraId="45E3CCBA">
            <w:pPr>
              <w:jc w:val="center"/>
              <w:rPr>
                <w:b/>
                <w:bCs/>
                <w:color w:val="auto"/>
                <w:highlight w:val="none"/>
              </w:rPr>
            </w:pPr>
          </w:p>
        </w:tc>
        <w:tc>
          <w:tcPr>
            <w:tcW w:w="1133" w:type="dxa"/>
            <w:vAlign w:val="center"/>
          </w:tcPr>
          <w:p w14:paraId="3FDD66D6">
            <w:pPr>
              <w:jc w:val="center"/>
              <w:rPr>
                <w:b/>
                <w:bCs/>
                <w:color w:val="auto"/>
                <w:highlight w:val="none"/>
              </w:rPr>
            </w:pPr>
          </w:p>
        </w:tc>
        <w:tc>
          <w:tcPr>
            <w:tcW w:w="1133" w:type="dxa"/>
            <w:vAlign w:val="center"/>
          </w:tcPr>
          <w:p w14:paraId="2C66A5A5">
            <w:pPr>
              <w:jc w:val="center"/>
              <w:rPr>
                <w:b/>
                <w:bCs/>
                <w:color w:val="auto"/>
                <w:highlight w:val="none"/>
              </w:rPr>
            </w:pPr>
          </w:p>
        </w:tc>
        <w:tc>
          <w:tcPr>
            <w:tcW w:w="1133" w:type="dxa"/>
            <w:vAlign w:val="center"/>
          </w:tcPr>
          <w:p w14:paraId="763CBD39">
            <w:pPr>
              <w:jc w:val="center"/>
              <w:rPr>
                <w:b/>
                <w:bCs/>
                <w:color w:val="auto"/>
                <w:highlight w:val="none"/>
              </w:rPr>
            </w:pPr>
          </w:p>
        </w:tc>
        <w:tc>
          <w:tcPr>
            <w:tcW w:w="1134" w:type="dxa"/>
            <w:vAlign w:val="center"/>
          </w:tcPr>
          <w:p w14:paraId="3C07D675">
            <w:pPr>
              <w:jc w:val="center"/>
              <w:rPr>
                <w:b/>
                <w:bCs/>
                <w:color w:val="auto"/>
                <w:highlight w:val="none"/>
              </w:rPr>
            </w:pPr>
          </w:p>
        </w:tc>
      </w:tr>
      <w:tr w14:paraId="5EE40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3" w:type="dxa"/>
            <w:vAlign w:val="center"/>
          </w:tcPr>
          <w:p w14:paraId="2C0D9DCC">
            <w:pPr>
              <w:jc w:val="center"/>
              <w:rPr>
                <w:b/>
                <w:bCs/>
                <w:color w:val="auto"/>
                <w:highlight w:val="none"/>
              </w:rPr>
            </w:pPr>
          </w:p>
        </w:tc>
        <w:tc>
          <w:tcPr>
            <w:tcW w:w="1133" w:type="dxa"/>
            <w:vAlign w:val="center"/>
          </w:tcPr>
          <w:p w14:paraId="03E96FC7">
            <w:pPr>
              <w:jc w:val="center"/>
              <w:rPr>
                <w:b/>
                <w:bCs/>
                <w:color w:val="auto"/>
                <w:highlight w:val="none"/>
              </w:rPr>
            </w:pPr>
          </w:p>
        </w:tc>
        <w:tc>
          <w:tcPr>
            <w:tcW w:w="1133" w:type="dxa"/>
            <w:vAlign w:val="center"/>
          </w:tcPr>
          <w:p w14:paraId="5BE6105C">
            <w:pPr>
              <w:jc w:val="center"/>
              <w:rPr>
                <w:b/>
                <w:bCs/>
                <w:color w:val="auto"/>
                <w:highlight w:val="none"/>
              </w:rPr>
            </w:pPr>
          </w:p>
        </w:tc>
        <w:tc>
          <w:tcPr>
            <w:tcW w:w="1133" w:type="dxa"/>
            <w:vAlign w:val="center"/>
          </w:tcPr>
          <w:p w14:paraId="7E0F8765">
            <w:pPr>
              <w:jc w:val="center"/>
              <w:rPr>
                <w:b/>
                <w:bCs/>
                <w:color w:val="auto"/>
                <w:highlight w:val="none"/>
              </w:rPr>
            </w:pPr>
          </w:p>
        </w:tc>
        <w:tc>
          <w:tcPr>
            <w:tcW w:w="1133" w:type="dxa"/>
            <w:vAlign w:val="center"/>
          </w:tcPr>
          <w:p w14:paraId="70A6301F">
            <w:pPr>
              <w:jc w:val="center"/>
              <w:rPr>
                <w:b/>
                <w:bCs/>
                <w:color w:val="auto"/>
                <w:highlight w:val="none"/>
              </w:rPr>
            </w:pPr>
          </w:p>
        </w:tc>
        <w:tc>
          <w:tcPr>
            <w:tcW w:w="1133" w:type="dxa"/>
            <w:vAlign w:val="center"/>
          </w:tcPr>
          <w:p w14:paraId="628BA0B6">
            <w:pPr>
              <w:jc w:val="center"/>
              <w:rPr>
                <w:b/>
                <w:bCs/>
                <w:color w:val="auto"/>
                <w:highlight w:val="none"/>
              </w:rPr>
            </w:pPr>
          </w:p>
        </w:tc>
        <w:tc>
          <w:tcPr>
            <w:tcW w:w="1133" w:type="dxa"/>
            <w:vAlign w:val="center"/>
          </w:tcPr>
          <w:p w14:paraId="0F1965F7">
            <w:pPr>
              <w:jc w:val="center"/>
              <w:rPr>
                <w:b/>
                <w:bCs/>
                <w:color w:val="auto"/>
                <w:highlight w:val="none"/>
              </w:rPr>
            </w:pPr>
          </w:p>
        </w:tc>
        <w:tc>
          <w:tcPr>
            <w:tcW w:w="1134" w:type="dxa"/>
            <w:vAlign w:val="center"/>
          </w:tcPr>
          <w:p w14:paraId="33005F61">
            <w:pPr>
              <w:jc w:val="center"/>
              <w:rPr>
                <w:b/>
                <w:bCs/>
                <w:color w:val="auto"/>
                <w:highlight w:val="none"/>
              </w:rPr>
            </w:pPr>
          </w:p>
        </w:tc>
      </w:tr>
      <w:tr w14:paraId="0B5D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3" w:type="dxa"/>
            <w:vAlign w:val="center"/>
          </w:tcPr>
          <w:p w14:paraId="39F484F5">
            <w:pPr>
              <w:jc w:val="center"/>
              <w:rPr>
                <w:b/>
                <w:bCs/>
                <w:color w:val="auto"/>
                <w:highlight w:val="none"/>
              </w:rPr>
            </w:pPr>
          </w:p>
        </w:tc>
        <w:tc>
          <w:tcPr>
            <w:tcW w:w="1133" w:type="dxa"/>
            <w:vAlign w:val="center"/>
          </w:tcPr>
          <w:p w14:paraId="679C3881">
            <w:pPr>
              <w:jc w:val="center"/>
              <w:rPr>
                <w:b/>
                <w:bCs/>
                <w:color w:val="auto"/>
                <w:highlight w:val="none"/>
              </w:rPr>
            </w:pPr>
          </w:p>
        </w:tc>
        <w:tc>
          <w:tcPr>
            <w:tcW w:w="1133" w:type="dxa"/>
            <w:vAlign w:val="center"/>
          </w:tcPr>
          <w:p w14:paraId="4E43DF75">
            <w:pPr>
              <w:jc w:val="center"/>
              <w:rPr>
                <w:b/>
                <w:bCs/>
                <w:color w:val="auto"/>
                <w:highlight w:val="none"/>
              </w:rPr>
            </w:pPr>
          </w:p>
        </w:tc>
        <w:tc>
          <w:tcPr>
            <w:tcW w:w="1133" w:type="dxa"/>
            <w:vAlign w:val="center"/>
          </w:tcPr>
          <w:p w14:paraId="52E67B11">
            <w:pPr>
              <w:jc w:val="center"/>
              <w:rPr>
                <w:b/>
                <w:bCs/>
                <w:color w:val="auto"/>
                <w:highlight w:val="none"/>
              </w:rPr>
            </w:pPr>
          </w:p>
        </w:tc>
        <w:tc>
          <w:tcPr>
            <w:tcW w:w="1133" w:type="dxa"/>
            <w:vAlign w:val="center"/>
          </w:tcPr>
          <w:p w14:paraId="7D63CFCA">
            <w:pPr>
              <w:jc w:val="center"/>
              <w:rPr>
                <w:b/>
                <w:bCs/>
                <w:color w:val="auto"/>
                <w:highlight w:val="none"/>
              </w:rPr>
            </w:pPr>
          </w:p>
        </w:tc>
        <w:tc>
          <w:tcPr>
            <w:tcW w:w="1133" w:type="dxa"/>
            <w:vAlign w:val="center"/>
          </w:tcPr>
          <w:p w14:paraId="07E40BF2">
            <w:pPr>
              <w:jc w:val="center"/>
              <w:rPr>
                <w:b/>
                <w:bCs/>
                <w:color w:val="auto"/>
                <w:highlight w:val="none"/>
              </w:rPr>
            </w:pPr>
          </w:p>
        </w:tc>
        <w:tc>
          <w:tcPr>
            <w:tcW w:w="1133" w:type="dxa"/>
            <w:vAlign w:val="center"/>
          </w:tcPr>
          <w:p w14:paraId="3628C543">
            <w:pPr>
              <w:jc w:val="center"/>
              <w:rPr>
                <w:b/>
                <w:bCs/>
                <w:color w:val="auto"/>
                <w:highlight w:val="none"/>
              </w:rPr>
            </w:pPr>
          </w:p>
        </w:tc>
        <w:tc>
          <w:tcPr>
            <w:tcW w:w="1134" w:type="dxa"/>
            <w:vAlign w:val="center"/>
          </w:tcPr>
          <w:p w14:paraId="2C257C7C">
            <w:pPr>
              <w:jc w:val="center"/>
              <w:rPr>
                <w:b/>
                <w:bCs/>
                <w:color w:val="auto"/>
                <w:highlight w:val="none"/>
              </w:rPr>
            </w:pPr>
          </w:p>
        </w:tc>
      </w:tr>
      <w:tr w14:paraId="0CD1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3" w:type="dxa"/>
            <w:vAlign w:val="center"/>
          </w:tcPr>
          <w:p w14:paraId="794C562D">
            <w:pPr>
              <w:jc w:val="center"/>
              <w:rPr>
                <w:b/>
                <w:bCs/>
                <w:color w:val="auto"/>
                <w:highlight w:val="none"/>
              </w:rPr>
            </w:pPr>
          </w:p>
        </w:tc>
        <w:tc>
          <w:tcPr>
            <w:tcW w:w="1133" w:type="dxa"/>
            <w:vAlign w:val="center"/>
          </w:tcPr>
          <w:p w14:paraId="0BC1241C">
            <w:pPr>
              <w:jc w:val="center"/>
              <w:rPr>
                <w:b/>
                <w:bCs/>
                <w:color w:val="auto"/>
                <w:highlight w:val="none"/>
              </w:rPr>
            </w:pPr>
          </w:p>
        </w:tc>
        <w:tc>
          <w:tcPr>
            <w:tcW w:w="1133" w:type="dxa"/>
            <w:vAlign w:val="center"/>
          </w:tcPr>
          <w:p w14:paraId="0617007F">
            <w:pPr>
              <w:jc w:val="center"/>
              <w:rPr>
                <w:b/>
                <w:bCs/>
                <w:color w:val="auto"/>
                <w:highlight w:val="none"/>
              </w:rPr>
            </w:pPr>
          </w:p>
        </w:tc>
        <w:tc>
          <w:tcPr>
            <w:tcW w:w="1133" w:type="dxa"/>
            <w:vAlign w:val="center"/>
          </w:tcPr>
          <w:p w14:paraId="57F18D09">
            <w:pPr>
              <w:jc w:val="center"/>
              <w:rPr>
                <w:b/>
                <w:bCs/>
                <w:color w:val="auto"/>
                <w:highlight w:val="none"/>
              </w:rPr>
            </w:pPr>
          </w:p>
        </w:tc>
        <w:tc>
          <w:tcPr>
            <w:tcW w:w="1133" w:type="dxa"/>
            <w:vAlign w:val="center"/>
          </w:tcPr>
          <w:p w14:paraId="654124A0">
            <w:pPr>
              <w:jc w:val="center"/>
              <w:rPr>
                <w:b/>
                <w:bCs/>
                <w:color w:val="auto"/>
                <w:highlight w:val="none"/>
              </w:rPr>
            </w:pPr>
          </w:p>
        </w:tc>
        <w:tc>
          <w:tcPr>
            <w:tcW w:w="1133" w:type="dxa"/>
            <w:vAlign w:val="center"/>
          </w:tcPr>
          <w:p w14:paraId="73519818">
            <w:pPr>
              <w:jc w:val="center"/>
              <w:rPr>
                <w:b/>
                <w:bCs/>
                <w:color w:val="auto"/>
                <w:highlight w:val="none"/>
              </w:rPr>
            </w:pPr>
          </w:p>
        </w:tc>
        <w:tc>
          <w:tcPr>
            <w:tcW w:w="1133" w:type="dxa"/>
            <w:vAlign w:val="center"/>
          </w:tcPr>
          <w:p w14:paraId="56074F65">
            <w:pPr>
              <w:jc w:val="center"/>
              <w:rPr>
                <w:b/>
                <w:bCs/>
                <w:color w:val="auto"/>
                <w:highlight w:val="none"/>
              </w:rPr>
            </w:pPr>
          </w:p>
        </w:tc>
        <w:tc>
          <w:tcPr>
            <w:tcW w:w="1134" w:type="dxa"/>
            <w:vAlign w:val="center"/>
          </w:tcPr>
          <w:p w14:paraId="070BB7FD">
            <w:pPr>
              <w:jc w:val="center"/>
              <w:rPr>
                <w:b/>
                <w:bCs/>
                <w:color w:val="auto"/>
                <w:highlight w:val="none"/>
              </w:rPr>
            </w:pPr>
          </w:p>
        </w:tc>
      </w:tr>
      <w:tr w14:paraId="2DDD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3" w:type="dxa"/>
            <w:vAlign w:val="center"/>
          </w:tcPr>
          <w:p w14:paraId="2B30C573">
            <w:pPr>
              <w:jc w:val="center"/>
              <w:rPr>
                <w:b/>
                <w:bCs/>
                <w:color w:val="auto"/>
                <w:highlight w:val="none"/>
              </w:rPr>
            </w:pPr>
          </w:p>
        </w:tc>
        <w:tc>
          <w:tcPr>
            <w:tcW w:w="1133" w:type="dxa"/>
            <w:vAlign w:val="center"/>
          </w:tcPr>
          <w:p w14:paraId="7F9D0CF7">
            <w:pPr>
              <w:jc w:val="center"/>
              <w:rPr>
                <w:b/>
                <w:bCs/>
                <w:color w:val="auto"/>
                <w:highlight w:val="none"/>
              </w:rPr>
            </w:pPr>
          </w:p>
        </w:tc>
        <w:tc>
          <w:tcPr>
            <w:tcW w:w="1133" w:type="dxa"/>
            <w:vAlign w:val="center"/>
          </w:tcPr>
          <w:p w14:paraId="4AEEB1AE">
            <w:pPr>
              <w:jc w:val="center"/>
              <w:rPr>
                <w:b/>
                <w:bCs/>
                <w:color w:val="auto"/>
                <w:highlight w:val="none"/>
              </w:rPr>
            </w:pPr>
          </w:p>
        </w:tc>
        <w:tc>
          <w:tcPr>
            <w:tcW w:w="1133" w:type="dxa"/>
            <w:vAlign w:val="center"/>
          </w:tcPr>
          <w:p w14:paraId="74570E7A">
            <w:pPr>
              <w:jc w:val="center"/>
              <w:rPr>
                <w:b/>
                <w:bCs/>
                <w:color w:val="auto"/>
                <w:highlight w:val="none"/>
              </w:rPr>
            </w:pPr>
          </w:p>
        </w:tc>
        <w:tc>
          <w:tcPr>
            <w:tcW w:w="1133" w:type="dxa"/>
            <w:vAlign w:val="center"/>
          </w:tcPr>
          <w:p w14:paraId="3AB73A95">
            <w:pPr>
              <w:jc w:val="center"/>
              <w:rPr>
                <w:b/>
                <w:bCs/>
                <w:color w:val="auto"/>
                <w:highlight w:val="none"/>
              </w:rPr>
            </w:pPr>
          </w:p>
        </w:tc>
        <w:tc>
          <w:tcPr>
            <w:tcW w:w="1133" w:type="dxa"/>
            <w:vAlign w:val="center"/>
          </w:tcPr>
          <w:p w14:paraId="73F88353">
            <w:pPr>
              <w:jc w:val="center"/>
              <w:rPr>
                <w:b/>
                <w:bCs/>
                <w:color w:val="auto"/>
                <w:highlight w:val="none"/>
              </w:rPr>
            </w:pPr>
          </w:p>
        </w:tc>
        <w:tc>
          <w:tcPr>
            <w:tcW w:w="1133" w:type="dxa"/>
            <w:vAlign w:val="center"/>
          </w:tcPr>
          <w:p w14:paraId="78B93704">
            <w:pPr>
              <w:jc w:val="center"/>
              <w:rPr>
                <w:b/>
                <w:bCs/>
                <w:color w:val="auto"/>
                <w:highlight w:val="none"/>
              </w:rPr>
            </w:pPr>
          </w:p>
        </w:tc>
        <w:tc>
          <w:tcPr>
            <w:tcW w:w="1134" w:type="dxa"/>
            <w:vAlign w:val="center"/>
          </w:tcPr>
          <w:p w14:paraId="713E965F">
            <w:pPr>
              <w:jc w:val="center"/>
              <w:rPr>
                <w:b/>
                <w:bCs/>
                <w:color w:val="auto"/>
                <w:highlight w:val="none"/>
              </w:rPr>
            </w:pPr>
          </w:p>
        </w:tc>
      </w:tr>
      <w:tr w14:paraId="1AC9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3" w:type="dxa"/>
            <w:vAlign w:val="center"/>
          </w:tcPr>
          <w:p w14:paraId="46BE3BA5">
            <w:pPr>
              <w:jc w:val="center"/>
              <w:rPr>
                <w:b/>
                <w:bCs/>
                <w:color w:val="auto"/>
                <w:highlight w:val="none"/>
              </w:rPr>
            </w:pPr>
          </w:p>
        </w:tc>
        <w:tc>
          <w:tcPr>
            <w:tcW w:w="1133" w:type="dxa"/>
            <w:vAlign w:val="center"/>
          </w:tcPr>
          <w:p w14:paraId="4D2F67A0">
            <w:pPr>
              <w:jc w:val="center"/>
              <w:rPr>
                <w:b/>
                <w:bCs/>
                <w:color w:val="auto"/>
                <w:highlight w:val="none"/>
              </w:rPr>
            </w:pPr>
          </w:p>
        </w:tc>
        <w:tc>
          <w:tcPr>
            <w:tcW w:w="1133" w:type="dxa"/>
            <w:vAlign w:val="center"/>
          </w:tcPr>
          <w:p w14:paraId="34948D6D">
            <w:pPr>
              <w:jc w:val="center"/>
              <w:rPr>
                <w:b/>
                <w:bCs/>
                <w:color w:val="auto"/>
                <w:highlight w:val="none"/>
              </w:rPr>
            </w:pPr>
          </w:p>
        </w:tc>
        <w:tc>
          <w:tcPr>
            <w:tcW w:w="1133" w:type="dxa"/>
            <w:vAlign w:val="center"/>
          </w:tcPr>
          <w:p w14:paraId="5F77CD6B">
            <w:pPr>
              <w:jc w:val="center"/>
              <w:rPr>
                <w:b/>
                <w:bCs/>
                <w:color w:val="auto"/>
                <w:highlight w:val="none"/>
              </w:rPr>
            </w:pPr>
          </w:p>
        </w:tc>
        <w:tc>
          <w:tcPr>
            <w:tcW w:w="1133" w:type="dxa"/>
            <w:vAlign w:val="center"/>
          </w:tcPr>
          <w:p w14:paraId="25B06279">
            <w:pPr>
              <w:jc w:val="center"/>
              <w:rPr>
                <w:b/>
                <w:bCs/>
                <w:color w:val="auto"/>
                <w:highlight w:val="none"/>
              </w:rPr>
            </w:pPr>
          </w:p>
        </w:tc>
        <w:tc>
          <w:tcPr>
            <w:tcW w:w="1133" w:type="dxa"/>
            <w:vAlign w:val="center"/>
          </w:tcPr>
          <w:p w14:paraId="7C442874">
            <w:pPr>
              <w:jc w:val="center"/>
              <w:rPr>
                <w:b/>
                <w:bCs/>
                <w:color w:val="auto"/>
                <w:highlight w:val="none"/>
              </w:rPr>
            </w:pPr>
          </w:p>
        </w:tc>
        <w:tc>
          <w:tcPr>
            <w:tcW w:w="1133" w:type="dxa"/>
            <w:vAlign w:val="center"/>
          </w:tcPr>
          <w:p w14:paraId="24063592">
            <w:pPr>
              <w:jc w:val="center"/>
              <w:rPr>
                <w:b/>
                <w:bCs/>
                <w:color w:val="auto"/>
                <w:highlight w:val="none"/>
              </w:rPr>
            </w:pPr>
          </w:p>
        </w:tc>
        <w:tc>
          <w:tcPr>
            <w:tcW w:w="1134" w:type="dxa"/>
            <w:vAlign w:val="center"/>
          </w:tcPr>
          <w:p w14:paraId="6D8FC0CF">
            <w:pPr>
              <w:jc w:val="center"/>
              <w:rPr>
                <w:b/>
                <w:bCs/>
                <w:color w:val="auto"/>
                <w:highlight w:val="none"/>
              </w:rPr>
            </w:pPr>
          </w:p>
        </w:tc>
      </w:tr>
      <w:tr w14:paraId="0D20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3" w:type="dxa"/>
            <w:vAlign w:val="center"/>
          </w:tcPr>
          <w:p w14:paraId="4714AA9D">
            <w:pPr>
              <w:jc w:val="center"/>
              <w:rPr>
                <w:b/>
                <w:bCs/>
                <w:color w:val="auto"/>
                <w:highlight w:val="none"/>
              </w:rPr>
            </w:pPr>
          </w:p>
        </w:tc>
        <w:tc>
          <w:tcPr>
            <w:tcW w:w="1133" w:type="dxa"/>
            <w:vAlign w:val="center"/>
          </w:tcPr>
          <w:p w14:paraId="07AE914F">
            <w:pPr>
              <w:jc w:val="center"/>
              <w:rPr>
                <w:b/>
                <w:bCs/>
                <w:color w:val="auto"/>
                <w:highlight w:val="none"/>
              </w:rPr>
            </w:pPr>
          </w:p>
        </w:tc>
        <w:tc>
          <w:tcPr>
            <w:tcW w:w="1133" w:type="dxa"/>
            <w:vAlign w:val="center"/>
          </w:tcPr>
          <w:p w14:paraId="6BB3A1B2">
            <w:pPr>
              <w:jc w:val="center"/>
              <w:rPr>
                <w:b/>
                <w:bCs/>
                <w:color w:val="auto"/>
                <w:highlight w:val="none"/>
              </w:rPr>
            </w:pPr>
          </w:p>
        </w:tc>
        <w:tc>
          <w:tcPr>
            <w:tcW w:w="1133" w:type="dxa"/>
            <w:vAlign w:val="center"/>
          </w:tcPr>
          <w:p w14:paraId="0749A585">
            <w:pPr>
              <w:jc w:val="center"/>
              <w:rPr>
                <w:b/>
                <w:bCs/>
                <w:color w:val="auto"/>
                <w:highlight w:val="none"/>
              </w:rPr>
            </w:pPr>
          </w:p>
        </w:tc>
        <w:tc>
          <w:tcPr>
            <w:tcW w:w="1133" w:type="dxa"/>
            <w:vAlign w:val="center"/>
          </w:tcPr>
          <w:p w14:paraId="2B78994C">
            <w:pPr>
              <w:jc w:val="center"/>
              <w:rPr>
                <w:b/>
                <w:bCs/>
                <w:color w:val="auto"/>
                <w:highlight w:val="none"/>
              </w:rPr>
            </w:pPr>
          </w:p>
        </w:tc>
        <w:tc>
          <w:tcPr>
            <w:tcW w:w="1133" w:type="dxa"/>
            <w:vAlign w:val="center"/>
          </w:tcPr>
          <w:p w14:paraId="09623C9F">
            <w:pPr>
              <w:jc w:val="center"/>
              <w:rPr>
                <w:b/>
                <w:bCs/>
                <w:color w:val="auto"/>
                <w:highlight w:val="none"/>
              </w:rPr>
            </w:pPr>
          </w:p>
        </w:tc>
        <w:tc>
          <w:tcPr>
            <w:tcW w:w="1133" w:type="dxa"/>
            <w:vAlign w:val="center"/>
          </w:tcPr>
          <w:p w14:paraId="5202D6C2">
            <w:pPr>
              <w:jc w:val="center"/>
              <w:rPr>
                <w:b/>
                <w:bCs/>
                <w:color w:val="auto"/>
                <w:highlight w:val="none"/>
              </w:rPr>
            </w:pPr>
          </w:p>
        </w:tc>
        <w:tc>
          <w:tcPr>
            <w:tcW w:w="1134" w:type="dxa"/>
            <w:vAlign w:val="center"/>
          </w:tcPr>
          <w:p w14:paraId="599EA587">
            <w:pPr>
              <w:jc w:val="center"/>
              <w:rPr>
                <w:b/>
                <w:bCs/>
                <w:color w:val="auto"/>
                <w:highlight w:val="none"/>
              </w:rPr>
            </w:pPr>
          </w:p>
        </w:tc>
      </w:tr>
      <w:tr w14:paraId="4F600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3" w:type="dxa"/>
            <w:vAlign w:val="center"/>
          </w:tcPr>
          <w:p w14:paraId="2AD8A8E1">
            <w:pPr>
              <w:jc w:val="center"/>
              <w:rPr>
                <w:b/>
                <w:bCs/>
                <w:color w:val="auto"/>
                <w:highlight w:val="none"/>
                <w:lang w:val="en-US"/>
              </w:rPr>
            </w:pPr>
            <w:r>
              <w:rPr>
                <w:rFonts w:hint="eastAsia"/>
                <w:b/>
                <w:bCs/>
                <w:color w:val="auto"/>
                <w:highlight w:val="none"/>
                <w:lang w:val="en-US"/>
              </w:rPr>
              <w:t>...</w:t>
            </w:r>
          </w:p>
        </w:tc>
        <w:tc>
          <w:tcPr>
            <w:tcW w:w="1133" w:type="dxa"/>
            <w:vAlign w:val="center"/>
          </w:tcPr>
          <w:p w14:paraId="69785C42">
            <w:pPr>
              <w:jc w:val="center"/>
              <w:rPr>
                <w:b/>
                <w:bCs/>
                <w:color w:val="auto"/>
                <w:highlight w:val="none"/>
              </w:rPr>
            </w:pPr>
          </w:p>
        </w:tc>
        <w:tc>
          <w:tcPr>
            <w:tcW w:w="1133" w:type="dxa"/>
            <w:vAlign w:val="center"/>
          </w:tcPr>
          <w:p w14:paraId="4CF6FBD4">
            <w:pPr>
              <w:jc w:val="center"/>
              <w:rPr>
                <w:b/>
                <w:bCs/>
                <w:color w:val="auto"/>
                <w:highlight w:val="none"/>
              </w:rPr>
            </w:pPr>
          </w:p>
        </w:tc>
        <w:tc>
          <w:tcPr>
            <w:tcW w:w="1133" w:type="dxa"/>
            <w:vAlign w:val="center"/>
          </w:tcPr>
          <w:p w14:paraId="1792E85A">
            <w:pPr>
              <w:jc w:val="center"/>
              <w:rPr>
                <w:b/>
                <w:bCs/>
                <w:color w:val="auto"/>
                <w:highlight w:val="none"/>
              </w:rPr>
            </w:pPr>
          </w:p>
        </w:tc>
        <w:tc>
          <w:tcPr>
            <w:tcW w:w="1133" w:type="dxa"/>
            <w:vAlign w:val="center"/>
          </w:tcPr>
          <w:p w14:paraId="38CA0308">
            <w:pPr>
              <w:jc w:val="center"/>
              <w:rPr>
                <w:b/>
                <w:bCs/>
                <w:color w:val="auto"/>
                <w:highlight w:val="none"/>
              </w:rPr>
            </w:pPr>
          </w:p>
        </w:tc>
        <w:tc>
          <w:tcPr>
            <w:tcW w:w="1133" w:type="dxa"/>
            <w:vAlign w:val="center"/>
          </w:tcPr>
          <w:p w14:paraId="56DE97D6">
            <w:pPr>
              <w:jc w:val="center"/>
              <w:rPr>
                <w:b/>
                <w:bCs/>
                <w:color w:val="auto"/>
                <w:highlight w:val="none"/>
              </w:rPr>
            </w:pPr>
          </w:p>
        </w:tc>
        <w:tc>
          <w:tcPr>
            <w:tcW w:w="1133" w:type="dxa"/>
            <w:vAlign w:val="center"/>
          </w:tcPr>
          <w:p w14:paraId="41BE8D70">
            <w:pPr>
              <w:jc w:val="center"/>
              <w:rPr>
                <w:b/>
                <w:bCs/>
                <w:color w:val="auto"/>
                <w:highlight w:val="none"/>
              </w:rPr>
            </w:pPr>
          </w:p>
        </w:tc>
        <w:tc>
          <w:tcPr>
            <w:tcW w:w="1134" w:type="dxa"/>
            <w:vAlign w:val="center"/>
          </w:tcPr>
          <w:p w14:paraId="20137B2A">
            <w:pPr>
              <w:jc w:val="center"/>
              <w:rPr>
                <w:b/>
                <w:bCs/>
                <w:color w:val="auto"/>
                <w:highlight w:val="none"/>
              </w:rPr>
            </w:pPr>
          </w:p>
        </w:tc>
      </w:tr>
      <w:tr w14:paraId="5918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9" w:type="dxa"/>
            <w:gridSpan w:val="3"/>
            <w:vAlign w:val="center"/>
          </w:tcPr>
          <w:p w14:paraId="1ABE5923">
            <w:pPr>
              <w:jc w:val="center"/>
              <w:rPr>
                <w:rFonts w:hint="eastAsia" w:eastAsia="宋体"/>
                <w:b/>
                <w:bCs/>
                <w:color w:val="auto"/>
                <w:highlight w:val="none"/>
                <w:lang w:eastAsia="zh-CN"/>
              </w:rPr>
            </w:pPr>
            <w:r>
              <w:rPr>
                <w:rFonts w:hint="eastAsia"/>
                <w:b/>
                <w:bCs/>
                <w:color w:val="auto"/>
                <w:highlight w:val="none"/>
                <w:lang w:eastAsia="zh-CN"/>
              </w:rPr>
              <w:t>合计</w:t>
            </w:r>
          </w:p>
        </w:tc>
        <w:tc>
          <w:tcPr>
            <w:tcW w:w="5666" w:type="dxa"/>
            <w:gridSpan w:val="5"/>
            <w:vAlign w:val="center"/>
          </w:tcPr>
          <w:p w14:paraId="1B11D1FA">
            <w:pPr>
              <w:jc w:val="both"/>
              <w:rPr>
                <w:rFonts w:hint="eastAsia"/>
                <w:b/>
                <w:bCs/>
                <w:color w:val="auto"/>
                <w:highlight w:val="none"/>
                <w:lang w:eastAsia="zh-CN"/>
              </w:rPr>
            </w:pPr>
            <w:r>
              <w:rPr>
                <w:rFonts w:hint="eastAsia"/>
                <w:b/>
                <w:bCs/>
                <w:color w:val="auto"/>
                <w:highlight w:val="none"/>
                <w:lang w:eastAsia="zh-CN"/>
              </w:rPr>
              <w:t>大写：</w:t>
            </w:r>
          </w:p>
          <w:p w14:paraId="468655C6">
            <w:pPr>
              <w:jc w:val="both"/>
              <w:rPr>
                <w:rFonts w:hint="eastAsia"/>
                <w:b/>
                <w:bCs/>
                <w:color w:val="auto"/>
                <w:highlight w:val="none"/>
                <w:lang w:eastAsia="zh-CN"/>
              </w:rPr>
            </w:pPr>
            <w:r>
              <w:rPr>
                <w:rFonts w:hint="eastAsia"/>
                <w:b/>
                <w:bCs/>
                <w:color w:val="auto"/>
                <w:highlight w:val="none"/>
                <w:lang w:eastAsia="zh-CN"/>
              </w:rPr>
              <w:t>小写：</w:t>
            </w:r>
          </w:p>
        </w:tc>
      </w:tr>
    </w:tbl>
    <w:p w14:paraId="10474A34">
      <w:pPr>
        <w:jc w:val="center"/>
        <w:rPr>
          <w:color w:val="auto"/>
          <w:sz w:val="21"/>
          <w:szCs w:val="21"/>
          <w:highlight w:val="none"/>
        </w:rPr>
      </w:pPr>
      <w:r>
        <w:rPr>
          <w:color w:val="auto"/>
          <w:sz w:val="21"/>
          <w:szCs w:val="21"/>
          <w:highlight w:val="none"/>
        </w:rPr>
        <w:br w:type="page"/>
      </w:r>
    </w:p>
    <w:p w14:paraId="47C829DC">
      <w:pPr>
        <w:pStyle w:val="3"/>
        <w:spacing w:line="240" w:lineRule="auto"/>
        <w:jc w:val="center"/>
        <w:rPr>
          <w:rFonts w:ascii="宋体" w:hAnsi="宋体" w:eastAsia="宋体"/>
          <w:color w:val="auto"/>
          <w:sz w:val="28"/>
          <w:szCs w:val="28"/>
          <w:highlight w:val="none"/>
        </w:rPr>
      </w:pPr>
      <w:bookmarkStart w:id="126" w:name="3._承诺函"/>
      <w:bookmarkEnd w:id="126"/>
      <w:bookmarkStart w:id="127" w:name="_bookmark25"/>
      <w:bookmarkEnd w:id="127"/>
      <w:bookmarkStart w:id="128" w:name="_Toc12191"/>
      <w:bookmarkStart w:id="129" w:name="_Toc15777"/>
      <w:bookmarkStart w:id="130" w:name="_Toc24366"/>
      <w:bookmarkStart w:id="131" w:name="_Toc2283"/>
      <w:bookmarkStart w:id="132" w:name="_Toc23404"/>
      <w:bookmarkStart w:id="133" w:name="_Toc17618"/>
      <w:bookmarkStart w:id="134" w:name="_Toc11291"/>
      <w:r>
        <w:rPr>
          <w:rFonts w:hint="eastAsia" w:ascii="宋体" w:hAnsi="宋体" w:eastAsia="宋体"/>
          <w:color w:val="auto"/>
          <w:sz w:val="28"/>
          <w:szCs w:val="28"/>
          <w:highlight w:val="none"/>
          <w:lang w:val="en-US"/>
        </w:rPr>
        <w:t>3.</w:t>
      </w:r>
      <w:r>
        <w:rPr>
          <w:rFonts w:hint="eastAsia" w:ascii="宋体" w:hAnsi="宋体" w:eastAsia="宋体"/>
          <w:color w:val="auto"/>
          <w:sz w:val="28"/>
          <w:szCs w:val="28"/>
          <w:highlight w:val="none"/>
        </w:rPr>
        <w:t>承诺函</w:t>
      </w:r>
      <w:bookmarkEnd w:id="128"/>
      <w:bookmarkEnd w:id="129"/>
      <w:bookmarkEnd w:id="130"/>
      <w:bookmarkEnd w:id="131"/>
      <w:bookmarkEnd w:id="132"/>
      <w:bookmarkEnd w:id="133"/>
      <w:bookmarkEnd w:id="134"/>
    </w:p>
    <w:p w14:paraId="74741A59">
      <w:pPr>
        <w:rPr>
          <w:color w:val="auto"/>
          <w:highlight w:val="none"/>
        </w:rPr>
      </w:pPr>
    </w:p>
    <w:p w14:paraId="672A25C7">
      <w:pPr>
        <w:jc w:val="center"/>
        <w:rPr>
          <w:b/>
          <w:color w:val="auto"/>
          <w:highlight w:val="none"/>
        </w:rPr>
      </w:pPr>
      <w:bookmarkStart w:id="135" w:name="3.1投标承诺函"/>
      <w:bookmarkEnd w:id="135"/>
      <w:r>
        <w:rPr>
          <w:rFonts w:hint="eastAsia"/>
          <w:b/>
          <w:bCs/>
          <w:color w:val="auto"/>
          <w:sz w:val="24"/>
          <w:szCs w:val="24"/>
          <w:highlight w:val="none"/>
          <w:lang w:val="en-US"/>
        </w:rPr>
        <w:t>3.1</w:t>
      </w:r>
      <w:r>
        <w:rPr>
          <w:rFonts w:hint="eastAsia"/>
          <w:b/>
          <w:bCs/>
          <w:color w:val="auto"/>
          <w:sz w:val="24"/>
          <w:szCs w:val="24"/>
          <w:highlight w:val="none"/>
        </w:rPr>
        <w:t>投标承诺函</w:t>
      </w:r>
    </w:p>
    <w:p w14:paraId="1EFF2FD6">
      <w:pPr>
        <w:spacing w:line="360" w:lineRule="auto"/>
        <w:ind w:firstLine="440" w:firstLineChars="200"/>
        <w:rPr>
          <w:color w:val="auto"/>
          <w:highlight w:val="none"/>
          <w:u w:val="single"/>
        </w:rPr>
      </w:pPr>
    </w:p>
    <w:p w14:paraId="1F024142">
      <w:pPr>
        <w:spacing w:line="480" w:lineRule="auto"/>
        <w:rPr>
          <w:color w:val="auto"/>
          <w:highlight w:val="none"/>
        </w:rPr>
      </w:pPr>
      <w:r>
        <w:rPr>
          <w:rFonts w:hint="eastAsia"/>
          <w:color w:val="auto"/>
          <w:highlight w:val="none"/>
          <w:u w:val="single"/>
        </w:rPr>
        <w:t>致：郑州师范学院、河南以牧全过程工程咨询有限公司</w:t>
      </w:r>
    </w:p>
    <w:p w14:paraId="44CE896A">
      <w:pPr>
        <w:spacing w:line="480" w:lineRule="auto"/>
        <w:ind w:firstLine="440" w:firstLineChars="200"/>
        <w:rPr>
          <w:color w:val="auto"/>
          <w:highlight w:val="none"/>
        </w:rPr>
      </w:pPr>
      <w:r>
        <w:rPr>
          <w:rFonts w:hint="eastAsia"/>
          <w:color w:val="auto"/>
          <w:highlight w:val="none"/>
        </w:rPr>
        <w:t>我公司作为本次采购项目的投标人，根据招标文件要求，现郑重承诺如下：</w:t>
      </w:r>
    </w:p>
    <w:p w14:paraId="21658F77">
      <w:pPr>
        <w:spacing w:line="480" w:lineRule="auto"/>
        <w:ind w:firstLine="440" w:firstLineChars="200"/>
        <w:rPr>
          <w:color w:val="auto"/>
          <w:highlight w:val="none"/>
        </w:rPr>
      </w:pPr>
      <w:r>
        <w:rPr>
          <w:rFonts w:hint="eastAsia"/>
          <w:color w:val="auto"/>
          <w:highlight w:val="none"/>
        </w:rPr>
        <w:t>一、具备《中华人民共和国政府采购法》第二十二条规定的条件。</w:t>
      </w:r>
    </w:p>
    <w:p w14:paraId="421A56C2">
      <w:pPr>
        <w:spacing w:line="480" w:lineRule="auto"/>
        <w:ind w:firstLine="440" w:firstLineChars="200"/>
        <w:rPr>
          <w:color w:val="auto"/>
          <w:highlight w:val="none"/>
        </w:rPr>
      </w:pPr>
      <w:r>
        <w:rPr>
          <w:rFonts w:hint="eastAsia"/>
          <w:color w:val="auto"/>
          <w:highlight w:val="none"/>
        </w:rPr>
        <w:t>二、完全接受和满足招标文件中规定的实质性要求，如对招标文件有异议，已经在投标截止时间届满前依法进行维权救济，不存在对招标文件有异议的同时又参加投标以求侥幸中标或者为实现其他非法目的的行为。</w:t>
      </w:r>
    </w:p>
    <w:p w14:paraId="3D096E20">
      <w:pPr>
        <w:spacing w:line="480" w:lineRule="auto"/>
        <w:ind w:firstLine="440" w:firstLineChars="200"/>
        <w:rPr>
          <w:color w:val="auto"/>
          <w:highlight w:val="none"/>
        </w:rPr>
      </w:pPr>
      <w:r>
        <w:rPr>
          <w:rFonts w:hint="eastAsia"/>
          <w:color w:val="auto"/>
          <w:highlight w:val="none"/>
        </w:rPr>
        <w:t>三、参加本次招标采购活动，不存在与单位负责人为同一人或者存在直接控股、管理关系的其他投标人参与同一合同项下的政府采购活动的行为。</w:t>
      </w:r>
    </w:p>
    <w:p w14:paraId="7A5E6C95">
      <w:pPr>
        <w:spacing w:line="480" w:lineRule="auto"/>
        <w:ind w:firstLine="440" w:firstLineChars="200"/>
        <w:rPr>
          <w:color w:val="auto"/>
          <w:highlight w:val="none"/>
        </w:rPr>
      </w:pPr>
      <w:r>
        <w:rPr>
          <w:rFonts w:hint="eastAsia"/>
          <w:color w:val="auto"/>
          <w:highlight w:val="none"/>
        </w:rPr>
        <w:t>四、参加本次招标采购活动，不存在为采购项目提供整体设计、规范编制或者项目管理、监理、检测等服务的行为。</w:t>
      </w:r>
    </w:p>
    <w:p w14:paraId="7D56F3D3">
      <w:pPr>
        <w:spacing w:line="480" w:lineRule="auto"/>
        <w:ind w:firstLine="440" w:firstLineChars="200"/>
        <w:rPr>
          <w:color w:val="auto"/>
          <w:highlight w:val="none"/>
        </w:rPr>
      </w:pPr>
      <w:r>
        <w:rPr>
          <w:rFonts w:hint="eastAsia"/>
          <w:color w:val="auto"/>
          <w:highlight w:val="none"/>
        </w:rPr>
        <w:t>五、参加本次招标采购活动，不存在和其他投标人在同一合同项下的采购项目中，同时委托同一个自然人、同一家庭的人员、同一单位的人员作为代理人的行为。</w:t>
      </w:r>
    </w:p>
    <w:p w14:paraId="5DABBEF9">
      <w:pPr>
        <w:spacing w:line="480" w:lineRule="auto"/>
        <w:ind w:firstLine="440" w:firstLineChars="200"/>
        <w:rPr>
          <w:color w:val="auto"/>
          <w:highlight w:val="none"/>
        </w:rPr>
      </w:pPr>
      <w:r>
        <w:rPr>
          <w:rFonts w:hint="eastAsia"/>
          <w:color w:val="auto"/>
          <w:highlight w:val="none"/>
        </w:rPr>
        <w:t>六、招标文件中提供的能够给予我公司带来优惠、好处的任何材料资料和技术、服务、商务等响应承诺情况都是真实的、有效的、合法的。</w:t>
      </w:r>
    </w:p>
    <w:p w14:paraId="43F9F6ED">
      <w:pPr>
        <w:spacing w:line="480" w:lineRule="auto"/>
        <w:ind w:firstLine="440" w:firstLineChars="200"/>
        <w:rPr>
          <w:color w:val="auto"/>
          <w:highlight w:val="none"/>
        </w:rPr>
      </w:pPr>
      <w:r>
        <w:rPr>
          <w:rFonts w:hint="eastAsia"/>
          <w:color w:val="auto"/>
          <w:highlight w:val="none"/>
        </w:rPr>
        <w:t>七、如本项目评标过程中需要提供样品，则我公司提供的样品即为中标后将要提供的中标产品，我公司对提供样品的性能和质量负责，因样品存在缺陷或者不符合招标文件要求导致未能中标的，我公司愿意承担相应不利后果。（如需提供样品）</w:t>
      </w:r>
    </w:p>
    <w:p w14:paraId="7AE77F97">
      <w:pPr>
        <w:spacing w:line="480" w:lineRule="auto"/>
        <w:ind w:firstLine="440" w:firstLineChars="200"/>
        <w:rPr>
          <w:color w:val="auto"/>
          <w:highlight w:val="none"/>
        </w:rPr>
      </w:pPr>
      <w:r>
        <w:rPr>
          <w:rFonts w:hint="eastAsia"/>
          <w:color w:val="auto"/>
          <w:highlight w:val="none"/>
        </w:rPr>
        <w:t>八、存在以下行为之一的愿意接受相关部门的处理：</w:t>
      </w:r>
    </w:p>
    <w:p w14:paraId="6AE4B5DC">
      <w:pPr>
        <w:spacing w:line="480" w:lineRule="auto"/>
        <w:ind w:firstLine="440" w:firstLineChars="200"/>
        <w:rPr>
          <w:color w:val="auto"/>
          <w:highlight w:val="none"/>
        </w:rPr>
      </w:pPr>
      <w:r>
        <w:rPr>
          <w:rFonts w:hint="eastAsia"/>
          <w:color w:val="auto"/>
          <w:highlight w:val="none"/>
        </w:rPr>
        <w:t>（一）投标有效期内撤销投标文件的；</w:t>
      </w:r>
    </w:p>
    <w:p w14:paraId="29C37530">
      <w:pPr>
        <w:spacing w:line="480" w:lineRule="auto"/>
        <w:ind w:firstLine="440" w:firstLineChars="200"/>
        <w:rPr>
          <w:color w:val="auto"/>
          <w:highlight w:val="none"/>
        </w:rPr>
      </w:pPr>
      <w:r>
        <w:rPr>
          <w:rFonts w:hint="eastAsia"/>
          <w:color w:val="auto"/>
          <w:highlight w:val="none"/>
        </w:rPr>
        <w:t>（二）在采购人确定中标人以前放弃中标候选资格的；</w:t>
      </w:r>
    </w:p>
    <w:p w14:paraId="5D5ECBD0">
      <w:pPr>
        <w:spacing w:line="480" w:lineRule="auto"/>
        <w:ind w:firstLine="440" w:firstLineChars="200"/>
        <w:rPr>
          <w:color w:val="auto"/>
          <w:highlight w:val="none"/>
        </w:rPr>
      </w:pPr>
      <w:r>
        <w:rPr>
          <w:rFonts w:hint="eastAsia"/>
          <w:color w:val="auto"/>
          <w:highlight w:val="none"/>
        </w:rPr>
        <w:t>（三）由于中标人的原因未能按照招标文件的规定与采购人签订合同；</w:t>
      </w:r>
    </w:p>
    <w:p w14:paraId="1468E20B">
      <w:pPr>
        <w:spacing w:line="480" w:lineRule="auto"/>
        <w:ind w:firstLine="440" w:firstLineChars="200"/>
        <w:rPr>
          <w:color w:val="auto"/>
          <w:highlight w:val="none"/>
        </w:rPr>
      </w:pPr>
      <w:r>
        <w:rPr>
          <w:rFonts w:hint="eastAsia"/>
          <w:color w:val="auto"/>
          <w:highlight w:val="none"/>
        </w:rPr>
        <w:t>（四）由于中标人的原因未能按照招标文件的规定交纳履约保证金；</w:t>
      </w:r>
    </w:p>
    <w:p w14:paraId="1C3DCDCB">
      <w:pPr>
        <w:spacing w:line="480" w:lineRule="auto"/>
        <w:ind w:firstLine="440" w:firstLineChars="200"/>
        <w:rPr>
          <w:color w:val="auto"/>
          <w:highlight w:val="none"/>
        </w:rPr>
      </w:pPr>
      <w:r>
        <w:rPr>
          <w:rFonts w:hint="eastAsia"/>
          <w:color w:val="auto"/>
          <w:highlight w:val="none"/>
        </w:rPr>
        <w:t>（五）在投标文件中提供虚假材料谋取中标；</w:t>
      </w:r>
    </w:p>
    <w:p w14:paraId="74928C6A">
      <w:pPr>
        <w:spacing w:line="480" w:lineRule="auto"/>
        <w:ind w:firstLine="440" w:firstLineChars="200"/>
        <w:rPr>
          <w:color w:val="auto"/>
          <w:highlight w:val="none"/>
        </w:rPr>
      </w:pPr>
      <w:r>
        <w:rPr>
          <w:rFonts w:hint="eastAsia"/>
          <w:color w:val="auto"/>
          <w:highlight w:val="none"/>
        </w:rPr>
        <w:t>（六）与采购人、其他投标人或者采购代理机构恶意串通的；</w:t>
      </w:r>
    </w:p>
    <w:p w14:paraId="045FF634">
      <w:pPr>
        <w:spacing w:line="480" w:lineRule="auto"/>
        <w:ind w:firstLine="440" w:firstLineChars="200"/>
        <w:rPr>
          <w:color w:val="auto"/>
          <w:highlight w:val="none"/>
        </w:rPr>
      </w:pPr>
      <w:r>
        <w:rPr>
          <w:rFonts w:hint="eastAsia"/>
          <w:color w:val="auto"/>
          <w:highlight w:val="none"/>
        </w:rPr>
        <w:t>（七）投标有效期内，投标人在政府采购活动中有违法、违规、违纪行为。</w:t>
      </w:r>
    </w:p>
    <w:p w14:paraId="11896067">
      <w:pPr>
        <w:spacing w:line="480" w:lineRule="auto"/>
        <w:ind w:firstLine="440" w:firstLineChars="200"/>
        <w:rPr>
          <w:color w:val="auto"/>
          <w:highlight w:val="none"/>
        </w:rPr>
      </w:pPr>
      <w:r>
        <w:rPr>
          <w:rFonts w:hint="eastAsia"/>
          <w:color w:val="auto"/>
          <w:highlight w:val="none"/>
        </w:rPr>
        <w:t>由此产生的一切法律后果和责任由我公司承担。我公司声明放弃对此提出任何异议和追索的权利。本公司对上述承诺的内容事项真实性负责。如经查实上述承诺的内容事项存在虚假，我公司愿意接受以提供虚假材料谋取中标追究法律责任。</w:t>
      </w:r>
    </w:p>
    <w:p w14:paraId="69680F5C">
      <w:pPr>
        <w:pStyle w:val="6"/>
        <w:spacing w:line="480" w:lineRule="auto"/>
        <w:ind w:firstLine="420" w:firstLineChars="200"/>
        <w:rPr>
          <w:color w:val="auto"/>
          <w:highlight w:val="none"/>
        </w:rPr>
      </w:pPr>
    </w:p>
    <w:p w14:paraId="472D2EA8">
      <w:pPr>
        <w:pStyle w:val="6"/>
        <w:spacing w:line="480" w:lineRule="auto"/>
        <w:ind w:firstLine="4200" w:firstLineChars="2000"/>
        <w:rPr>
          <w:color w:val="auto"/>
          <w:highlight w:val="none"/>
        </w:rPr>
      </w:pPr>
    </w:p>
    <w:p w14:paraId="7D4E879C">
      <w:pPr>
        <w:pStyle w:val="6"/>
        <w:spacing w:line="480" w:lineRule="auto"/>
        <w:ind w:firstLine="4400" w:firstLineChars="2000"/>
        <w:rPr>
          <w:color w:val="auto"/>
          <w:sz w:val="22"/>
          <w:szCs w:val="22"/>
          <w:highlight w:val="none"/>
        </w:rPr>
      </w:pPr>
      <w:r>
        <w:rPr>
          <w:rFonts w:hint="eastAsia"/>
          <w:color w:val="auto"/>
          <w:sz w:val="22"/>
          <w:szCs w:val="22"/>
          <w:highlight w:val="none"/>
        </w:rPr>
        <w:t>投标人：（盖章）</w:t>
      </w:r>
    </w:p>
    <w:p w14:paraId="3DB4C933">
      <w:pPr>
        <w:pStyle w:val="6"/>
        <w:spacing w:line="480" w:lineRule="auto"/>
        <w:ind w:firstLine="4400" w:firstLineChars="2000"/>
        <w:rPr>
          <w:color w:val="auto"/>
          <w:sz w:val="22"/>
          <w:szCs w:val="22"/>
          <w:highlight w:val="none"/>
        </w:rPr>
      </w:pPr>
      <w:r>
        <w:rPr>
          <w:rFonts w:hint="eastAsia"/>
          <w:color w:val="auto"/>
          <w:sz w:val="22"/>
          <w:szCs w:val="22"/>
          <w:highlight w:val="none"/>
        </w:rPr>
        <w:t>法定代表人或其</w:t>
      </w:r>
      <w:r>
        <w:rPr>
          <w:rFonts w:hint="eastAsia"/>
          <w:color w:val="auto"/>
          <w:sz w:val="22"/>
          <w:szCs w:val="22"/>
          <w:highlight w:val="none"/>
          <w:lang w:eastAsia="zh-CN"/>
        </w:rPr>
        <w:t>授权委托</w:t>
      </w:r>
      <w:r>
        <w:rPr>
          <w:rFonts w:hint="eastAsia"/>
          <w:color w:val="auto"/>
          <w:sz w:val="22"/>
          <w:szCs w:val="22"/>
          <w:highlight w:val="none"/>
        </w:rPr>
        <w:t>人：（签字或盖章）</w:t>
      </w:r>
    </w:p>
    <w:p w14:paraId="21D7E46E">
      <w:pPr>
        <w:pStyle w:val="6"/>
        <w:spacing w:line="480" w:lineRule="auto"/>
        <w:ind w:firstLine="5500" w:firstLineChars="2500"/>
        <w:rPr>
          <w:color w:val="auto"/>
          <w:highlight w:val="none"/>
          <w:lang w:val="en-US"/>
        </w:rPr>
      </w:pPr>
      <w:r>
        <w:rPr>
          <w:rFonts w:hint="eastAsia"/>
          <w:color w:val="auto"/>
          <w:sz w:val="22"/>
          <w:szCs w:val="22"/>
          <w:highlight w:val="none"/>
        </w:rPr>
        <w:t>日期：</w:t>
      </w:r>
      <w:r>
        <w:rPr>
          <w:rFonts w:hint="eastAsia"/>
          <w:color w:val="auto"/>
          <w:sz w:val="22"/>
          <w:szCs w:val="22"/>
          <w:highlight w:val="none"/>
          <w:lang w:val="en-US" w:eastAsia="zh-CN"/>
        </w:rPr>
        <w:t xml:space="preserve">  </w:t>
      </w:r>
      <w:r>
        <w:rPr>
          <w:rFonts w:hint="eastAsia"/>
          <w:color w:val="auto"/>
          <w:sz w:val="22"/>
          <w:szCs w:val="22"/>
          <w:highlight w:val="none"/>
        </w:rPr>
        <w:t>年</w:t>
      </w:r>
      <w:r>
        <w:rPr>
          <w:rFonts w:hint="eastAsia"/>
          <w:color w:val="auto"/>
          <w:sz w:val="22"/>
          <w:szCs w:val="22"/>
          <w:highlight w:val="none"/>
          <w:lang w:val="en-US" w:eastAsia="zh-CN"/>
        </w:rPr>
        <w:t xml:space="preserve">  </w:t>
      </w:r>
      <w:r>
        <w:rPr>
          <w:rFonts w:hint="eastAsia"/>
          <w:color w:val="auto"/>
          <w:sz w:val="22"/>
          <w:szCs w:val="22"/>
          <w:highlight w:val="none"/>
        </w:rPr>
        <w:t>月</w:t>
      </w:r>
      <w:r>
        <w:rPr>
          <w:rFonts w:hint="eastAsia"/>
          <w:color w:val="auto"/>
          <w:sz w:val="22"/>
          <w:szCs w:val="22"/>
          <w:highlight w:val="none"/>
          <w:lang w:val="en-US" w:eastAsia="zh-CN"/>
        </w:rPr>
        <w:t xml:space="preserve">  </w:t>
      </w:r>
      <w:r>
        <w:rPr>
          <w:rFonts w:hint="eastAsia"/>
          <w:color w:val="auto"/>
          <w:sz w:val="22"/>
          <w:szCs w:val="22"/>
          <w:highlight w:val="none"/>
        </w:rPr>
        <w:t>日</w:t>
      </w:r>
    </w:p>
    <w:p w14:paraId="1B562A6E">
      <w:pPr>
        <w:pStyle w:val="6"/>
        <w:spacing w:line="360" w:lineRule="auto"/>
        <w:ind w:firstLine="400" w:firstLineChars="200"/>
        <w:rPr>
          <w:color w:val="auto"/>
          <w:sz w:val="20"/>
          <w:highlight w:val="none"/>
        </w:rPr>
      </w:pPr>
    </w:p>
    <w:p w14:paraId="0C7ED8F5">
      <w:pPr>
        <w:spacing w:line="360" w:lineRule="auto"/>
        <w:ind w:firstLine="442" w:firstLineChars="200"/>
        <w:rPr>
          <w:b/>
          <w:color w:val="auto"/>
          <w:sz w:val="21"/>
          <w:highlight w:val="none"/>
        </w:rPr>
      </w:pPr>
      <w:r>
        <w:rPr>
          <w:rFonts w:hint="eastAsia"/>
          <w:b/>
          <w:color w:val="auto"/>
          <w:szCs w:val="24"/>
          <w:highlight w:val="none"/>
        </w:rPr>
        <w:t>注：河南省财政厅发布关于优化政府采购营商环境有关问题的通知规定，自2019年8月1日起，在河南省全省政府采购货物和服务招投标活动中，不再向供应商收取投标保证金。非招标采购方式采购货物、工程和服务的，也不再向供应商收取投标保证金。采购人、采购代理机构可以要求供应商以投标承诺函的形式替代投标保证金。要求提供投标承诺函的,在编制招标招标文件时要明确供应商应承诺事项及违背承诺的责任追究措施。</w:t>
      </w:r>
    </w:p>
    <w:p w14:paraId="6E2B57DF">
      <w:pPr>
        <w:rPr>
          <w:color w:val="auto"/>
          <w:sz w:val="21"/>
          <w:highlight w:val="none"/>
        </w:rPr>
      </w:pPr>
      <w:r>
        <w:rPr>
          <w:color w:val="auto"/>
          <w:sz w:val="21"/>
          <w:highlight w:val="none"/>
        </w:rPr>
        <w:br w:type="page"/>
      </w:r>
    </w:p>
    <w:p w14:paraId="56BC7EED">
      <w:pPr>
        <w:jc w:val="center"/>
        <w:rPr>
          <w:b/>
          <w:bCs/>
          <w:color w:val="auto"/>
          <w:sz w:val="24"/>
          <w:szCs w:val="24"/>
          <w:highlight w:val="none"/>
          <w:lang w:val="en-US"/>
        </w:rPr>
      </w:pPr>
    </w:p>
    <w:p w14:paraId="4F395CED">
      <w:pPr>
        <w:jc w:val="center"/>
        <w:rPr>
          <w:b/>
          <w:color w:val="auto"/>
          <w:highlight w:val="none"/>
        </w:rPr>
      </w:pPr>
      <w:r>
        <w:rPr>
          <w:rFonts w:hint="eastAsia"/>
          <w:b/>
          <w:bCs/>
          <w:color w:val="auto"/>
          <w:sz w:val="24"/>
          <w:szCs w:val="24"/>
          <w:highlight w:val="none"/>
          <w:lang w:val="en-US"/>
        </w:rPr>
        <w:t>3.2</w:t>
      </w:r>
      <w:r>
        <w:rPr>
          <w:rFonts w:hint="eastAsia"/>
          <w:b/>
          <w:bCs/>
          <w:color w:val="auto"/>
          <w:sz w:val="24"/>
          <w:szCs w:val="24"/>
          <w:highlight w:val="none"/>
        </w:rPr>
        <w:t>招标代理服务费承诺函</w:t>
      </w:r>
    </w:p>
    <w:p w14:paraId="48B2BB64">
      <w:pPr>
        <w:spacing w:line="360" w:lineRule="auto"/>
        <w:ind w:firstLine="420" w:firstLineChars="200"/>
        <w:rPr>
          <w:color w:val="auto"/>
          <w:sz w:val="21"/>
          <w:szCs w:val="21"/>
          <w:highlight w:val="none"/>
          <w:u w:val="single"/>
        </w:rPr>
      </w:pPr>
    </w:p>
    <w:p w14:paraId="0EC4B0F2">
      <w:pPr>
        <w:spacing w:line="360" w:lineRule="auto"/>
        <w:rPr>
          <w:color w:val="auto"/>
          <w:highlight w:val="none"/>
        </w:rPr>
      </w:pPr>
      <w:r>
        <w:rPr>
          <w:rFonts w:hint="eastAsia"/>
          <w:color w:val="auto"/>
          <w:highlight w:val="none"/>
          <w:u w:val="single"/>
        </w:rPr>
        <w:t>致：河南以牧全过程工程咨询有限公司</w:t>
      </w:r>
    </w:p>
    <w:p w14:paraId="5435CBA7">
      <w:pPr>
        <w:spacing w:line="360" w:lineRule="auto"/>
        <w:ind w:firstLine="440" w:firstLineChars="200"/>
        <w:rPr>
          <w:color w:val="auto"/>
          <w:highlight w:val="none"/>
        </w:rPr>
      </w:pPr>
      <w:r>
        <w:rPr>
          <w:rFonts w:hint="eastAsia"/>
          <w:color w:val="auto"/>
          <w:highlight w:val="none"/>
        </w:rPr>
        <w:t>我们在贵公司组织的（项目名称：</w:t>
      </w:r>
      <w:r>
        <w:rPr>
          <w:rFonts w:hint="eastAsia"/>
          <w:color w:val="auto"/>
          <w:highlight w:val="none"/>
          <w:u w:val="single"/>
          <w:lang w:val="en-US" w:eastAsia="zh-CN"/>
        </w:rPr>
        <w:t xml:space="preserve">               </w:t>
      </w:r>
      <w:r>
        <w:rPr>
          <w:rFonts w:hint="eastAsia"/>
          <w:color w:val="auto"/>
          <w:highlight w:val="none"/>
        </w:rPr>
        <w:t>；采购编号：</w:t>
      </w:r>
      <w:r>
        <w:rPr>
          <w:rFonts w:hint="eastAsia"/>
          <w:color w:val="auto"/>
          <w:highlight w:val="none"/>
          <w:u w:val="single"/>
          <w:lang w:val="en-US" w:eastAsia="zh-CN"/>
        </w:rPr>
        <w:t xml:space="preserve">         </w:t>
      </w:r>
      <w:r>
        <w:rPr>
          <w:rFonts w:hint="eastAsia"/>
          <w:color w:val="auto"/>
          <w:highlight w:val="none"/>
        </w:rPr>
        <w:t>）招标中若获中标，我们保证在中标公告发布后 5 个工作日内，按招标文件的规定，以支票、银行转账、汇票或现金，向贵公司一次性支付招标代理服务费用。否则，由此产生的一切法律后果和责任由我公司承担。我公司声明放弃对此提出任何异议和追索的权利。</w:t>
      </w:r>
    </w:p>
    <w:p w14:paraId="2AEB8B63">
      <w:pPr>
        <w:spacing w:line="360" w:lineRule="auto"/>
        <w:ind w:firstLine="440" w:firstLineChars="200"/>
        <w:rPr>
          <w:color w:val="auto"/>
          <w:highlight w:val="none"/>
        </w:rPr>
      </w:pPr>
      <w:r>
        <w:rPr>
          <w:rFonts w:hint="eastAsia"/>
          <w:color w:val="auto"/>
          <w:highlight w:val="none"/>
        </w:rPr>
        <w:t>特此承诺。</w:t>
      </w:r>
    </w:p>
    <w:p w14:paraId="177A9FDF">
      <w:pPr>
        <w:spacing w:line="360" w:lineRule="auto"/>
        <w:ind w:firstLine="440" w:firstLineChars="200"/>
        <w:rPr>
          <w:color w:val="auto"/>
          <w:highlight w:val="none"/>
        </w:rPr>
      </w:pPr>
    </w:p>
    <w:p w14:paraId="30247163">
      <w:pPr>
        <w:spacing w:line="360" w:lineRule="auto"/>
        <w:ind w:firstLine="440" w:firstLineChars="200"/>
        <w:rPr>
          <w:color w:val="auto"/>
          <w:highlight w:val="none"/>
        </w:rPr>
      </w:pPr>
    </w:p>
    <w:p w14:paraId="79C63484">
      <w:pPr>
        <w:spacing w:line="360" w:lineRule="auto"/>
        <w:ind w:firstLine="440" w:firstLineChars="200"/>
        <w:rPr>
          <w:color w:val="auto"/>
          <w:highlight w:val="none"/>
        </w:rPr>
      </w:pPr>
    </w:p>
    <w:p w14:paraId="2A5C648F">
      <w:pPr>
        <w:spacing w:line="360" w:lineRule="auto"/>
        <w:ind w:firstLine="4400" w:firstLineChars="2000"/>
        <w:rPr>
          <w:color w:val="auto"/>
          <w:highlight w:val="none"/>
        </w:rPr>
      </w:pPr>
      <w:r>
        <w:rPr>
          <w:rFonts w:hint="eastAsia"/>
          <w:color w:val="auto"/>
          <w:highlight w:val="none"/>
        </w:rPr>
        <w:t>投标人：（盖章）</w:t>
      </w:r>
    </w:p>
    <w:p w14:paraId="2DDBDF6F">
      <w:pPr>
        <w:spacing w:line="360" w:lineRule="auto"/>
        <w:ind w:firstLine="4400" w:firstLineChars="2000"/>
        <w:rPr>
          <w:color w:val="auto"/>
          <w:highlight w:val="none"/>
        </w:rPr>
      </w:pPr>
      <w:r>
        <w:rPr>
          <w:rFonts w:hint="eastAsia"/>
          <w:color w:val="auto"/>
          <w:highlight w:val="none"/>
        </w:rPr>
        <w:t>法定代表人或其</w:t>
      </w:r>
      <w:r>
        <w:rPr>
          <w:rFonts w:hint="eastAsia"/>
          <w:color w:val="auto"/>
          <w:highlight w:val="none"/>
          <w:lang w:eastAsia="zh-CN"/>
        </w:rPr>
        <w:t>授权委托</w:t>
      </w:r>
      <w:r>
        <w:rPr>
          <w:rFonts w:hint="eastAsia"/>
          <w:color w:val="auto"/>
          <w:highlight w:val="none"/>
        </w:rPr>
        <w:t xml:space="preserve">人：（签字或盖章） </w:t>
      </w:r>
    </w:p>
    <w:p w14:paraId="6AA84EF5">
      <w:pPr>
        <w:spacing w:line="360" w:lineRule="auto"/>
        <w:ind w:firstLine="5280" w:firstLineChars="2400"/>
        <w:rPr>
          <w:color w:val="auto"/>
          <w:highlight w:val="none"/>
        </w:rPr>
      </w:pPr>
      <w:r>
        <w:rPr>
          <w:rFonts w:hint="eastAsia"/>
          <w:color w:val="auto"/>
          <w:highlight w:val="none"/>
        </w:rPr>
        <w:t>日期：</w:t>
      </w:r>
      <w:r>
        <w:rPr>
          <w:rFonts w:hint="eastAsia"/>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36630C99">
      <w:pPr>
        <w:rPr>
          <w:color w:val="auto"/>
          <w:highlight w:val="none"/>
        </w:rPr>
      </w:pPr>
      <w:r>
        <w:rPr>
          <w:color w:val="auto"/>
          <w:highlight w:val="none"/>
        </w:rPr>
        <w:br w:type="page"/>
      </w:r>
    </w:p>
    <w:p w14:paraId="01B8CC62">
      <w:pPr>
        <w:jc w:val="center"/>
        <w:rPr>
          <w:b/>
          <w:bCs/>
          <w:color w:val="auto"/>
          <w:sz w:val="24"/>
          <w:szCs w:val="24"/>
          <w:highlight w:val="none"/>
          <w:lang w:val="en-US"/>
        </w:rPr>
      </w:pPr>
      <w:bookmarkStart w:id="136" w:name="3.3投标诚信承诺函"/>
      <w:bookmarkEnd w:id="136"/>
    </w:p>
    <w:p w14:paraId="01AFD32E">
      <w:pPr>
        <w:jc w:val="center"/>
        <w:rPr>
          <w:b/>
          <w:color w:val="auto"/>
          <w:highlight w:val="none"/>
        </w:rPr>
      </w:pPr>
      <w:r>
        <w:rPr>
          <w:rFonts w:hint="eastAsia"/>
          <w:b/>
          <w:bCs/>
          <w:color w:val="auto"/>
          <w:sz w:val="24"/>
          <w:szCs w:val="24"/>
          <w:highlight w:val="none"/>
          <w:lang w:val="en-US"/>
        </w:rPr>
        <w:t>3.3</w:t>
      </w:r>
      <w:r>
        <w:rPr>
          <w:rFonts w:hint="eastAsia"/>
          <w:b/>
          <w:bCs/>
          <w:color w:val="auto"/>
          <w:sz w:val="24"/>
          <w:szCs w:val="24"/>
          <w:highlight w:val="none"/>
        </w:rPr>
        <w:t>投标诚信承诺函</w:t>
      </w:r>
    </w:p>
    <w:p w14:paraId="7D10E45C">
      <w:pPr>
        <w:spacing w:line="360" w:lineRule="auto"/>
        <w:ind w:firstLine="440" w:firstLineChars="200"/>
        <w:rPr>
          <w:color w:val="auto"/>
          <w:highlight w:val="none"/>
        </w:rPr>
      </w:pPr>
    </w:p>
    <w:p w14:paraId="5BDFA9A9">
      <w:pPr>
        <w:spacing w:line="360" w:lineRule="auto"/>
        <w:rPr>
          <w:color w:val="auto"/>
          <w:highlight w:val="none"/>
        </w:rPr>
      </w:pPr>
      <w:r>
        <w:rPr>
          <w:rFonts w:hint="eastAsia"/>
          <w:color w:val="auto"/>
          <w:highlight w:val="none"/>
        </w:rPr>
        <w:t>致：郑州师范学院</w:t>
      </w:r>
    </w:p>
    <w:p w14:paraId="5F627D76">
      <w:pPr>
        <w:spacing w:line="360" w:lineRule="auto"/>
        <w:ind w:firstLine="440" w:firstLineChars="200"/>
        <w:rPr>
          <w:color w:val="auto"/>
          <w:highlight w:val="none"/>
        </w:rPr>
      </w:pPr>
      <w:r>
        <w:rPr>
          <w:rFonts w:hint="eastAsia"/>
          <w:color w:val="auto"/>
          <w:highlight w:val="none"/>
        </w:rPr>
        <w:t>在本次（项目名称：</w:t>
      </w:r>
      <w:r>
        <w:rPr>
          <w:rFonts w:hint="eastAsia"/>
          <w:color w:val="auto"/>
          <w:highlight w:val="none"/>
          <w:u w:val="single"/>
          <w:lang w:val="en-US" w:eastAsia="zh-CN"/>
        </w:rPr>
        <w:t xml:space="preserve">          </w:t>
      </w:r>
      <w:r>
        <w:rPr>
          <w:rFonts w:hint="eastAsia"/>
          <w:color w:val="auto"/>
          <w:highlight w:val="none"/>
        </w:rPr>
        <w:t>；采购编号</w:t>
      </w:r>
      <w:r>
        <w:rPr>
          <w:rFonts w:hint="eastAsia"/>
          <w:color w:val="auto"/>
          <w:highlight w:val="none"/>
          <w:u w:val="single"/>
          <w:lang w:val="en-US" w:eastAsia="zh-CN"/>
        </w:rPr>
        <w:t xml:space="preserve">        </w:t>
      </w:r>
      <w:r>
        <w:rPr>
          <w:rFonts w:hint="eastAsia"/>
          <w:color w:val="auto"/>
          <w:highlight w:val="none"/>
        </w:rPr>
        <w:t>）投标活动，我公司郑重声明如下：</w:t>
      </w:r>
    </w:p>
    <w:p w14:paraId="489FEF3F">
      <w:pPr>
        <w:spacing w:line="360" w:lineRule="auto"/>
        <w:ind w:firstLine="440" w:firstLineChars="200"/>
        <w:rPr>
          <w:color w:val="auto"/>
          <w:highlight w:val="none"/>
        </w:rPr>
      </w:pPr>
      <w:r>
        <w:rPr>
          <w:rFonts w:hint="eastAsia"/>
          <w:color w:val="auto"/>
          <w:highlight w:val="none"/>
        </w:rPr>
        <w:t>1.如我公司近三年内在中华人民共和国境内有违法违纪或有不良行为记录或被列入黑名单等事件发生，将接受我单位的投标按无效投标处理。</w:t>
      </w:r>
    </w:p>
    <w:p w14:paraId="3A2D12AC">
      <w:pPr>
        <w:spacing w:line="360" w:lineRule="auto"/>
        <w:ind w:firstLine="440" w:firstLineChars="200"/>
        <w:rPr>
          <w:color w:val="auto"/>
          <w:highlight w:val="none"/>
        </w:rPr>
      </w:pPr>
      <w:r>
        <w:rPr>
          <w:rFonts w:hint="eastAsia"/>
          <w:color w:val="auto"/>
          <w:highlight w:val="none"/>
        </w:rPr>
        <w:t>2.在本次投标活动中提供的所有证明文件，均是真实的，一旦发现有虚假材料，我公司承诺愿承担相应法律责任。</w:t>
      </w:r>
    </w:p>
    <w:p w14:paraId="7E404F32">
      <w:pPr>
        <w:spacing w:line="360" w:lineRule="auto"/>
        <w:ind w:firstLine="440" w:firstLineChars="200"/>
        <w:rPr>
          <w:color w:val="auto"/>
          <w:highlight w:val="none"/>
        </w:rPr>
      </w:pPr>
    </w:p>
    <w:p w14:paraId="2E162A2B">
      <w:pPr>
        <w:spacing w:line="360" w:lineRule="auto"/>
        <w:ind w:firstLine="440" w:firstLineChars="200"/>
        <w:rPr>
          <w:color w:val="auto"/>
          <w:highlight w:val="none"/>
        </w:rPr>
      </w:pPr>
    </w:p>
    <w:p w14:paraId="2D356B7B">
      <w:pPr>
        <w:spacing w:line="360" w:lineRule="auto"/>
        <w:ind w:firstLine="440" w:firstLineChars="200"/>
        <w:rPr>
          <w:color w:val="auto"/>
          <w:highlight w:val="none"/>
        </w:rPr>
      </w:pPr>
    </w:p>
    <w:p w14:paraId="1760108C">
      <w:pPr>
        <w:spacing w:line="360" w:lineRule="auto"/>
        <w:ind w:firstLine="4400" w:firstLineChars="2000"/>
        <w:rPr>
          <w:color w:val="auto"/>
          <w:highlight w:val="none"/>
        </w:rPr>
      </w:pPr>
      <w:r>
        <w:rPr>
          <w:rFonts w:hint="eastAsia"/>
          <w:color w:val="auto"/>
          <w:highlight w:val="none"/>
        </w:rPr>
        <w:t>投标人：（盖章）</w:t>
      </w:r>
    </w:p>
    <w:p w14:paraId="4871D13C">
      <w:pPr>
        <w:spacing w:line="360" w:lineRule="auto"/>
        <w:ind w:firstLine="4400" w:firstLineChars="2000"/>
        <w:rPr>
          <w:color w:val="auto"/>
          <w:highlight w:val="none"/>
        </w:rPr>
      </w:pPr>
      <w:r>
        <w:rPr>
          <w:rFonts w:hint="eastAsia"/>
          <w:color w:val="auto"/>
          <w:highlight w:val="none"/>
        </w:rPr>
        <w:t>法定代表人或其</w:t>
      </w:r>
      <w:r>
        <w:rPr>
          <w:rFonts w:hint="eastAsia"/>
          <w:color w:val="auto"/>
          <w:highlight w:val="none"/>
          <w:lang w:eastAsia="zh-CN"/>
        </w:rPr>
        <w:t>授权委托</w:t>
      </w:r>
      <w:r>
        <w:rPr>
          <w:rFonts w:hint="eastAsia"/>
          <w:color w:val="auto"/>
          <w:highlight w:val="none"/>
        </w:rPr>
        <w:t xml:space="preserve">人：（签字或盖章） </w:t>
      </w:r>
    </w:p>
    <w:p w14:paraId="5F8BEA50">
      <w:pPr>
        <w:spacing w:line="360" w:lineRule="auto"/>
        <w:ind w:firstLine="5280" w:firstLineChars="2400"/>
        <w:rPr>
          <w:color w:val="auto"/>
          <w:highlight w:val="none"/>
        </w:rPr>
      </w:pPr>
      <w:r>
        <w:rPr>
          <w:rFonts w:hint="eastAsia"/>
          <w:color w:val="auto"/>
          <w:highlight w:val="none"/>
        </w:rPr>
        <w:t>日期：</w:t>
      </w:r>
      <w:r>
        <w:rPr>
          <w:rFonts w:hint="eastAsia"/>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55550C6A">
      <w:pPr>
        <w:rPr>
          <w:color w:val="auto"/>
          <w:highlight w:val="none"/>
        </w:rPr>
      </w:pPr>
      <w:r>
        <w:rPr>
          <w:color w:val="auto"/>
          <w:highlight w:val="none"/>
        </w:rPr>
        <w:br w:type="page"/>
      </w:r>
    </w:p>
    <w:p w14:paraId="127C3BE3">
      <w:pPr>
        <w:jc w:val="center"/>
        <w:rPr>
          <w:b/>
          <w:bCs/>
          <w:color w:val="auto"/>
          <w:sz w:val="24"/>
          <w:szCs w:val="24"/>
          <w:highlight w:val="none"/>
          <w:lang w:val="en-US"/>
        </w:rPr>
      </w:pPr>
      <w:bookmarkStart w:id="137" w:name="4.法定代表人身份证明及法定代表人授权书"/>
      <w:bookmarkEnd w:id="137"/>
      <w:bookmarkStart w:id="138" w:name="3.4反商业贿赂承诺函"/>
      <w:bookmarkEnd w:id="138"/>
    </w:p>
    <w:p w14:paraId="636419EE">
      <w:pPr>
        <w:jc w:val="center"/>
        <w:rPr>
          <w:b/>
          <w:color w:val="auto"/>
          <w:sz w:val="24"/>
          <w:szCs w:val="24"/>
          <w:highlight w:val="none"/>
        </w:rPr>
      </w:pPr>
      <w:r>
        <w:rPr>
          <w:rFonts w:hint="eastAsia"/>
          <w:b/>
          <w:bCs/>
          <w:color w:val="auto"/>
          <w:sz w:val="24"/>
          <w:szCs w:val="24"/>
          <w:highlight w:val="none"/>
          <w:lang w:val="en-US"/>
        </w:rPr>
        <w:t>3.4</w:t>
      </w:r>
      <w:r>
        <w:rPr>
          <w:rFonts w:hint="eastAsia"/>
          <w:b/>
          <w:bCs/>
          <w:color w:val="auto"/>
          <w:sz w:val="24"/>
          <w:szCs w:val="24"/>
          <w:highlight w:val="none"/>
        </w:rPr>
        <w:t>反商业贿赂承诺函</w:t>
      </w:r>
    </w:p>
    <w:p w14:paraId="635B7160">
      <w:pPr>
        <w:pStyle w:val="6"/>
        <w:spacing w:line="360" w:lineRule="auto"/>
        <w:ind w:firstLine="420" w:firstLineChars="200"/>
        <w:rPr>
          <w:color w:val="auto"/>
          <w:highlight w:val="none"/>
        </w:rPr>
      </w:pPr>
    </w:p>
    <w:p w14:paraId="4C0420B0">
      <w:pPr>
        <w:spacing w:line="360" w:lineRule="auto"/>
        <w:rPr>
          <w:color w:val="auto"/>
          <w:highlight w:val="none"/>
        </w:rPr>
      </w:pPr>
      <w:r>
        <w:rPr>
          <w:rFonts w:hint="eastAsia"/>
          <w:color w:val="auto"/>
          <w:highlight w:val="none"/>
        </w:rPr>
        <w:t>我公司承诺：</w:t>
      </w:r>
    </w:p>
    <w:p w14:paraId="3AF20A3D">
      <w:pPr>
        <w:spacing w:line="360" w:lineRule="auto"/>
        <w:ind w:firstLine="440" w:firstLineChars="200"/>
        <w:rPr>
          <w:color w:val="auto"/>
          <w:highlight w:val="none"/>
        </w:rPr>
      </w:pPr>
      <w:r>
        <w:rPr>
          <w:rFonts w:hint="eastAsia"/>
          <w:color w:val="auto"/>
          <w:highlight w:val="none"/>
        </w:rPr>
        <w:t>在（项目名称：</w:t>
      </w:r>
      <w:r>
        <w:rPr>
          <w:rFonts w:hint="eastAsia"/>
          <w:color w:val="auto"/>
          <w:highlight w:val="none"/>
          <w:u w:val="single"/>
          <w:lang w:val="en-US" w:eastAsia="zh-CN"/>
        </w:rPr>
        <w:t xml:space="preserve">        </w:t>
      </w:r>
      <w:r>
        <w:rPr>
          <w:rFonts w:hint="eastAsia"/>
          <w:color w:val="auto"/>
          <w:highlight w:val="none"/>
        </w:rPr>
        <w:t>；采购编号：</w:t>
      </w:r>
      <w:r>
        <w:rPr>
          <w:rFonts w:hint="eastAsia"/>
          <w:color w:val="auto"/>
          <w:highlight w:val="none"/>
          <w:u w:val="single"/>
          <w:lang w:val="en-US"/>
        </w:rPr>
        <w:t xml:space="preserve">  </w:t>
      </w:r>
      <w:r>
        <w:rPr>
          <w:rFonts w:hint="eastAsia"/>
          <w:color w:val="auto"/>
          <w:highlight w:val="none"/>
          <w:u w:val="single"/>
          <w:lang w:val="en-US" w:eastAsia="zh-CN"/>
        </w:rPr>
        <w:t xml:space="preserve">   </w:t>
      </w:r>
      <w:r>
        <w:rPr>
          <w:rFonts w:hint="eastAsia"/>
          <w:color w:val="auto"/>
          <w:highlight w:val="none"/>
          <w:u w:val="single"/>
          <w:lang w:val="en-US"/>
        </w:rPr>
        <w:t xml:space="preserve">     </w:t>
      </w:r>
      <w:r>
        <w:rPr>
          <w:rFonts w:hint="eastAsia"/>
          <w:color w:val="auto"/>
          <w:highlight w:val="none"/>
          <w:lang w:val="en-US"/>
        </w:rPr>
        <w:t>）</w:t>
      </w:r>
      <w:r>
        <w:rPr>
          <w:rFonts w:hint="eastAsia"/>
          <w:color w:val="auto"/>
          <w:highlight w:val="none"/>
        </w:rPr>
        <w:t xml:space="preserve">招标活动中，我公司保证做到： </w:t>
      </w:r>
    </w:p>
    <w:p w14:paraId="039ABFF1">
      <w:pPr>
        <w:spacing w:line="360" w:lineRule="auto"/>
        <w:ind w:firstLine="440" w:firstLineChars="200"/>
        <w:rPr>
          <w:color w:val="auto"/>
          <w:highlight w:val="none"/>
        </w:rPr>
      </w:pPr>
      <w:r>
        <w:rPr>
          <w:rFonts w:hint="eastAsia"/>
          <w:color w:val="auto"/>
          <w:highlight w:val="none"/>
        </w:rPr>
        <w:t>一、公平竞争参加本次招标活动。</w:t>
      </w:r>
    </w:p>
    <w:p w14:paraId="389106E0">
      <w:pPr>
        <w:spacing w:line="360" w:lineRule="auto"/>
        <w:ind w:firstLine="440" w:firstLineChars="200"/>
        <w:rPr>
          <w:color w:val="auto"/>
          <w:highlight w:val="none"/>
        </w:rPr>
      </w:pPr>
      <w:r>
        <w:rPr>
          <w:rFonts w:hint="eastAsia"/>
          <w:color w:val="auto"/>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D4F057D">
      <w:pPr>
        <w:spacing w:line="360" w:lineRule="auto"/>
        <w:ind w:firstLine="440" w:firstLineChars="200"/>
        <w:rPr>
          <w:color w:val="auto"/>
          <w:highlight w:val="none"/>
        </w:rPr>
      </w:pPr>
      <w:r>
        <w:rPr>
          <w:rFonts w:hint="eastAsia"/>
          <w:color w:val="auto"/>
          <w:highlight w:val="none"/>
        </w:rPr>
        <w:t>三、若出现上述行为，我公司及参与投标的工作人员愿意接受按照国家法律法规等有关规定给予的处罚。</w:t>
      </w:r>
    </w:p>
    <w:p w14:paraId="65F56B53">
      <w:pPr>
        <w:pStyle w:val="6"/>
        <w:rPr>
          <w:color w:val="auto"/>
          <w:sz w:val="20"/>
          <w:highlight w:val="none"/>
        </w:rPr>
      </w:pPr>
    </w:p>
    <w:p w14:paraId="0659D46F">
      <w:pPr>
        <w:pStyle w:val="6"/>
        <w:rPr>
          <w:color w:val="auto"/>
          <w:sz w:val="20"/>
          <w:highlight w:val="none"/>
        </w:rPr>
      </w:pPr>
    </w:p>
    <w:p w14:paraId="479D74E7">
      <w:pPr>
        <w:pStyle w:val="6"/>
        <w:rPr>
          <w:color w:val="auto"/>
          <w:sz w:val="20"/>
          <w:highlight w:val="none"/>
        </w:rPr>
      </w:pPr>
    </w:p>
    <w:p w14:paraId="13E90512">
      <w:pPr>
        <w:pStyle w:val="6"/>
        <w:spacing w:before="9"/>
        <w:rPr>
          <w:color w:val="auto"/>
          <w:sz w:val="27"/>
          <w:highlight w:val="none"/>
        </w:rPr>
      </w:pPr>
    </w:p>
    <w:p w14:paraId="01731DB5">
      <w:pPr>
        <w:spacing w:line="360" w:lineRule="auto"/>
        <w:ind w:firstLine="4400" w:firstLineChars="2000"/>
        <w:rPr>
          <w:color w:val="auto"/>
          <w:highlight w:val="none"/>
        </w:rPr>
      </w:pPr>
      <w:r>
        <w:rPr>
          <w:rFonts w:hint="eastAsia"/>
          <w:color w:val="auto"/>
          <w:highlight w:val="none"/>
        </w:rPr>
        <w:t>投标人：（盖章）</w:t>
      </w:r>
    </w:p>
    <w:p w14:paraId="3ED7B8FE">
      <w:pPr>
        <w:spacing w:line="360" w:lineRule="auto"/>
        <w:ind w:firstLine="4400" w:firstLineChars="2000"/>
        <w:rPr>
          <w:color w:val="auto"/>
          <w:highlight w:val="none"/>
        </w:rPr>
      </w:pPr>
      <w:r>
        <w:rPr>
          <w:rFonts w:hint="eastAsia"/>
          <w:color w:val="auto"/>
          <w:highlight w:val="none"/>
        </w:rPr>
        <w:t>法定代表人或其</w:t>
      </w:r>
      <w:r>
        <w:rPr>
          <w:rFonts w:hint="eastAsia"/>
          <w:color w:val="auto"/>
          <w:highlight w:val="none"/>
          <w:lang w:eastAsia="zh-CN"/>
        </w:rPr>
        <w:t>授权委托</w:t>
      </w:r>
      <w:r>
        <w:rPr>
          <w:rFonts w:hint="eastAsia"/>
          <w:color w:val="auto"/>
          <w:highlight w:val="none"/>
        </w:rPr>
        <w:t xml:space="preserve">人：（签字或盖章） </w:t>
      </w:r>
    </w:p>
    <w:p w14:paraId="43015E10">
      <w:pPr>
        <w:spacing w:line="360" w:lineRule="auto"/>
        <w:ind w:firstLine="5280" w:firstLineChars="2400"/>
        <w:rPr>
          <w:color w:val="auto"/>
          <w:highlight w:val="none"/>
        </w:rPr>
      </w:pPr>
      <w:r>
        <w:rPr>
          <w:rFonts w:hint="eastAsia"/>
          <w:color w:val="auto"/>
          <w:highlight w:val="none"/>
        </w:rPr>
        <w:t>日期：</w:t>
      </w:r>
      <w:r>
        <w:rPr>
          <w:rFonts w:hint="eastAsia"/>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41EAEA86">
      <w:pPr>
        <w:rPr>
          <w:color w:val="auto"/>
          <w:highlight w:val="none"/>
        </w:rPr>
      </w:pPr>
      <w:r>
        <w:rPr>
          <w:color w:val="auto"/>
          <w:highlight w:val="none"/>
        </w:rPr>
        <w:br w:type="page"/>
      </w:r>
    </w:p>
    <w:p w14:paraId="33DF24AD">
      <w:pPr>
        <w:pStyle w:val="3"/>
        <w:jc w:val="center"/>
        <w:rPr>
          <w:rFonts w:ascii="宋体" w:hAnsi="宋体" w:eastAsia="宋体"/>
          <w:color w:val="auto"/>
          <w:sz w:val="36"/>
          <w:highlight w:val="none"/>
        </w:rPr>
      </w:pPr>
      <w:bookmarkStart w:id="139" w:name="_bookmark26"/>
      <w:bookmarkEnd w:id="139"/>
      <w:bookmarkStart w:id="140" w:name="4.2法定代表人授权书"/>
      <w:bookmarkEnd w:id="140"/>
      <w:bookmarkStart w:id="141" w:name="_Toc24198"/>
      <w:bookmarkStart w:id="142" w:name="_Toc27578"/>
      <w:bookmarkStart w:id="143" w:name="_Toc9963"/>
      <w:bookmarkStart w:id="144" w:name="_Toc473"/>
      <w:bookmarkStart w:id="145" w:name="_Toc4440"/>
      <w:bookmarkStart w:id="146" w:name="_Toc3399"/>
      <w:bookmarkStart w:id="147" w:name="_Toc1244"/>
      <w:r>
        <w:rPr>
          <w:rFonts w:hint="eastAsia" w:ascii="宋体" w:hAnsi="宋体" w:eastAsia="宋体"/>
          <w:color w:val="auto"/>
          <w:sz w:val="28"/>
          <w:szCs w:val="21"/>
          <w:highlight w:val="none"/>
          <w:lang w:val="en-US"/>
        </w:rPr>
        <w:t>4.</w:t>
      </w:r>
      <w:r>
        <w:rPr>
          <w:rFonts w:hint="eastAsia" w:ascii="宋体" w:hAnsi="宋体" w:eastAsia="宋体"/>
          <w:color w:val="auto"/>
          <w:sz w:val="28"/>
          <w:szCs w:val="21"/>
          <w:highlight w:val="none"/>
        </w:rPr>
        <w:t>法定代表人身份证明及法定代表人授权书</w:t>
      </w:r>
      <w:bookmarkEnd w:id="141"/>
      <w:bookmarkEnd w:id="142"/>
      <w:bookmarkEnd w:id="143"/>
      <w:bookmarkEnd w:id="144"/>
      <w:bookmarkEnd w:id="145"/>
      <w:bookmarkEnd w:id="146"/>
      <w:bookmarkEnd w:id="147"/>
    </w:p>
    <w:p w14:paraId="5818BCCD">
      <w:pPr>
        <w:jc w:val="center"/>
        <w:rPr>
          <w:b/>
          <w:color w:val="auto"/>
          <w:highlight w:val="none"/>
        </w:rPr>
      </w:pPr>
      <w:bookmarkStart w:id="148" w:name="4.1法定代表人身份证明"/>
      <w:bookmarkEnd w:id="148"/>
      <w:r>
        <w:rPr>
          <w:rFonts w:hint="eastAsia"/>
          <w:b/>
          <w:bCs/>
          <w:color w:val="auto"/>
          <w:sz w:val="24"/>
          <w:szCs w:val="24"/>
          <w:highlight w:val="none"/>
          <w:lang w:val="en-US"/>
        </w:rPr>
        <w:t>4.1</w:t>
      </w:r>
      <w:r>
        <w:rPr>
          <w:rFonts w:hint="eastAsia"/>
          <w:b/>
          <w:bCs/>
          <w:color w:val="auto"/>
          <w:sz w:val="24"/>
          <w:szCs w:val="24"/>
          <w:highlight w:val="none"/>
        </w:rPr>
        <w:t>法定代表人身份证明</w:t>
      </w:r>
    </w:p>
    <w:p w14:paraId="5FE46589">
      <w:pPr>
        <w:pStyle w:val="6"/>
        <w:spacing w:line="360" w:lineRule="auto"/>
        <w:ind w:firstLine="420" w:firstLineChars="200"/>
        <w:jc w:val="both"/>
        <w:rPr>
          <w:color w:val="auto"/>
          <w:highlight w:val="none"/>
        </w:rPr>
      </w:pPr>
    </w:p>
    <w:p w14:paraId="13D1DE95">
      <w:pPr>
        <w:spacing w:line="360" w:lineRule="auto"/>
        <w:rPr>
          <w:color w:val="auto"/>
          <w:highlight w:val="none"/>
        </w:rPr>
      </w:pPr>
      <w:r>
        <w:rPr>
          <w:rFonts w:hint="eastAsia"/>
          <w:color w:val="auto"/>
          <w:highlight w:val="none"/>
        </w:rPr>
        <w:t xml:space="preserve">单位名称： </w:t>
      </w:r>
    </w:p>
    <w:p w14:paraId="1DD892C2">
      <w:pPr>
        <w:spacing w:line="360" w:lineRule="auto"/>
        <w:rPr>
          <w:color w:val="auto"/>
          <w:highlight w:val="none"/>
        </w:rPr>
      </w:pPr>
      <w:r>
        <w:rPr>
          <w:rFonts w:hint="eastAsia"/>
          <w:color w:val="auto"/>
          <w:highlight w:val="none"/>
        </w:rPr>
        <w:t xml:space="preserve">单位性质： </w:t>
      </w:r>
    </w:p>
    <w:p w14:paraId="0263E896">
      <w:pPr>
        <w:spacing w:line="360" w:lineRule="auto"/>
        <w:rPr>
          <w:color w:val="auto"/>
          <w:highlight w:val="none"/>
        </w:rPr>
      </w:pPr>
      <w:r>
        <w:rPr>
          <w:rFonts w:hint="eastAsia"/>
          <w:color w:val="auto"/>
          <w:highlight w:val="none"/>
        </w:rPr>
        <w:t>地   址：</w:t>
      </w:r>
    </w:p>
    <w:p w14:paraId="76214B65">
      <w:pPr>
        <w:spacing w:line="360" w:lineRule="auto"/>
        <w:rPr>
          <w:color w:val="auto"/>
          <w:highlight w:val="none"/>
        </w:rPr>
      </w:pPr>
      <w:r>
        <w:rPr>
          <w:rFonts w:hint="eastAsia"/>
          <w:color w:val="auto"/>
          <w:highlight w:val="none"/>
        </w:rPr>
        <w:t>成立时间：</w:t>
      </w:r>
      <w:r>
        <w:rPr>
          <w:rFonts w:hint="eastAsia"/>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46A1939B">
      <w:pPr>
        <w:spacing w:line="360" w:lineRule="auto"/>
        <w:rPr>
          <w:color w:val="auto"/>
          <w:highlight w:val="none"/>
        </w:rPr>
      </w:pPr>
      <w:r>
        <w:rPr>
          <w:rFonts w:hint="eastAsia"/>
          <w:color w:val="auto"/>
          <w:highlight w:val="none"/>
        </w:rPr>
        <w:t>经营期限：</w:t>
      </w:r>
    </w:p>
    <w:p w14:paraId="468BCDB8">
      <w:pPr>
        <w:spacing w:line="360" w:lineRule="auto"/>
        <w:rPr>
          <w:color w:val="auto"/>
          <w:highlight w:val="none"/>
        </w:rPr>
      </w:pPr>
      <w:r>
        <w:rPr>
          <w:rFonts w:hint="eastAsia"/>
          <w:color w:val="auto"/>
          <w:highlight w:val="none"/>
        </w:rPr>
        <w:t>姓名：</w:t>
      </w:r>
    </w:p>
    <w:p w14:paraId="50EF0BCF">
      <w:pPr>
        <w:spacing w:line="360" w:lineRule="auto"/>
        <w:rPr>
          <w:color w:val="auto"/>
          <w:highlight w:val="none"/>
        </w:rPr>
      </w:pPr>
      <w:r>
        <w:rPr>
          <w:rFonts w:hint="eastAsia"/>
          <w:color w:val="auto"/>
          <w:highlight w:val="none"/>
        </w:rPr>
        <w:t>性别：</w:t>
      </w:r>
      <w:r>
        <w:rPr>
          <w:rFonts w:hint="eastAsia"/>
          <w:color w:val="auto"/>
          <w:highlight w:val="none"/>
        </w:rPr>
        <w:tab/>
      </w:r>
    </w:p>
    <w:p w14:paraId="5E23CEE1">
      <w:pPr>
        <w:spacing w:line="360" w:lineRule="auto"/>
        <w:rPr>
          <w:color w:val="auto"/>
          <w:highlight w:val="none"/>
        </w:rPr>
      </w:pPr>
      <w:r>
        <w:rPr>
          <w:rFonts w:hint="eastAsia"/>
          <w:color w:val="auto"/>
          <w:highlight w:val="none"/>
        </w:rPr>
        <w:t>年龄：</w:t>
      </w:r>
    </w:p>
    <w:p w14:paraId="15E8A943">
      <w:pPr>
        <w:spacing w:line="360" w:lineRule="auto"/>
        <w:rPr>
          <w:color w:val="auto"/>
          <w:highlight w:val="none"/>
        </w:rPr>
      </w:pPr>
      <w:r>
        <w:rPr>
          <w:rFonts w:hint="eastAsia"/>
          <w:color w:val="auto"/>
          <w:highlight w:val="none"/>
        </w:rPr>
        <w:t>职务：</w:t>
      </w:r>
    </w:p>
    <w:p w14:paraId="64278F03">
      <w:pPr>
        <w:spacing w:line="360" w:lineRule="auto"/>
        <w:rPr>
          <w:color w:val="auto"/>
          <w:highlight w:val="none"/>
        </w:rPr>
      </w:pPr>
      <w:r>
        <w:rPr>
          <w:rFonts w:hint="eastAsia"/>
          <w:color w:val="auto"/>
          <w:highlight w:val="none"/>
        </w:rPr>
        <w:t>系</w:t>
      </w:r>
      <w:r>
        <w:rPr>
          <w:rFonts w:hint="eastAsia"/>
          <w:color w:val="auto"/>
          <w:highlight w:val="none"/>
        </w:rPr>
        <w:tab/>
      </w:r>
      <w:r>
        <w:rPr>
          <w:rFonts w:hint="eastAsia"/>
          <w:color w:val="auto"/>
          <w:highlight w:val="none"/>
          <w:u w:val="single"/>
        </w:rPr>
        <w:t>（投标人名称）</w:t>
      </w:r>
      <w:r>
        <w:rPr>
          <w:rFonts w:hint="eastAsia"/>
          <w:color w:val="auto"/>
          <w:highlight w:val="none"/>
        </w:rPr>
        <w:tab/>
      </w:r>
      <w:r>
        <w:rPr>
          <w:rFonts w:hint="eastAsia"/>
          <w:color w:val="auto"/>
          <w:highlight w:val="none"/>
        </w:rPr>
        <w:t>的法定代表人。</w:t>
      </w:r>
    </w:p>
    <w:p w14:paraId="64A2BE96">
      <w:pPr>
        <w:spacing w:line="360" w:lineRule="auto"/>
        <w:rPr>
          <w:color w:val="auto"/>
          <w:highlight w:val="none"/>
        </w:rPr>
      </w:pPr>
      <w:r>
        <w:rPr>
          <w:rFonts w:hint="eastAsia"/>
          <w:color w:val="auto"/>
          <w:highlight w:val="none"/>
        </w:rPr>
        <w:t>特此证明。</w:t>
      </w:r>
    </w:p>
    <w:p w14:paraId="77EDEE50">
      <w:pPr>
        <w:spacing w:line="360" w:lineRule="auto"/>
        <w:rPr>
          <w:color w:val="auto"/>
          <w:highlight w:val="none"/>
        </w:rPr>
      </w:pPr>
    </w:p>
    <w:p w14:paraId="470001DA">
      <w:pPr>
        <w:spacing w:line="360" w:lineRule="auto"/>
        <w:rPr>
          <w:color w:val="auto"/>
          <w:highlight w:val="none"/>
        </w:rPr>
      </w:pPr>
      <w:r>
        <w:rPr>
          <w:rFonts w:hint="eastAsia"/>
          <w:color w:val="auto"/>
          <w:highlight w:val="none"/>
        </w:rPr>
        <w:t>附：法定代表人身份证正反面扫描件。</w:t>
      </w:r>
    </w:p>
    <w:p w14:paraId="12CE5052">
      <w:pPr>
        <w:pStyle w:val="6"/>
        <w:rPr>
          <w:color w:val="auto"/>
          <w:sz w:val="20"/>
          <w:highlight w:val="none"/>
        </w:rPr>
      </w:pPr>
    </w:p>
    <w:p w14:paraId="57120717">
      <w:pPr>
        <w:pStyle w:val="6"/>
        <w:rPr>
          <w:color w:val="auto"/>
          <w:sz w:val="20"/>
          <w:highlight w:val="none"/>
        </w:rPr>
      </w:pPr>
    </w:p>
    <w:p w14:paraId="2DD8C1A5">
      <w:pPr>
        <w:pStyle w:val="6"/>
        <w:rPr>
          <w:color w:val="auto"/>
          <w:sz w:val="20"/>
          <w:highlight w:val="none"/>
        </w:rPr>
      </w:pPr>
    </w:p>
    <w:p w14:paraId="1BFDCA53">
      <w:pPr>
        <w:pStyle w:val="6"/>
        <w:rPr>
          <w:color w:val="auto"/>
          <w:sz w:val="20"/>
          <w:highlight w:val="none"/>
        </w:rPr>
      </w:pPr>
    </w:p>
    <w:p w14:paraId="0FAACD64">
      <w:pPr>
        <w:pStyle w:val="6"/>
        <w:rPr>
          <w:color w:val="auto"/>
          <w:sz w:val="20"/>
          <w:highlight w:val="none"/>
        </w:rPr>
      </w:pPr>
    </w:p>
    <w:p w14:paraId="77BF1BFE">
      <w:pPr>
        <w:pStyle w:val="6"/>
        <w:spacing w:before="4"/>
        <w:rPr>
          <w:color w:val="auto"/>
          <w:sz w:val="16"/>
          <w:highlight w:val="none"/>
        </w:rPr>
      </w:pPr>
    </w:p>
    <w:p w14:paraId="1B4C78E9">
      <w:pPr>
        <w:spacing w:line="360" w:lineRule="auto"/>
        <w:ind w:firstLine="4400" w:firstLineChars="2000"/>
        <w:rPr>
          <w:color w:val="auto"/>
          <w:highlight w:val="none"/>
        </w:rPr>
      </w:pPr>
      <w:r>
        <w:rPr>
          <w:rFonts w:hint="eastAsia"/>
          <w:color w:val="auto"/>
          <w:highlight w:val="none"/>
        </w:rPr>
        <w:t>投标人：（盖章）</w:t>
      </w:r>
    </w:p>
    <w:p w14:paraId="4F6F79BC">
      <w:pPr>
        <w:spacing w:line="360" w:lineRule="auto"/>
        <w:ind w:firstLine="4400" w:firstLineChars="2000"/>
        <w:rPr>
          <w:color w:val="auto"/>
          <w:highlight w:val="none"/>
        </w:rPr>
      </w:pPr>
      <w:r>
        <w:rPr>
          <w:rFonts w:hint="eastAsia"/>
          <w:color w:val="auto"/>
          <w:highlight w:val="none"/>
        </w:rPr>
        <w:t>日期：</w:t>
      </w:r>
      <w:r>
        <w:rPr>
          <w:rFonts w:hint="eastAsia"/>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3397CA69">
      <w:pPr>
        <w:rPr>
          <w:color w:val="auto"/>
          <w:highlight w:val="none"/>
        </w:rPr>
      </w:pPr>
      <w:r>
        <w:rPr>
          <w:color w:val="auto"/>
          <w:highlight w:val="none"/>
        </w:rPr>
        <w:br w:type="page"/>
      </w:r>
    </w:p>
    <w:p w14:paraId="510DD614">
      <w:pPr>
        <w:jc w:val="center"/>
        <w:rPr>
          <w:b/>
          <w:bCs/>
          <w:color w:val="auto"/>
          <w:sz w:val="24"/>
          <w:szCs w:val="24"/>
          <w:highlight w:val="none"/>
          <w:lang w:val="en-US"/>
        </w:rPr>
      </w:pPr>
    </w:p>
    <w:p w14:paraId="2B2DE04D">
      <w:pPr>
        <w:jc w:val="center"/>
        <w:rPr>
          <w:b/>
          <w:color w:val="auto"/>
          <w:szCs w:val="21"/>
          <w:highlight w:val="none"/>
        </w:rPr>
      </w:pPr>
      <w:r>
        <w:rPr>
          <w:rFonts w:hint="eastAsia"/>
          <w:b/>
          <w:bCs/>
          <w:color w:val="auto"/>
          <w:sz w:val="24"/>
          <w:szCs w:val="24"/>
          <w:highlight w:val="none"/>
          <w:lang w:val="en-US"/>
        </w:rPr>
        <w:t>4.2</w:t>
      </w:r>
      <w:r>
        <w:rPr>
          <w:rFonts w:hint="eastAsia"/>
          <w:b/>
          <w:bCs/>
          <w:color w:val="auto"/>
          <w:sz w:val="24"/>
          <w:szCs w:val="24"/>
          <w:highlight w:val="none"/>
        </w:rPr>
        <w:t>法定代表人授权书</w:t>
      </w:r>
    </w:p>
    <w:p w14:paraId="4B3D388B">
      <w:pPr>
        <w:pStyle w:val="27"/>
        <w:tabs>
          <w:tab w:val="left" w:pos="4376"/>
        </w:tabs>
        <w:spacing w:line="360" w:lineRule="auto"/>
        <w:ind w:left="0" w:firstLine="0"/>
        <w:jc w:val="center"/>
        <w:rPr>
          <w:b/>
          <w:color w:val="auto"/>
          <w:sz w:val="24"/>
          <w:szCs w:val="21"/>
          <w:highlight w:val="none"/>
        </w:rPr>
      </w:pPr>
    </w:p>
    <w:p w14:paraId="2A517058">
      <w:pPr>
        <w:spacing w:line="360" w:lineRule="auto"/>
        <w:ind w:firstLine="440" w:firstLineChars="200"/>
        <w:rPr>
          <w:color w:val="auto"/>
          <w:highlight w:val="none"/>
        </w:rPr>
      </w:pPr>
      <w:r>
        <w:rPr>
          <w:rFonts w:hint="eastAsia"/>
          <w:color w:val="auto"/>
          <w:highlight w:val="none"/>
        </w:rPr>
        <w:t>本授权书声明：注册于</w:t>
      </w:r>
      <w:r>
        <w:rPr>
          <w:rFonts w:hint="eastAsia"/>
          <w:color w:val="auto"/>
          <w:highlight w:val="none"/>
          <w:u w:val="single"/>
          <w:lang w:val="en-US"/>
        </w:rPr>
        <w:t xml:space="preserve"> （</w:t>
      </w:r>
      <w:r>
        <w:rPr>
          <w:rFonts w:hint="eastAsia"/>
          <w:color w:val="auto"/>
          <w:highlight w:val="none"/>
          <w:u w:val="single"/>
        </w:rPr>
        <w:t>注册地址）</w:t>
      </w:r>
      <w:r>
        <w:rPr>
          <w:rFonts w:hint="eastAsia"/>
          <w:color w:val="auto"/>
          <w:highlight w:val="none"/>
        </w:rPr>
        <w:t>的</w:t>
      </w:r>
      <w:r>
        <w:rPr>
          <w:rFonts w:hint="eastAsia"/>
          <w:color w:val="auto"/>
          <w:highlight w:val="none"/>
          <w:u w:val="single"/>
          <w:lang w:val="en-US"/>
        </w:rPr>
        <w:t xml:space="preserve"> （</w:t>
      </w:r>
      <w:r>
        <w:rPr>
          <w:rFonts w:hint="eastAsia"/>
          <w:color w:val="auto"/>
          <w:highlight w:val="none"/>
          <w:u w:val="single"/>
        </w:rPr>
        <w:t>投标人全名）</w:t>
      </w:r>
      <w:r>
        <w:rPr>
          <w:rFonts w:hint="eastAsia"/>
          <w:color w:val="auto"/>
          <w:highlight w:val="none"/>
          <w:lang w:val="en-US"/>
        </w:rPr>
        <w:t>的</w:t>
      </w:r>
      <w:r>
        <w:rPr>
          <w:rFonts w:hint="eastAsia"/>
          <w:color w:val="auto"/>
          <w:highlight w:val="none"/>
        </w:rPr>
        <w:t>在下面签字的</w:t>
      </w:r>
      <w:r>
        <w:rPr>
          <w:rFonts w:hint="eastAsia"/>
          <w:color w:val="auto"/>
          <w:highlight w:val="none"/>
          <w:u w:val="single"/>
          <w:lang w:val="en-US"/>
        </w:rPr>
        <w:t xml:space="preserve"> （</w:t>
      </w:r>
      <w:r>
        <w:rPr>
          <w:rFonts w:hint="eastAsia"/>
          <w:color w:val="auto"/>
          <w:highlight w:val="none"/>
          <w:u w:val="single"/>
        </w:rPr>
        <w:t>法定代表人姓名、职务）</w:t>
      </w:r>
      <w:r>
        <w:rPr>
          <w:rFonts w:hint="eastAsia"/>
          <w:color w:val="auto"/>
          <w:highlight w:val="none"/>
        </w:rPr>
        <w:t>代表本公司授权</w:t>
      </w:r>
      <w:r>
        <w:rPr>
          <w:rFonts w:hint="eastAsia"/>
          <w:color w:val="auto"/>
          <w:highlight w:val="none"/>
          <w:u w:val="single"/>
          <w:lang w:val="en-US"/>
        </w:rPr>
        <w:t xml:space="preserve"> （</w:t>
      </w:r>
      <w:r>
        <w:rPr>
          <w:rFonts w:hint="eastAsia"/>
          <w:color w:val="auto"/>
          <w:highlight w:val="none"/>
          <w:u w:val="single"/>
        </w:rPr>
        <w:t>投标人名称）</w:t>
      </w:r>
      <w:r>
        <w:rPr>
          <w:rFonts w:hint="eastAsia"/>
          <w:color w:val="auto"/>
          <w:highlight w:val="none"/>
        </w:rPr>
        <w:t>的</w:t>
      </w:r>
      <w:r>
        <w:rPr>
          <w:rFonts w:hint="eastAsia"/>
          <w:color w:val="auto"/>
          <w:highlight w:val="none"/>
          <w:u w:val="single"/>
          <w:lang w:val="en-US"/>
        </w:rPr>
        <w:t xml:space="preserve"> （</w:t>
      </w:r>
      <w:r>
        <w:rPr>
          <w:rFonts w:hint="eastAsia"/>
          <w:color w:val="auto"/>
          <w:highlight w:val="none"/>
          <w:u w:val="single"/>
        </w:rPr>
        <w:t>被授权人的姓名、职务）</w:t>
      </w:r>
      <w:r>
        <w:rPr>
          <w:rFonts w:hint="eastAsia"/>
          <w:color w:val="auto"/>
          <w:highlight w:val="none"/>
        </w:rPr>
        <w:t>为本公司的合法代理人，就（项目名称：</w:t>
      </w:r>
      <w:r>
        <w:rPr>
          <w:rFonts w:hint="eastAsia"/>
          <w:color w:val="auto"/>
          <w:highlight w:val="none"/>
          <w:u w:val="single"/>
          <w:lang w:val="en-US" w:eastAsia="zh-CN"/>
        </w:rPr>
        <w:t xml:space="preserve">               </w:t>
      </w:r>
      <w:r>
        <w:rPr>
          <w:rFonts w:hint="eastAsia"/>
          <w:color w:val="auto"/>
          <w:highlight w:val="none"/>
        </w:rPr>
        <w:t>；采购编号：</w:t>
      </w:r>
      <w:r>
        <w:rPr>
          <w:rFonts w:hint="eastAsia"/>
          <w:color w:val="auto"/>
          <w:highlight w:val="none"/>
          <w:u w:val="single"/>
          <w:lang w:val="en-US" w:eastAsia="zh-CN"/>
        </w:rPr>
        <w:t xml:space="preserve">       </w:t>
      </w:r>
      <w:r>
        <w:rPr>
          <w:rFonts w:hint="eastAsia"/>
          <w:color w:val="auto"/>
          <w:highlight w:val="none"/>
        </w:rPr>
        <w:t>）的投标及合同执行， 以本公司名义处理一切与之有关的事务。</w:t>
      </w:r>
    </w:p>
    <w:p w14:paraId="06FBF0FD">
      <w:pPr>
        <w:spacing w:line="360" w:lineRule="auto"/>
        <w:ind w:firstLine="440" w:firstLineChars="200"/>
        <w:rPr>
          <w:color w:val="auto"/>
          <w:highlight w:val="none"/>
        </w:rPr>
      </w:pPr>
      <w:r>
        <w:rPr>
          <w:rFonts w:hint="eastAsia"/>
          <w:color w:val="auto"/>
          <w:highlight w:val="none"/>
        </w:rPr>
        <w:t>本授权书于</w:t>
      </w:r>
      <w:r>
        <w:rPr>
          <w:rFonts w:hint="eastAsia"/>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日签字生效，特此声明。</w:t>
      </w:r>
    </w:p>
    <w:p w14:paraId="24B5D9A2">
      <w:pPr>
        <w:spacing w:line="360" w:lineRule="auto"/>
        <w:ind w:firstLine="440" w:firstLineChars="200"/>
        <w:rPr>
          <w:color w:val="auto"/>
          <w:highlight w:val="none"/>
        </w:rPr>
      </w:pPr>
    </w:p>
    <w:p w14:paraId="188CCF15">
      <w:pPr>
        <w:spacing w:line="360" w:lineRule="auto"/>
        <w:ind w:firstLine="440" w:firstLineChars="200"/>
        <w:rPr>
          <w:color w:val="auto"/>
          <w:highlight w:val="none"/>
        </w:rPr>
      </w:pPr>
      <w:r>
        <w:rPr>
          <w:rFonts w:hint="eastAsia"/>
          <w:color w:val="auto"/>
          <w:highlight w:val="none"/>
        </w:rPr>
        <w:t>后附：法定代表人和其授权投标代表人身份证正反面扫描件</w:t>
      </w:r>
    </w:p>
    <w:p w14:paraId="70582CE0">
      <w:pPr>
        <w:pStyle w:val="6"/>
        <w:rPr>
          <w:color w:val="auto"/>
          <w:sz w:val="20"/>
          <w:highlight w:val="none"/>
        </w:rPr>
      </w:pPr>
    </w:p>
    <w:p w14:paraId="512EA4E5">
      <w:pPr>
        <w:pStyle w:val="6"/>
        <w:spacing w:before="9"/>
        <w:rPr>
          <w:color w:val="auto"/>
          <w:sz w:val="27"/>
          <w:highlight w:val="none"/>
        </w:rPr>
      </w:pPr>
    </w:p>
    <w:p w14:paraId="3039B61C">
      <w:pPr>
        <w:pStyle w:val="6"/>
        <w:spacing w:before="9"/>
        <w:rPr>
          <w:color w:val="auto"/>
          <w:sz w:val="27"/>
          <w:highlight w:val="none"/>
        </w:rPr>
      </w:pPr>
    </w:p>
    <w:p w14:paraId="5CE3D9BE">
      <w:pPr>
        <w:pStyle w:val="6"/>
        <w:spacing w:before="9"/>
        <w:rPr>
          <w:color w:val="auto"/>
          <w:sz w:val="27"/>
          <w:highlight w:val="none"/>
        </w:rPr>
      </w:pPr>
    </w:p>
    <w:p w14:paraId="44D8A048">
      <w:pPr>
        <w:pStyle w:val="6"/>
        <w:spacing w:before="9"/>
        <w:rPr>
          <w:color w:val="auto"/>
          <w:sz w:val="27"/>
          <w:highlight w:val="none"/>
        </w:rPr>
      </w:pPr>
    </w:p>
    <w:p w14:paraId="794DEB3F">
      <w:pPr>
        <w:spacing w:line="360" w:lineRule="auto"/>
        <w:ind w:firstLine="4400" w:firstLineChars="2000"/>
        <w:rPr>
          <w:color w:val="auto"/>
          <w:highlight w:val="none"/>
        </w:rPr>
      </w:pPr>
      <w:r>
        <w:rPr>
          <w:rFonts w:hint="eastAsia"/>
          <w:color w:val="auto"/>
          <w:highlight w:val="none"/>
        </w:rPr>
        <w:t>投标人：（盖章）</w:t>
      </w:r>
    </w:p>
    <w:p w14:paraId="3702E642">
      <w:pPr>
        <w:spacing w:line="360" w:lineRule="auto"/>
        <w:ind w:firstLine="4400" w:firstLineChars="2000"/>
        <w:rPr>
          <w:color w:val="auto"/>
          <w:highlight w:val="none"/>
        </w:rPr>
      </w:pPr>
      <w:r>
        <w:rPr>
          <w:rFonts w:hint="eastAsia"/>
          <w:color w:val="auto"/>
          <w:highlight w:val="none"/>
        </w:rPr>
        <w:t xml:space="preserve">法定代表人：（签字或盖章） </w:t>
      </w:r>
    </w:p>
    <w:p w14:paraId="0E0436DC">
      <w:pPr>
        <w:spacing w:line="360" w:lineRule="auto"/>
        <w:ind w:firstLine="5280" w:firstLineChars="2400"/>
        <w:rPr>
          <w:color w:val="auto"/>
          <w:highlight w:val="none"/>
        </w:rPr>
      </w:pPr>
      <w:r>
        <w:rPr>
          <w:rFonts w:hint="eastAsia"/>
          <w:color w:val="auto"/>
          <w:highlight w:val="none"/>
        </w:rPr>
        <w:t>日期：</w:t>
      </w:r>
      <w:r>
        <w:rPr>
          <w:rFonts w:hint="eastAsia"/>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47810B94">
      <w:pPr>
        <w:rPr>
          <w:color w:val="auto"/>
          <w:highlight w:val="none"/>
        </w:rPr>
      </w:pPr>
      <w:r>
        <w:rPr>
          <w:color w:val="auto"/>
          <w:highlight w:val="none"/>
        </w:rPr>
        <w:br w:type="page"/>
      </w:r>
    </w:p>
    <w:p w14:paraId="35166DAF">
      <w:pPr>
        <w:pStyle w:val="3"/>
        <w:jc w:val="center"/>
        <w:rPr>
          <w:rFonts w:ascii="宋体" w:hAnsi="宋体" w:eastAsia="宋体"/>
          <w:color w:val="auto"/>
          <w:sz w:val="36"/>
          <w:highlight w:val="none"/>
        </w:rPr>
      </w:pPr>
      <w:bookmarkStart w:id="149" w:name="_bookmark27"/>
      <w:bookmarkEnd w:id="149"/>
      <w:bookmarkStart w:id="150" w:name="5.商务条款/技术规格偏差一览表"/>
      <w:bookmarkEnd w:id="150"/>
      <w:bookmarkStart w:id="151" w:name="_Toc11363"/>
      <w:bookmarkStart w:id="152" w:name="_Toc13039"/>
      <w:bookmarkStart w:id="153" w:name="_Toc10689"/>
      <w:bookmarkStart w:id="154" w:name="_Toc19557"/>
      <w:bookmarkStart w:id="155" w:name="_Toc13162"/>
      <w:bookmarkStart w:id="156" w:name="_Toc12310"/>
      <w:bookmarkStart w:id="157" w:name="_Toc6808"/>
      <w:r>
        <w:rPr>
          <w:rFonts w:hint="eastAsia" w:ascii="宋体" w:hAnsi="宋体" w:eastAsia="宋体"/>
          <w:color w:val="auto"/>
          <w:sz w:val="28"/>
          <w:szCs w:val="28"/>
          <w:highlight w:val="none"/>
          <w:lang w:val="en-US"/>
        </w:rPr>
        <w:t>5.</w:t>
      </w:r>
      <w:r>
        <w:rPr>
          <w:rFonts w:hint="eastAsia" w:ascii="宋体" w:hAnsi="宋体" w:eastAsia="宋体"/>
          <w:color w:val="auto"/>
          <w:sz w:val="28"/>
          <w:szCs w:val="28"/>
          <w:highlight w:val="none"/>
        </w:rPr>
        <w:t>商务条款/技术规格偏差一览表</w:t>
      </w:r>
      <w:bookmarkEnd w:id="151"/>
      <w:bookmarkEnd w:id="152"/>
      <w:bookmarkEnd w:id="153"/>
      <w:bookmarkEnd w:id="154"/>
      <w:bookmarkEnd w:id="155"/>
      <w:bookmarkEnd w:id="156"/>
      <w:bookmarkEnd w:id="157"/>
    </w:p>
    <w:p w14:paraId="085CE509">
      <w:pPr>
        <w:jc w:val="center"/>
        <w:rPr>
          <w:b/>
          <w:color w:val="auto"/>
          <w:szCs w:val="21"/>
          <w:highlight w:val="none"/>
        </w:rPr>
      </w:pPr>
      <w:bookmarkStart w:id="158" w:name="5.1商务条款偏差一览表"/>
      <w:bookmarkEnd w:id="158"/>
      <w:r>
        <w:rPr>
          <w:rFonts w:hint="eastAsia"/>
          <w:b/>
          <w:bCs/>
          <w:color w:val="auto"/>
          <w:sz w:val="24"/>
          <w:szCs w:val="24"/>
          <w:highlight w:val="none"/>
          <w:lang w:val="en-US"/>
        </w:rPr>
        <w:t>5.1</w:t>
      </w:r>
      <w:r>
        <w:rPr>
          <w:rFonts w:hint="eastAsia"/>
          <w:b/>
          <w:bCs/>
          <w:color w:val="auto"/>
          <w:sz w:val="24"/>
          <w:szCs w:val="24"/>
          <w:highlight w:val="none"/>
        </w:rPr>
        <w:t>商务条款偏差一览表</w:t>
      </w:r>
    </w:p>
    <w:p w14:paraId="0C743452">
      <w:pPr>
        <w:pStyle w:val="27"/>
        <w:tabs>
          <w:tab w:val="left" w:pos="4235"/>
        </w:tabs>
        <w:ind w:left="3741" w:firstLine="0"/>
        <w:rPr>
          <w:b/>
          <w:color w:val="auto"/>
          <w:sz w:val="24"/>
          <w:szCs w:val="21"/>
          <w:highlight w:val="none"/>
        </w:rPr>
      </w:pP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7"/>
        <w:gridCol w:w="3637"/>
        <w:gridCol w:w="2209"/>
        <w:gridCol w:w="2045"/>
      </w:tblGrid>
      <w:tr w14:paraId="09815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187" w:type="dxa"/>
            <w:vAlign w:val="center"/>
          </w:tcPr>
          <w:p w14:paraId="0A25FB14">
            <w:pPr>
              <w:jc w:val="center"/>
              <w:rPr>
                <w:color w:val="auto"/>
                <w:highlight w:val="none"/>
              </w:rPr>
            </w:pPr>
            <w:r>
              <w:rPr>
                <w:rFonts w:hint="eastAsia"/>
                <w:color w:val="auto"/>
                <w:highlight w:val="none"/>
              </w:rPr>
              <w:t>序号</w:t>
            </w:r>
          </w:p>
        </w:tc>
        <w:tc>
          <w:tcPr>
            <w:tcW w:w="3637" w:type="dxa"/>
            <w:vAlign w:val="center"/>
          </w:tcPr>
          <w:p w14:paraId="09F43731">
            <w:pPr>
              <w:jc w:val="center"/>
              <w:rPr>
                <w:color w:val="auto"/>
                <w:highlight w:val="none"/>
              </w:rPr>
            </w:pPr>
            <w:r>
              <w:rPr>
                <w:rFonts w:hint="eastAsia"/>
                <w:color w:val="auto"/>
                <w:highlight w:val="none"/>
              </w:rPr>
              <w:t>商务条款要求</w:t>
            </w:r>
          </w:p>
        </w:tc>
        <w:tc>
          <w:tcPr>
            <w:tcW w:w="2209" w:type="dxa"/>
            <w:vAlign w:val="center"/>
          </w:tcPr>
          <w:p w14:paraId="69749E09">
            <w:pPr>
              <w:jc w:val="center"/>
              <w:rPr>
                <w:color w:val="auto"/>
                <w:highlight w:val="none"/>
              </w:rPr>
            </w:pPr>
            <w:r>
              <w:rPr>
                <w:rFonts w:hint="eastAsia"/>
                <w:color w:val="auto"/>
                <w:highlight w:val="none"/>
              </w:rPr>
              <w:t>是否响应</w:t>
            </w:r>
          </w:p>
        </w:tc>
        <w:tc>
          <w:tcPr>
            <w:tcW w:w="2045" w:type="dxa"/>
            <w:vAlign w:val="center"/>
          </w:tcPr>
          <w:p w14:paraId="322ABDF7">
            <w:pPr>
              <w:jc w:val="center"/>
              <w:rPr>
                <w:color w:val="auto"/>
                <w:highlight w:val="none"/>
              </w:rPr>
            </w:pPr>
            <w:r>
              <w:rPr>
                <w:rFonts w:hint="eastAsia"/>
                <w:color w:val="auto"/>
                <w:highlight w:val="none"/>
              </w:rPr>
              <w:t>偏离说明</w:t>
            </w:r>
          </w:p>
        </w:tc>
      </w:tr>
      <w:tr w14:paraId="17516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1187" w:type="dxa"/>
            <w:vAlign w:val="center"/>
          </w:tcPr>
          <w:p w14:paraId="73063DEB">
            <w:pPr>
              <w:jc w:val="center"/>
              <w:rPr>
                <w:color w:val="auto"/>
                <w:highlight w:val="none"/>
              </w:rPr>
            </w:pPr>
            <w:r>
              <w:rPr>
                <w:rFonts w:hint="eastAsia"/>
                <w:color w:val="auto"/>
                <w:highlight w:val="none"/>
              </w:rPr>
              <w:t>1</w:t>
            </w:r>
          </w:p>
        </w:tc>
        <w:tc>
          <w:tcPr>
            <w:tcW w:w="3637" w:type="dxa"/>
            <w:vAlign w:val="center"/>
          </w:tcPr>
          <w:p w14:paraId="5690A530">
            <w:pPr>
              <w:jc w:val="center"/>
              <w:rPr>
                <w:color w:val="auto"/>
                <w:highlight w:val="none"/>
              </w:rPr>
            </w:pPr>
            <w:r>
              <w:rPr>
                <w:rFonts w:hint="eastAsia"/>
                <w:color w:val="auto"/>
                <w:highlight w:val="none"/>
              </w:rPr>
              <w:t>完全理解并接受对投标人完成招标范围内工作、提供合格服务的要求。</w:t>
            </w:r>
          </w:p>
        </w:tc>
        <w:tc>
          <w:tcPr>
            <w:tcW w:w="2209" w:type="dxa"/>
            <w:vAlign w:val="center"/>
          </w:tcPr>
          <w:p w14:paraId="35B02AEE">
            <w:pPr>
              <w:jc w:val="center"/>
              <w:rPr>
                <w:color w:val="auto"/>
                <w:highlight w:val="none"/>
              </w:rPr>
            </w:pPr>
          </w:p>
        </w:tc>
        <w:tc>
          <w:tcPr>
            <w:tcW w:w="2045" w:type="dxa"/>
            <w:vAlign w:val="center"/>
          </w:tcPr>
          <w:p w14:paraId="5AF867AA">
            <w:pPr>
              <w:jc w:val="center"/>
              <w:rPr>
                <w:color w:val="auto"/>
                <w:highlight w:val="none"/>
              </w:rPr>
            </w:pPr>
          </w:p>
        </w:tc>
      </w:tr>
      <w:tr w14:paraId="66CA5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187" w:type="dxa"/>
            <w:vAlign w:val="center"/>
          </w:tcPr>
          <w:p w14:paraId="6780E0E6">
            <w:pPr>
              <w:jc w:val="center"/>
              <w:rPr>
                <w:color w:val="auto"/>
                <w:highlight w:val="none"/>
              </w:rPr>
            </w:pPr>
            <w:r>
              <w:rPr>
                <w:rFonts w:hint="eastAsia"/>
                <w:color w:val="auto"/>
                <w:highlight w:val="none"/>
              </w:rPr>
              <w:t>2</w:t>
            </w:r>
          </w:p>
        </w:tc>
        <w:tc>
          <w:tcPr>
            <w:tcW w:w="3637" w:type="dxa"/>
            <w:vAlign w:val="center"/>
          </w:tcPr>
          <w:p w14:paraId="3D0F57F9">
            <w:pPr>
              <w:jc w:val="center"/>
              <w:rPr>
                <w:color w:val="auto"/>
                <w:highlight w:val="none"/>
              </w:rPr>
            </w:pPr>
            <w:r>
              <w:rPr>
                <w:rFonts w:hint="eastAsia"/>
                <w:color w:val="auto"/>
                <w:highlight w:val="none"/>
              </w:rPr>
              <w:t>完全理解并接受对投标人的各项须知、规约要求和责任义务。</w:t>
            </w:r>
          </w:p>
        </w:tc>
        <w:tc>
          <w:tcPr>
            <w:tcW w:w="2209" w:type="dxa"/>
            <w:vAlign w:val="center"/>
          </w:tcPr>
          <w:p w14:paraId="79D18363">
            <w:pPr>
              <w:jc w:val="center"/>
              <w:rPr>
                <w:color w:val="auto"/>
                <w:highlight w:val="none"/>
              </w:rPr>
            </w:pPr>
          </w:p>
        </w:tc>
        <w:tc>
          <w:tcPr>
            <w:tcW w:w="2045" w:type="dxa"/>
            <w:vAlign w:val="center"/>
          </w:tcPr>
          <w:p w14:paraId="3BCCAC8C">
            <w:pPr>
              <w:jc w:val="center"/>
              <w:rPr>
                <w:color w:val="auto"/>
                <w:highlight w:val="none"/>
              </w:rPr>
            </w:pPr>
          </w:p>
        </w:tc>
      </w:tr>
      <w:tr w14:paraId="2BE77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jc w:val="center"/>
        </w:trPr>
        <w:tc>
          <w:tcPr>
            <w:tcW w:w="1187" w:type="dxa"/>
            <w:vAlign w:val="center"/>
          </w:tcPr>
          <w:p w14:paraId="41EE59F0">
            <w:pPr>
              <w:jc w:val="center"/>
              <w:rPr>
                <w:color w:val="auto"/>
                <w:highlight w:val="none"/>
              </w:rPr>
            </w:pPr>
            <w:r>
              <w:rPr>
                <w:rFonts w:hint="eastAsia"/>
                <w:color w:val="auto"/>
                <w:highlight w:val="none"/>
              </w:rPr>
              <w:t>3</w:t>
            </w:r>
          </w:p>
        </w:tc>
        <w:tc>
          <w:tcPr>
            <w:tcW w:w="3637" w:type="dxa"/>
            <w:vAlign w:val="center"/>
          </w:tcPr>
          <w:p w14:paraId="2E36AED6">
            <w:pPr>
              <w:jc w:val="center"/>
              <w:rPr>
                <w:color w:val="auto"/>
                <w:highlight w:val="none"/>
              </w:rPr>
            </w:pPr>
            <w:r>
              <w:rPr>
                <w:rFonts w:hint="eastAsia"/>
                <w:color w:val="auto"/>
                <w:highlight w:val="none"/>
              </w:rPr>
              <w:t>完全理解并接受合同条款及格式所列述的各项条款。</w:t>
            </w:r>
          </w:p>
        </w:tc>
        <w:tc>
          <w:tcPr>
            <w:tcW w:w="2209" w:type="dxa"/>
            <w:vAlign w:val="center"/>
          </w:tcPr>
          <w:p w14:paraId="57BD51BB">
            <w:pPr>
              <w:jc w:val="center"/>
              <w:rPr>
                <w:color w:val="auto"/>
                <w:highlight w:val="none"/>
              </w:rPr>
            </w:pPr>
          </w:p>
        </w:tc>
        <w:tc>
          <w:tcPr>
            <w:tcW w:w="2045" w:type="dxa"/>
            <w:vAlign w:val="center"/>
          </w:tcPr>
          <w:p w14:paraId="0C2D1439">
            <w:pPr>
              <w:jc w:val="center"/>
              <w:rPr>
                <w:color w:val="auto"/>
                <w:highlight w:val="none"/>
              </w:rPr>
            </w:pPr>
          </w:p>
        </w:tc>
      </w:tr>
      <w:tr w14:paraId="19A95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jc w:val="center"/>
        </w:trPr>
        <w:tc>
          <w:tcPr>
            <w:tcW w:w="1187" w:type="dxa"/>
            <w:vAlign w:val="center"/>
          </w:tcPr>
          <w:p w14:paraId="0A47C4C4">
            <w:pPr>
              <w:jc w:val="center"/>
              <w:rPr>
                <w:color w:val="auto"/>
                <w:highlight w:val="none"/>
              </w:rPr>
            </w:pPr>
            <w:r>
              <w:rPr>
                <w:rFonts w:hint="eastAsia"/>
                <w:color w:val="auto"/>
                <w:highlight w:val="none"/>
              </w:rPr>
              <w:t>4</w:t>
            </w:r>
          </w:p>
        </w:tc>
        <w:tc>
          <w:tcPr>
            <w:tcW w:w="3637" w:type="dxa"/>
            <w:vAlign w:val="center"/>
          </w:tcPr>
          <w:p w14:paraId="51CC38EE">
            <w:pPr>
              <w:jc w:val="center"/>
              <w:rPr>
                <w:color w:val="auto"/>
                <w:highlight w:val="none"/>
              </w:rPr>
            </w:pPr>
            <w:r>
              <w:rPr>
                <w:rFonts w:hint="eastAsia"/>
                <w:color w:val="auto"/>
                <w:highlight w:val="none"/>
              </w:rPr>
              <w:t>同意本项目规定的支付方式。</w:t>
            </w:r>
          </w:p>
        </w:tc>
        <w:tc>
          <w:tcPr>
            <w:tcW w:w="2209" w:type="dxa"/>
            <w:vAlign w:val="center"/>
          </w:tcPr>
          <w:p w14:paraId="5D82006C">
            <w:pPr>
              <w:jc w:val="center"/>
              <w:rPr>
                <w:color w:val="auto"/>
                <w:highlight w:val="none"/>
              </w:rPr>
            </w:pPr>
          </w:p>
        </w:tc>
        <w:tc>
          <w:tcPr>
            <w:tcW w:w="2045" w:type="dxa"/>
            <w:vAlign w:val="center"/>
          </w:tcPr>
          <w:p w14:paraId="0D00E720">
            <w:pPr>
              <w:jc w:val="center"/>
              <w:rPr>
                <w:color w:val="auto"/>
                <w:highlight w:val="none"/>
              </w:rPr>
            </w:pPr>
          </w:p>
        </w:tc>
      </w:tr>
      <w:tr w14:paraId="6E7F7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1187" w:type="dxa"/>
            <w:vAlign w:val="center"/>
          </w:tcPr>
          <w:p w14:paraId="468CF49B">
            <w:pPr>
              <w:jc w:val="center"/>
              <w:rPr>
                <w:color w:val="auto"/>
                <w:highlight w:val="none"/>
              </w:rPr>
            </w:pPr>
            <w:r>
              <w:rPr>
                <w:rFonts w:hint="eastAsia"/>
                <w:color w:val="auto"/>
                <w:highlight w:val="none"/>
              </w:rPr>
              <w:t>5</w:t>
            </w:r>
          </w:p>
        </w:tc>
        <w:tc>
          <w:tcPr>
            <w:tcW w:w="3637" w:type="dxa"/>
            <w:vAlign w:val="center"/>
          </w:tcPr>
          <w:p w14:paraId="09E96621">
            <w:pPr>
              <w:jc w:val="center"/>
              <w:rPr>
                <w:color w:val="auto"/>
                <w:highlight w:val="none"/>
              </w:rPr>
            </w:pPr>
            <w:r>
              <w:rPr>
                <w:rFonts w:hint="eastAsia"/>
                <w:color w:val="auto"/>
                <w:highlight w:val="none"/>
              </w:rPr>
              <w:t>同意招标人以任何形式对我方投标文件内容的真实性和有效性进行审查、验证。</w:t>
            </w:r>
          </w:p>
        </w:tc>
        <w:tc>
          <w:tcPr>
            <w:tcW w:w="2209" w:type="dxa"/>
            <w:vAlign w:val="center"/>
          </w:tcPr>
          <w:p w14:paraId="35674318">
            <w:pPr>
              <w:jc w:val="center"/>
              <w:rPr>
                <w:color w:val="auto"/>
                <w:highlight w:val="none"/>
              </w:rPr>
            </w:pPr>
          </w:p>
        </w:tc>
        <w:tc>
          <w:tcPr>
            <w:tcW w:w="2045" w:type="dxa"/>
            <w:vAlign w:val="center"/>
          </w:tcPr>
          <w:p w14:paraId="4F5E96AC">
            <w:pPr>
              <w:jc w:val="center"/>
              <w:rPr>
                <w:color w:val="auto"/>
                <w:highlight w:val="none"/>
              </w:rPr>
            </w:pPr>
          </w:p>
        </w:tc>
      </w:tr>
    </w:tbl>
    <w:p w14:paraId="67009528">
      <w:pPr>
        <w:spacing w:line="360" w:lineRule="auto"/>
        <w:ind w:firstLine="440" w:firstLineChars="200"/>
        <w:rPr>
          <w:color w:val="auto"/>
          <w:highlight w:val="none"/>
        </w:rPr>
      </w:pPr>
      <w:r>
        <w:rPr>
          <w:rFonts w:hint="eastAsia"/>
          <w:color w:val="auto"/>
          <w:highlight w:val="none"/>
        </w:rPr>
        <w:t>投标人承诺响应招标文件的全部要求。</w:t>
      </w:r>
    </w:p>
    <w:p w14:paraId="32455D28">
      <w:pPr>
        <w:pStyle w:val="6"/>
        <w:rPr>
          <w:color w:val="auto"/>
          <w:sz w:val="20"/>
          <w:highlight w:val="none"/>
        </w:rPr>
      </w:pPr>
    </w:p>
    <w:p w14:paraId="72105320">
      <w:pPr>
        <w:pStyle w:val="6"/>
        <w:rPr>
          <w:color w:val="auto"/>
          <w:sz w:val="20"/>
          <w:highlight w:val="none"/>
        </w:rPr>
      </w:pPr>
    </w:p>
    <w:p w14:paraId="541D95B6">
      <w:pPr>
        <w:pStyle w:val="6"/>
        <w:rPr>
          <w:color w:val="auto"/>
          <w:sz w:val="20"/>
          <w:highlight w:val="none"/>
        </w:rPr>
      </w:pPr>
    </w:p>
    <w:p w14:paraId="4EECBF94">
      <w:pPr>
        <w:pStyle w:val="6"/>
        <w:rPr>
          <w:color w:val="auto"/>
          <w:sz w:val="22"/>
          <w:highlight w:val="none"/>
        </w:rPr>
      </w:pPr>
    </w:p>
    <w:p w14:paraId="5A05FE94">
      <w:pPr>
        <w:spacing w:line="360" w:lineRule="auto"/>
        <w:ind w:firstLine="4400" w:firstLineChars="2000"/>
        <w:rPr>
          <w:color w:val="auto"/>
          <w:highlight w:val="none"/>
        </w:rPr>
      </w:pPr>
      <w:r>
        <w:rPr>
          <w:rFonts w:hint="eastAsia"/>
          <w:color w:val="auto"/>
          <w:highlight w:val="none"/>
        </w:rPr>
        <w:t>投标人：（盖章）</w:t>
      </w:r>
    </w:p>
    <w:p w14:paraId="2697DA09">
      <w:pPr>
        <w:spacing w:line="360" w:lineRule="auto"/>
        <w:ind w:firstLine="4400" w:firstLineChars="2000"/>
        <w:rPr>
          <w:color w:val="auto"/>
          <w:highlight w:val="none"/>
        </w:rPr>
      </w:pPr>
      <w:r>
        <w:rPr>
          <w:rFonts w:hint="eastAsia"/>
          <w:color w:val="auto"/>
          <w:highlight w:val="none"/>
        </w:rPr>
        <w:t>法定代表人或其</w:t>
      </w:r>
      <w:r>
        <w:rPr>
          <w:rFonts w:hint="eastAsia"/>
          <w:color w:val="auto"/>
          <w:highlight w:val="none"/>
          <w:lang w:eastAsia="zh-CN"/>
        </w:rPr>
        <w:t>授权委托</w:t>
      </w:r>
      <w:r>
        <w:rPr>
          <w:rFonts w:hint="eastAsia"/>
          <w:color w:val="auto"/>
          <w:highlight w:val="none"/>
        </w:rPr>
        <w:t>人：（签字或盖章）</w:t>
      </w:r>
    </w:p>
    <w:p w14:paraId="39A644EA">
      <w:pPr>
        <w:spacing w:line="360" w:lineRule="auto"/>
        <w:ind w:firstLine="5280" w:firstLineChars="2400"/>
        <w:rPr>
          <w:color w:val="auto"/>
          <w:highlight w:val="none"/>
        </w:rPr>
      </w:pPr>
      <w:r>
        <w:rPr>
          <w:rFonts w:hint="eastAsia"/>
          <w:color w:val="auto"/>
          <w:highlight w:val="none"/>
        </w:rPr>
        <w:t>日期：</w:t>
      </w:r>
      <w:r>
        <w:rPr>
          <w:rFonts w:hint="eastAsia"/>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27049E8E">
      <w:pPr>
        <w:rPr>
          <w:color w:val="auto"/>
          <w:sz w:val="24"/>
          <w:highlight w:val="none"/>
        </w:rPr>
      </w:pPr>
      <w:r>
        <w:rPr>
          <w:color w:val="auto"/>
          <w:sz w:val="24"/>
          <w:highlight w:val="none"/>
        </w:rPr>
        <w:br w:type="page"/>
      </w:r>
    </w:p>
    <w:p w14:paraId="33F6508B">
      <w:pPr>
        <w:jc w:val="center"/>
        <w:rPr>
          <w:b/>
          <w:color w:val="auto"/>
          <w:sz w:val="24"/>
          <w:highlight w:val="none"/>
          <w:lang w:val="en-US"/>
        </w:rPr>
      </w:pPr>
      <w:bookmarkStart w:id="159" w:name="5.2技术条款偏离表"/>
      <w:bookmarkEnd w:id="159"/>
      <w:bookmarkStart w:id="160" w:name="6.近年类似项目情况表"/>
      <w:bookmarkEnd w:id="160"/>
    </w:p>
    <w:p w14:paraId="09ADBF20">
      <w:pPr>
        <w:jc w:val="center"/>
        <w:rPr>
          <w:b/>
          <w:color w:val="auto"/>
          <w:sz w:val="24"/>
          <w:highlight w:val="none"/>
        </w:rPr>
      </w:pPr>
      <w:r>
        <w:rPr>
          <w:rFonts w:hint="eastAsia"/>
          <w:b/>
          <w:color w:val="auto"/>
          <w:sz w:val="24"/>
          <w:highlight w:val="none"/>
          <w:lang w:val="en-US"/>
        </w:rPr>
        <w:t>5.2</w:t>
      </w:r>
      <w:r>
        <w:rPr>
          <w:rFonts w:hint="eastAsia"/>
          <w:b/>
          <w:color w:val="auto"/>
          <w:sz w:val="24"/>
          <w:highlight w:val="none"/>
        </w:rPr>
        <w:t>技术条款偏离表</w:t>
      </w:r>
    </w:p>
    <w:p w14:paraId="3E9DABBD">
      <w:pPr>
        <w:pStyle w:val="27"/>
        <w:tabs>
          <w:tab w:val="left" w:pos="4835"/>
        </w:tabs>
        <w:spacing w:before="67"/>
        <w:ind w:left="4411" w:firstLine="0"/>
        <w:rPr>
          <w:b/>
          <w:color w:val="auto"/>
          <w:sz w:val="24"/>
          <w:highlight w:val="none"/>
        </w:rPr>
      </w:pPr>
    </w:p>
    <w:tbl>
      <w:tblPr>
        <w:tblStyle w:val="18"/>
        <w:tblW w:w="100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2027"/>
        <w:gridCol w:w="1882"/>
        <w:gridCol w:w="1879"/>
        <w:gridCol w:w="1574"/>
        <w:gridCol w:w="1872"/>
      </w:tblGrid>
      <w:tr w14:paraId="6CFA5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jc w:val="center"/>
        </w:trPr>
        <w:tc>
          <w:tcPr>
            <w:tcW w:w="824" w:type="dxa"/>
            <w:vAlign w:val="center"/>
          </w:tcPr>
          <w:p w14:paraId="308134AA">
            <w:pPr>
              <w:jc w:val="center"/>
              <w:rPr>
                <w:color w:val="auto"/>
                <w:highlight w:val="none"/>
              </w:rPr>
            </w:pPr>
            <w:r>
              <w:rPr>
                <w:rFonts w:hint="eastAsia"/>
                <w:color w:val="auto"/>
                <w:highlight w:val="none"/>
              </w:rPr>
              <w:t>序号</w:t>
            </w:r>
          </w:p>
        </w:tc>
        <w:tc>
          <w:tcPr>
            <w:tcW w:w="2027" w:type="dxa"/>
            <w:vAlign w:val="center"/>
          </w:tcPr>
          <w:p w14:paraId="1F83BD57">
            <w:pPr>
              <w:jc w:val="center"/>
              <w:rPr>
                <w:color w:val="auto"/>
                <w:highlight w:val="none"/>
              </w:rPr>
            </w:pPr>
            <w:r>
              <w:rPr>
                <w:rFonts w:hint="eastAsia"/>
                <w:color w:val="auto"/>
                <w:highlight w:val="none"/>
              </w:rPr>
              <w:t>条款名称</w:t>
            </w:r>
          </w:p>
        </w:tc>
        <w:tc>
          <w:tcPr>
            <w:tcW w:w="1882" w:type="dxa"/>
            <w:vAlign w:val="center"/>
          </w:tcPr>
          <w:p w14:paraId="54C5BDD5">
            <w:pPr>
              <w:jc w:val="center"/>
              <w:rPr>
                <w:color w:val="auto"/>
                <w:highlight w:val="none"/>
              </w:rPr>
            </w:pPr>
            <w:r>
              <w:rPr>
                <w:rFonts w:hint="eastAsia"/>
                <w:color w:val="auto"/>
                <w:highlight w:val="none"/>
              </w:rPr>
              <w:t>招标文件要求</w:t>
            </w:r>
          </w:p>
        </w:tc>
        <w:tc>
          <w:tcPr>
            <w:tcW w:w="1879" w:type="dxa"/>
            <w:vAlign w:val="center"/>
          </w:tcPr>
          <w:p w14:paraId="29AA54C2">
            <w:pPr>
              <w:jc w:val="center"/>
              <w:rPr>
                <w:color w:val="auto"/>
                <w:highlight w:val="none"/>
              </w:rPr>
            </w:pPr>
            <w:r>
              <w:rPr>
                <w:rFonts w:hint="eastAsia"/>
                <w:color w:val="auto"/>
                <w:highlight w:val="none"/>
              </w:rPr>
              <w:t>投标文件响应</w:t>
            </w:r>
          </w:p>
        </w:tc>
        <w:tc>
          <w:tcPr>
            <w:tcW w:w="1574" w:type="dxa"/>
            <w:vAlign w:val="center"/>
          </w:tcPr>
          <w:p w14:paraId="6CFD828A">
            <w:pPr>
              <w:jc w:val="center"/>
              <w:rPr>
                <w:color w:val="auto"/>
                <w:highlight w:val="none"/>
              </w:rPr>
            </w:pPr>
            <w:r>
              <w:rPr>
                <w:rFonts w:hint="eastAsia"/>
                <w:color w:val="auto"/>
                <w:highlight w:val="none"/>
              </w:rPr>
              <w:t>偏差情况</w:t>
            </w:r>
          </w:p>
        </w:tc>
        <w:tc>
          <w:tcPr>
            <w:tcW w:w="1872" w:type="dxa"/>
            <w:vAlign w:val="center"/>
          </w:tcPr>
          <w:p w14:paraId="5E731493">
            <w:pPr>
              <w:jc w:val="center"/>
              <w:rPr>
                <w:color w:val="auto"/>
                <w:highlight w:val="none"/>
              </w:rPr>
            </w:pPr>
            <w:r>
              <w:rPr>
                <w:rFonts w:hint="eastAsia"/>
                <w:color w:val="auto"/>
                <w:highlight w:val="none"/>
              </w:rPr>
              <w:t>偏差说明</w:t>
            </w:r>
          </w:p>
        </w:tc>
      </w:tr>
      <w:tr w14:paraId="29930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824" w:type="dxa"/>
            <w:vAlign w:val="center"/>
          </w:tcPr>
          <w:p w14:paraId="4982841A">
            <w:pPr>
              <w:jc w:val="center"/>
              <w:rPr>
                <w:color w:val="auto"/>
                <w:highlight w:val="none"/>
              </w:rPr>
            </w:pPr>
          </w:p>
        </w:tc>
        <w:tc>
          <w:tcPr>
            <w:tcW w:w="2027" w:type="dxa"/>
            <w:vAlign w:val="center"/>
          </w:tcPr>
          <w:p w14:paraId="564E0D6B">
            <w:pPr>
              <w:jc w:val="center"/>
              <w:rPr>
                <w:color w:val="auto"/>
                <w:highlight w:val="none"/>
              </w:rPr>
            </w:pPr>
          </w:p>
        </w:tc>
        <w:tc>
          <w:tcPr>
            <w:tcW w:w="1882" w:type="dxa"/>
            <w:vAlign w:val="center"/>
          </w:tcPr>
          <w:p w14:paraId="1FE264B4">
            <w:pPr>
              <w:jc w:val="center"/>
              <w:rPr>
                <w:color w:val="auto"/>
                <w:highlight w:val="none"/>
              </w:rPr>
            </w:pPr>
          </w:p>
        </w:tc>
        <w:tc>
          <w:tcPr>
            <w:tcW w:w="1879" w:type="dxa"/>
            <w:vAlign w:val="center"/>
          </w:tcPr>
          <w:p w14:paraId="62D55A0F">
            <w:pPr>
              <w:jc w:val="center"/>
              <w:rPr>
                <w:color w:val="auto"/>
                <w:highlight w:val="none"/>
              </w:rPr>
            </w:pPr>
          </w:p>
        </w:tc>
        <w:tc>
          <w:tcPr>
            <w:tcW w:w="1574" w:type="dxa"/>
            <w:vAlign w:val="center"/>
          </w:tcPr>
          <w:p w14:paraId="3B969D38">
            <w:pPr>
              <w:jc w:val="center"/>
              <w:rPr>
                <w:color w:val="auto"/>
                <w:highlight w:val="none"/>
              </w:rPr>
            </w:pPr>
          </w:p>
        </w:tc>
        <w:tc>
          <w:tcPr>
            <w:tcW w:w="1872" w:type="dxa"/>
            <w:vAlign w:val="center"/>
          </w:tcPr>
          <w:p w14:paraId="7472E502">
            <w:pPr>
              <w:jc w:val="center"/>
              <w:rPr>
                <w:color w:val="auto"/>
                <w:highlight w:val="none"/>
              </w:rPr>
            </w:pPr>
          </w:p>
        </w:tc>
      </w:tr>
      <w:tr w14:paraId="455CB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824" w:type="dxa"/>
            <w:vAlign w:val="center"/>
          </w:tcPr>
          <w:p w14:paraId="426581F7">
            <w:pPr>
              <w:jc w:val="center"/>
              <w:rPr>
                <w:color w:val="auto"/>
                <w:highlight w:val="none"/>
              </w:rPr>
            </w:pPr>
          </w:p>
        </w:tc>
        <w:tc>
          <w:tcPr>
            <w:tcW w:w="2027" w:type="dxa"/>
            <w:vAlign w:val="center"/>
          </w:tcPr>
          <w:p w14:paraId="237BF9E1">
            <w:pPr>
              <w:jc w:val="center"/>
              <w:rPr>
                <w:color w:val="auto"/>
                <w:highlight w:val="none"/>
              </w:rPr>
            </w:pPr>
          </w:p>
        </w:tc>
        <w:tc>
          <w:tcPr>
            <w:tcW w:w="1882" w:type="dxa"/>
            <w:vAlign w:val="center"/>
          </w:tcPr>
          <w:p w14:paraId="42252D41">
            <w:pPr>
              <w:jc w:val="center"/>
              <w:rPr>
                <w:color w:val="auto"/>
                <w:highlight w:val="none"/>
              </w:rPr>
            </w:pPr>
          </w:p>
        </w:tc>
        <w:tc>
          <w:tcPr>
            <w:tcW w:w="1879" w:type="dxa"/>
            <w:vAlign w:val="center"/>
          </w:tcPr>
          <w:p w14:paraId="7634F8FD">
            <w:pPr>
              <w:jc w:val="center"/>
              <w:rPr>
                <w:color w:val="auto"/>
                <w:highlight w:val="none"/>
              </w:rPr>
            </w:pPr>
          </w:p>
        </w:tc>
        <w:tc>
          <w:tcPr>
            <w:tcW w:w="1574" w:type="dxa"/>
            <w:vAlign w:val="center"/>
          </w:tcPr>
          <w:p w14:paraId="74A5F665">
            <w:pPr>
              <w:jc w:val="center"/>
              <w:rPr>
                <w:color w:val="auto"/>
                <w:highlight w:val="none"/>
              </w:rPr>
            </w:pPr>
          </w:p>
        </w:tc>
        <w:tc>
          <w:tcPr>
            <w:tcW w:w="1872" w:type="dxa"/>
            <w:vAlign w:val="center"/>
          </w:tcPr>
          <w:p w14:paraId="409BAF92">
            <w:pPr>
              <w:jc w:val="center"/>
              <w:rPr>
                <w:color w:val="auto"/>
                <w:highlight w:val="none"/>
              </w:rPr>
            </w:pPr>
          </w:p>
        </w:tc>
      </w:tr>
      <w:tr w14:paraId="0B86A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824" w:type="dxa"/>
            <w:vAlign w:val="center"/>
          </w:tcPr>
          <w:p w14:paraId="411E44F8">
            <w:pPr>
              <w:jc w:val="center"/>
              <w:rPr>
                <w:color w:val="auto"/>
                <w:highlight w:val="none"/>
              </w:rPr>
            </w:pPr>
          </w:p>
        </w:tc>
        <w:tc>
          <w:tcPr>
            <w:tcW w:w="2027" w:type="dxa"/>
            <w:vAlign w:val="center"/>
          </w:tcPr>
          <w:p w14:paraId="28D55B47">
            <w:pPr>
              <w:jc w:val="center"/>
              <w:rPr>
                <w:color w:val="auto"/>
                <w:highlight w:val="none"/>
              </w:rPr>
            </w:pPr>
          </w:p>
        </w:tc>
        <w:tc>
          <w:tcPr>
            <w:tcW w:w="1882" w:type="dxa"/>
            <w:vAlign w:val="center"/>
          </w:tcPr>
          <w:p w14:paraId="38D5F6FB">
            <w:pPr>
              <w:jc w:val="center"/>
              <w:rPr>
                <w:color w:val="auto"/>
                <w:highlight w:val="none"/>
              </w:rPr>
            </w:pPr>
          </w:p>
        </w:tc>
        <w:tc>
          <w:tcPr>
            <w:tcW w:w="1879" w:type="dxa"/>
            <w:vAlign w:val="center"/>
          </w:tcPr>
          <w:p w14:paraId="4E9138EF">
            <w:pPr>
              <w:jc w:val="center"/>
              <w:rPr>
                <w:color w:val="auto"/>
                <w:highlight w:val="none"/>
              </w:rPr>
            </w:pPr>
          </w:p>
        </w:tc>
        <w:tc>
          <w:tcPr>
            <w:tcW w:w="1574" w:type="dxa"/>
            <w:vAlign w:val="center"/>
          </w:tcPr>
          <w:p w14:paraId="168B9BC0">
            <w:pPr>
              <w:jc w:val="center"/>
              <w:rPr>
                <w:color w:val="auto"/>
                <w:highlight w:val="none"/>
              </w:rPr>
            </w:pPr>
          </w:p>
        </w:tc>
        <w:tc>
          <w:tcPr>
            <w:tcW w:w="1872" w:type="dxa"/>
            <w:vAlign w:val="center"/>
          </w:tcPr>
          <w:p w14:paraId="58979D01">
            <w:pPr>
              <w:jc w:val="center"/>
              <w:rPr>
                <w:color w:val="auto"/>
                <w:highlight w:val="none"/>
              </w:rPr>
            </w:pPr>
          </w:p>
        </w:tc>
      </w:tr>
      <w:tr w14:paraId="76B4D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824" w:type="dxa"/>
            <w:vAlign w:val="center"/>
          </w:tcPr>
          <w:p w14:paraId="5B2F218E">
            <w:pPr>
              <w:jc w:val="center"/>
              <w:rPr>
                <w:color w:val="auto"/>
                <w:highlight w:val="none"/>
              </w:rPr>
            </w:pPr>
          </w:p>
        </w:tc>
        <w:tc>
          <w:tcPr>
            <w:tcW w:w="2027" w:type="dxa"/>
            <w:vAlign w:val="center"/>
          </w:tcPr>
          <w:p w14:paraId="201692B3">
            <w:pPr>
              <w:jc w:val="center"/>
              <w:rPr>
                <w:color w:val="auto"/>
                <w:highlight w:val="none"/>
              </w:rPr>
            </w:pPr>
          </w:p>
        </w:tc>
        <w:tc>
          <w:tcPr>
            <w:tcW w:w="1882" w:type="dxa"/>
            <w:vAlign w:val="center"/>
          </w:tcPr>
          <w:p w14:paraId="21A59FCC">
            <w:pPr>
              <w:jc w:val="center"/>
              <w:rPr>
                <w:color w:val="auto"/>
                <w:highlight w:val="none"/>
              </w:rPr>
            </w:pPr>
          </w:p>
        </w:tc>
        <w:tc>
          <w:tcPr>
            <w:tcW w:w="1879" w:type="dxa"/>
            <w:vAlign w:val="center"/>
          </w:tcPr>
          <w:p w14:paraId="59E22903">
            <w:pPr>
              <w:jc w:val="center"/>
              <w:rPr>
                <w:color w:val="auto"/>
                <w:highlight w:val="none"/>
              </w:rPr>
            </w:pPr>
          </w:p>
        </w:tc>
        <w:tc>
          <w:tcPr>
            <w:tcW w:w="1574" w:type="dxa"/>
            <w:vAlign w:val="center"/>
          </w:tcPr>
          <w:p w14:paraId="6F605830">
            <w:pPr>
              <w:jc w:val="center"/>
              <w:rPr>
                <w:color w:val="auto"/>
                <w:highlight w:val="none"/>
              </w:rPr>
            </w:pPr>
          </w:p>
        </w:tc>
        <w:tc>
          <w:tcPr>
            <w:tcW w:w="1872" w:type="dxa"/>
            <w:vAlign w:val="center"/>
          </w:tcPr>
          <w:p w14:paraId="5AF4DE07">
            <w:pPr>
              <w:jc w:val="center"/>
              <w:rPr>
                <w:color w:val="auto"/>
                <w:highlight w:val="none"/>
              </w:rPr>
            </w:pPr>
          </w:p>
        </w:tc>
      </w:tr>
      <w:tr w14:paraId="2868E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824" w:type="dxa"/>
            <w:vAlign w:val="center"/>
          </w:tcPr>
          <w:p w14:paraId="2A90A4BC">
            <w:pPr>
              <w:jc w:val="center"/>
              <w:rPr>
                <w:color w:val="auto"/>
                <w:highlight w:val="none"/>
              </w:rPr>
            </w:pPr>
          </w:p>
        </w:tc>
        <w:tc>
          <w:tcPr>
            <w:tcW w:w="2027" w:type="dxa"/>
            <w:vAlign w:val="center"/>
          </w:tcPr>
          <w:p w14:paraId="762F3D0D">
            <w:pPr>
              <w:jc w:val="center"/>
              <w:rPr>
                <w:color w:val="auto"/>
                <w:highlight w:val="none"/>
              </w:rPr>
            </w:pPr>
          </w:p>
        </w:tc>
        <w:tc>
          <w:tcPr>
            <w:tcW w:w="1882" w:type="dxa"/>
            <w:vAlign w:val="center"/>
          </w:tcPr>
          <w:p w14:paraId="458457B5">
            <w:pPr>
              <w:jc w:val="center"/>
              <w:rPr>
                <w:color w:val="auto"/>
                <w:highlight w:val="none"/>
              </w:rPr>
            </w:pPr>
          </w:p>
        </w:tc>
        <w:tc>
          <w:tcPr>
            <w:tcW w:w="1879" w:type="dxa"/>
            <w:vAlign w:val="center"/>
          </w:tcPr>
          <w:p w14:paraId="37753E63">
            <w:pPr>
              <w:jc w:val="center"/>
              <w:rPr>
                <w:color w:val="auto"/>
                <w:highlight w:val="none"/>
              </w:rPr>
            </w:pPr>
          </w:p>
        </w:tc>
        <w:tc>
          <w:tcPr>
            <w:tcW w:w="1574" w:type="dxa"/>
            <w:vAlign w:val="center"/>
          </w:tcPr>
          <w:p w14:paraId="3F8F2DC0">
            <w:pPr>
              <w:jc w:val="center"/>
              <w:rPr>
                <w:color w:val="auto"/>
                <w:highlight w:val="none"/>
              </w:rPr>
            </w:pPr>
          </w:p>
        </w:tc>
        <w:tc>
          <w:tcPr>
            <w:tcW w:w="1872" w:type="dxa"/>
            <w:vAlign w:val="center"/>
          </w:tcPr>
          <w:p w14:paraId="53DB82EE">
            <w:pPr>
              <w:jc w:val="center"/>
              <w:rPr>
                <w:color w:val="auto"/>
                <w:highlight w:val="none"/>
              </w:rPr>
            </w:pPr>
          </w:p>
        </w:tc>
      </w:tr>
      <w:tr w14:paraId="455E7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824" w:type="dxa"/>
            <w:vAlign w:val="center"/>
          </w:tcPr>
          <w:p w14:paraId="54237CB9">
            <w:pPr>
              <w:jc w:val="center"/>
              <w:rPr>
                <w:color w:val="auto"/>
                <w:highlight w:val="none"/>
              </w:rPr>
            </w:pPr>
          </w:p>
        </w:tc>
        <w:tc>
          <w:tcPr>
            <w:tcW w:w="2027" w:type="dxa"/>
            <w:vAlign w:val="center"/>
          </w:tcPr>
          <w:p w14:paraId="2C51D410">
            <w:pPr>
              <w:jc w:val="center"/>
              <w:rPr>
                <w:color w:val="auto"/>
                <w:highlight w:val="none"/>
              </w:rPr>
            </w:pPr>
          </w:p>
        </w:tc>
        <w:tc>
          <w:tcPr>
            <w:tcW w:w="1882" w:type="dxa"/>
            <w:vAlign w:val="center"/>
          </w:tcPr>
          <w:p w14:paraId="357FD28A">
            <w:pPr>
              <w:jc w:val="center"/>
              <w:rPr>
                <w:color w:val="auto"/>
                <w:highlight w:val="none"/>
              </w:rPr>
            </w:pPr>
          </w:p>
        </w:tc>
        <w:tc>
          <w:tcPr>
            <w:tcW w:w="1879" w:type="dxa"/>
            <w:vAlign w:val="center"/>
          </w:tcPr>
          <w:p w14:paraId="62302BD0">
            <w:pPr>
              <w:jc w:val="center"/>
              <w:rPr>
                <w:color w:val="auto"/>
                <w:highlight w:val="none"/>
              </w:rPr>
            </w:pPr>
          </w:p>
        </w:tc>
        <w:tc>
          <w:tcPr>
            <w:tcW w:w="1574" w:type="dxa"/>
            <w:vAlign w:val="center"/>
          </w:tcPr>
          <w:p w14:paraId="6E39CAD5">
            <w:pPr>
              <w:jc w:val="center"/>
              <w:rPr>
                <w:color w:val="auto"/>
                <w:highlight w:val="none"/>
              </w:rPr>
            </w:pPr>
          </w:p>
        </w:tc>
        <w:tc>
          <w:tcPr>
            <w:tcW w:w="1872" w:type="dxa"/>
            <w:vAlign w:val="center"/>
          </w:tcPr>
          <w:p w14:paraId="1D1BB58C">
            <w:pPr>
              <w:jc w:val="center"/>
              <w:rPr>
                <w:color w:val="auto"/>
                <w:highlight w:val="none"/>
              </w:rPr>
            </w:pPr>
          </w:p>
        </w:tc>
      </w:tr>
      <w:tr w14:paraId="7D98B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824" w:type="dxa"/>
            <w:vAlign w:val="center"/>
          </w:tcPr>
          <w:p w14:paraId="544A8FEC">
            <w:pPr>
              <w:jc w:val="center"/>
              <w:rPr>
                <w:color w:val="auto"/>
                <w:highlight w:val="none"/>
              </w:rPr>
            </w:pPr>
          </w:p>
        </w:tc>
        <w:tc>
          <w:tcPr>
            <w:tcW w:w="2027" w:type="dxa"/>
            <w:vAlign w:val="center"/>
          </w:tcPr>
          <w:p w14:paraId="278979F9">
            <w:pPr>
              <w:jc w:val="center"/>
              <w:rPr>
                <w:color w:val="auto"/>
                <w:highlight w:val="none"/>
              </w:rPr>
            </w:pPr>
          </w:p>
        </w:tc>
        <w:tc>
          <w:tcPr>
            <w:tcW w:w="1882" w:type="dxa"/>
            <w:vAlign w:val="center"/>
          </w:tcPr>
          <w:p w14:paraId="5218C3C1">
            <w:pPr>
              <w:jc w:val="center"/>
              <w:rPr>
                <w:color w:val="auto"/>
                <w:highlight w:val="none"/>
              </w:rPr>
            </w:pPr>
          </w:p>
        </w:tc>
        <w:tc>
          <w:tcPr>
            <w:tcW w:w="1879" w:type="dxa"/>
            <w:vAlign w:val="center"/>
          </w:tcPr>
          <w:p w14:paraId="70CBED16">
            <w:pPr>
              <w:jc w:val="center"/>
              <w:rPr>
                <w:color w:val="auto"/>
                <w:highlight w:val="none"/>
              </w:rPr>
            </w:pPr>
          </w:p>
        </w:tc>
        <w:tc>
          <w:tcPr>
            <w:tcW w:w="1574" w:type="dxa"/>
            <w:vAlign w:val="center"/>
          </w:tcPr>
          <w:p w14:paraId="764BF0D8">
            <w:pPr>
              <w:jc w:val="center"/>
              <w:rPr>
                <w:color w:val="auto"/>
                <w:highlight w:val="none"/>
              </w:rPr>
            </w:pPr>
          </w:p>
        </w:tc>
        <w:tc>
          <w:tcPr>
            <w:tcW w:w="1872" w:type="dxa"/>
            <w:vAlign w:val="center"/>
          </w:tcPr>
          <w:p w14:paraId="6AE1B19B">
            <w:pPr>
              <w:jc w:val="center"/>
              <w:rPr>
                <w:color w:val="auto"/>
                <w:highlight w:val="none"/>
              </w:rPr>
            </w:pPr>
          </w:p>
        </w:tc>
      </w:tr>
      <w:tr w14:paraId="51F59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824" w:type="dxa"/>
            <w:vAlign w:val="center"/>
          </w:tcPr>
          <w:p w14:paraId="11222BED">
            <w:pPr>
              <w:jc w:val="center"/>
              <w:rPr>
                <w:color w:val="auto"/>
                <w:highlight w:val="none"/>
                <w:lang w:val="en-US"/>
              </w:rPr>
            </w:pPr>
            <w:r>
              <w:rPr>
                <w:rFonts w:hint="eastAsia"/>
                <w:color w:val="auto"/>
                <w:highlight w:val="none"/>
                <w:lang w:val="en-US"/>
              </w:rPr>
              <w:t>...</w:t>
            </w:r>
          </w:p>
        </w:tc>
        <w:tc>
          <w:tcPr>
            <w:tcW w:w="2027" w:type="dxa"/>
            <w:vAlign w:val="center"/>
          </w:tcPr>
          <w:p w14:paraId="2784AE69">
            <w:pPr>
              <w:jc w:val="center"/>
              <w:rPr>
                <w:color w:val="auto"/>
                <w:highlight w:val="none"/>
              </w:rPr>
            </w:pPr>
          </w:p>
        </w:tc>
        <w:tc>
          <w:tcPr>
            <w:tcW w:w="1882" w:type="dxa"/>
            <w:vAlign w:val="center"/>
          </w:tcPr>
          <w:p w14:paraId="510751E0">
            <w:pPr>
              <w:jc w:val="center"/>
              <w:rPr>
                <w:color w:val="auto"/>
                <w:highlight w:val="none"/>
              </w:rPr>
            </w:pPr>
          </w:p>
        </w:tc>
        <w:tc>
          <w:tcPr>
            <w:tcW w:w="1879" w:type="dxa"/>
            <w:vAlign w:val="center"/>
          </w:tcPr>
          <w:p w14:paraId="7267DF4D">
            <w:pPr>
              <w:jc w:val="center"/>
              <w:rPr>
                <w:color w:val="auto"/>
                <w:highlight w:val="none"/>
              </w:rPr>
            </w:pPr>
          </w:p>
        </w:tc>
        <w:tc>
          <w:tcPr>
            <w:tcW w:w="1574" w:type="dxa"/>
            <w:vAlign w:val="center"/>
          </w:tcPr>
          <w:p w14:paraId="3D01AB37">
            <w:pPr>
              <w:jc w:val="center"/>
              <w:rPr>
                <w:color w:val="auto"/>
                <w:highlight w:val="none"/>
              </w:rPr>
            </w:pPr>
          </w:p>
        </w:tc>
        <w:tc>
          <w:tcPr>
            <w:tcW w:w="1872" w:type="dxa"/>
            <w:vAlign w:val="center"/>
          </w:tcPr>
          <w:p w14:paraId="258A7A8A">
            <w:pPr>
              <w:jc w:val="center"/>
              <w:rPr>
                <w:color w:val="auto"/>
                <w:highlight w:val="none"/>
              </w:rPr>
            </w:pPr>
          </w:p>
        </w:tc>
      </w:tr>
    </w:tbl>
    <w:p w14:paraId="2455DB10">
      <w:pPr>
        <w:spacing w:line="360" w:lineRule="auto"/>
        <w:ind w:firstLine="440" w:firstLineChars="200"/>
        <w:rPr>
          <w:color w:val="auto"/>
          <w:highlight w:val="none"/>
        </w:rPr>
      </w:pPr>
      <w:r>
        <w:rPr>
          <w:rFonts w:hint="eastAsia"/>
          <w:color w:val="auto"/>
          <w:highlight w:val="none"/>
        </w:rPr>
        <w:t>注：投标人须逐条应答采购需求中的技术参数要求，针对上述条款内容描述“正偏差”、“无偏差”、“负偏差”，“正偏差”或“负偏差”都必须对偏差的原因加以说明，无偏差的条款无须对偏差原因作出说明。</w:t>
      </w:r>
    </w:p>
    <w:p w14:paraId="4032F853">
      <w:pPr>
        <w:pStyle w:val="6"/>
        <w:rPr>
          <w:color w:val="auto"/>
          <w:sz w:val="20"/>
          <w:highlight w:val="none"/>
        </w:rPr>
      </w:pPr>
    </w:p>
    <w:p w14:paraId="42F57059">
      <w:pPr>
        <w:pStyle w:val="6"/>
        <w:spacing w:line="480" w:lineRule="auto"/>
        <w:ind w:firstLine="4200" w:firstLineChars="2000"/>
        <w:rPr>
          <w:color w:val="auto"/>
          <w:highlight w:val="none"/>
        </w:rPr>
      </w:pPr>
    </w:p>
    <w:p w14:paraId="33920852">
      <w:pPr>
        <w:pStyle w:val="6"/>
        <w:spacing w:line="480" w:lineRule="auto"/>
        <w:ind w:firstLine="4200" w:firstLineChars="2000"/>
        <w:rPr>
          <w:color w:val="auto"/>
          <w:highlight w:val="none"/>
        </w:rPr>
      </w:pPr>
    </w:p>
    <w:p w14:paraId="6D0AC54D">
      <w:pPr>
        <w:pStyle w:val="6"/>
        <w:spacing w:line="480" w:lineRule="auto"/>
        <w:ind w:firstLine="4200" w:firstLineChars="2000"/>
        <w:rPr>
          <w:color w:val="auto"/>
          <w:highlight w:val="none"/>
        </w:rPr>
      </w:pPr>
    </w:p>
    <w:p w14:paraId="50585932">
      <w:pPr>
        <w:spacing w:line="360" w:lineRule="auto"/>
        <w:ind w:firstLine="4400" w:firstLineChars="2000"/>
        <w:rPr>
          <w:color w:val="auto"/>
          <w:highlight w:val="none"/>
        </w:rPr>
      </w:pPr>
      <w:r>
        <w:rPr>
          <w:rFonts w:hint="eastAsia"/>
          <w:color w:val="auto"/>
          <w:highlight w:val="none"/>
        </w:rPr>
        <w:t>投标人：（盖章）</w:t>
      </w:r>
    </w:p>
    <w:p w14:paraId="136AEECD">
      <w:pPr>
        <w:spacing w:line="360" w:lineRule="auto"/>
        <w:ind w:firstLine="4400" w:firstLineChars="2000"/>
        <w:rPr>
          <w:color w:val="auto"/>
          <w:highlight w:val="none"/>
        </w:rPr>
      </w:pPr>
      <w:r>
        <w:rPr>
          <w:rFonts w:hint="eastAsia"/>
          <w:color w:val="auto"/>
          <w:highlight w:val="none"/>
        </w:rPr>
        <w:t>法定代表人或其</w:t>
      </w:r>
      <w:r>
        <w:rPr>
          <w:rFonts w:hint="eastAsia"/>
          <w:color w:val="auto"/>
          <w:highlight w:val="none"/>
          <w:lang w:eastAsia="zh-CN"/>
        </w:rPr>
        <w:t>授权委托</w:t>
      </w:r>
      <w:r>
        <w:rPr>
          <w:rFonts w:hint="eastAsia"/>
          <w:color w:val="auto"/>
          <w:highlight w:val="none"/>
        </w:rPr>
        <w:t>人：（签字或盖章）</w:t>
      </w:r>
    </w:p>
    <w:p w14:paraId="23E96148">
      <w:pPr>
        <w:spacing w:line="360" w:lineRule="auto"/>
        <w:ind w:firstLine="5280" w:firstLineChars="2400"/>
        <w:rPr>
          <w:color w:val="auto"/>
          <w:highlight w:val="none"/>
        </w:rPr>
      </w:pPr>
      <w:r>
        <w:rPr>
          <w:rFonts w:hint="eastAsia"/>
          <w:color w:val="auto"/>
          <w:highlight w:val="none"/>
        </w:rPr>
        <w:t>日期：</w:t>
      </w:r>
      <w:r>
        <w:rPr>
          <w:rFonts w:hint="eastAsia"/>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5F687021">
      <w:pPr>
        <w:rPr>
          <w:color w:val="auto"/>
          <w:highlight w:val="none"/>
        </w:rPr>
      </w:pPr>
      <w:r>
        <w:rPr>
          <w:color w:val="auto"/>
          <w:highlight w:val="none"/>
        </w:rPr>
        <w:br w:type="page"/>
      </w:r>
    </w:p>
    <w:p w14:paraId="739A2316">
      <w:pPr>
        <w:pStyle w:val="3"/>
        <w:jc w:val="center"/>
        <w:rPr>
          <w:rFonts w:ascii="宋体" w:hAnsi="宋体" w:eastAsia="宋体"/>
          <w:color w:val="auto"/>
          <w:sz w:val="28"/>
          <w:szCs w:val="28"/>
          <w:highlight w:val="none"/>
          <w:lang w:val="en-US"/>
        </w:rPr>
      </w:pPr>
      <w:bookmarkStart w:id="161" w:name="_bookmark29"/>
      <w:bookmarkEnd w:id="161"/>
      <w:bookmarkStart w:id="162" w:name="7.技术部分"/>
      <w:bookmarkEnd w:id="162"/>
      <w:bookmarkStart w:id="163" w:name="_bookmark28"/>
      <w:bookmarkEnd w:id="163"/>
      <w:bookmarkStart w:id="164" w:name="_Toc13688"/>
      <w:bookmarkStart w:id="165" w:name="_Toc4230"/>
      <w:bookmarkStart w:id="166" w:name="_Toc8002"/>
      <w:bookmarkStart w:id="167" w:name="_Toc6570"/>
      <w:bookmarkStart w:id="168" w:name="_Toc4495"/>
      <w:bookmarkStart w:id="169" w:name="_Toc26987"/>
      <w:bookmarkStart w:id="170" w:name="_Toc13610"/>
      <w:r>
        <w:rPr>
          <w:rFonts w:hint="eastAsia" w:ascii="宋体" w:hAnsi="宋体" w:eastAsia="宋体"/>
          <w:color w:val="auto"/>
          <w:sz w:val="28"/>
          <w:szCs w:val="28"/>
          <w:highlight w:val="none"/>
          <w:lang w:val="en-US"/>
        </w:rPr>
        <w:t>6.商务技术及</w:t>
      </w:r>
      <w:bookmarkEnd w:id="164"/>
      <w:bookmarkEnd w:id="165"/>
      <w:bookmarkEnd w:id="166"/>
      <w:bookmarkEnd w:id="167"/>
      <w:bookmarkEnd w:id="168"/>
      <w:bookmarkEnd w:id="169"/>
      <w:bookmarkEnd w:id="170"/>
      <w:r>
        <w:rPr>
          <w:rFonts w:hint="eastAsia" w:ascii="宋体" w:hAnsi="宋体" w:eastAsia="宋体"/>
          <w:color w:val="auto"/>
          <w:sz w:val="28"/>
          <w:szCs w:val="28"/>
          <w:highlight w:val="none"/>
          <w:lang w:val="en-US"/>
        </w:rPr>
        <w:t>服务响应</w:t>
      </w:r>
    </w:p>
    <w:p w14:paraId="66C8A11C">
      <w:pPr>
        <w:spacing w:line="360" w:lineRule="auto"/>
        <w:ind w:firstLine="442" w:firstLineChars="200"/>
        <w:rPr>
          <w:color w:val="auto"/>
          <w:highlight w:val="none"/>
          <w:lang w:val="en-US"/>
        </w:rPr>
      </w:pPr>
      <w:r>
        <w:rPr>
          <w:rFonts w:hint="eastAsia"/>
          <w:b/>
          <w:bCs/>
          <w:color w:val="auto"/>
          <w:highlight w:val="none"/>
          <w:lang w:val="en-US"/>
        </w:rPr>
        <w:t>6.1商务部分</w:t>
      </w:r>
    </w:p>
    <w:p w14:paraId="5689448B">
      <w:pPr>
        <w:spacing w:line="360" w:lineRule="auto"/>
        <w:ind w:firstLine="440" w:firstLineChars="200"/>
        <w:rPr>
          <w:color w:val="auto"/>
          <w:highlight w:val="none"/>
          <w:lang w:val="en-US"/>
        </w:rPr>
      </w:pPr>
      <w:r>
        <w:rPr>
          <w:rFonts w:hint="eastAsia"/>
          <w:color w:val="auto"/>
          <w:highlight w:val="none"/>
          <w:lang w:val="en-US"/>
        </w:rPr>
        <w:t>按第六章“评标方法和评标标准”中详细评审的评分细则要求提供资料</w:t>
      </w:r>
    </w:p>
    <w:p w14:paraId="19C6AB64">
      <w:pPr>
        <w:spacing w:line="360" w:lineRule="auto"/>
        <w:ind w:firstLine="442" w:firstLineChars="200"/>
        <w:rPr>
          <w:color w:val="auto"/>
          <w:highlight w:val="none"/>
          <w:lang w:val="en-US"/>
        </w:rPr>
      </w:pPr>
      <w:r>
        <w:rPr>
          <w:rFonts w:hint="eastAsia"/>
          <w:b/>
          <w:bCs/>
          <w:color w:val="auto"/>
          <w:highlight w:val="none"/>
          <w:lang w:val="en-US"/>
        </w:rPr>
        <w:t>6.2技术部分</w:t>
      </w:r>
    </w:p>
    <w:p w14:paraId="5B110A63">
      <w:pPr>
        <w:spacing w:line="360" w:lineRule="auto"/>
        <w:ind w:firstLine="440" w:firstLineChars="200"/>
        <w:rPr>
          <w:color w:val="auto"/>
          <w:highlight w:val="none"/>
          <w:lang w:val="en-US"/>
        </w:rPr>
      </w:pPr>
      <w:r>
        <w:rPr>
          <w:rFonts w:hint="eastAsia"/>
          <w:color w:val="auto"/>
          <w:highlight w:val="none"/>
          <w:lang w:val="en-US"/>
        </w:rPr>
        <w:t>按第六章“评标方法和评标标准”中详细评审的评分细则要求提供资料</w:t>
      </w:r>
    </w:p>
    <w:p w14:paraId="561D6816">
      <w:pPr>
        <w:spacing w:line="360" w:lineRule="auto"/>
        <w:ind w:firstLine="440" w:firstLineChars="200"/>
        <w:rPr>
          <w:color w:val="auto"/>
          <w:szCs w:val="24"/>
          <w:highlight w:val="none"/>
          <w:lang w:val="en-US"/>
        </w:rPr>
      </w:pPr>
    </w:p>
    <w:p w14:paraId="55B45168">
      <w:pPr>
        <w:rPr>
          <w:color w:val="auto"/>
          <w:sz w:val="30"/>
          <w:highlight w:val="none"/>
        </w:rPr>
      </w:pPr>
      <w:r>
        <w:rPr>
          <w:color w:val="auto"/>
          <w:sz w:val="30"/>
          <w:highlight w:val="none"/>
        </w:rPr>
        <w:br w:type="page"/>
      </w:r>
    </w:p>
    <w:p w14:paraId="138D4338">
      <w:pPr>
        <w:pStyle w:val="3"/>
        <w:spacing w:line="240" w:lineRule="auto"/>
        <w:jc w:val="center"/>
        <w:rPr>
          <w:rFonts w:ascii="宋体" w:hAnsi="宋体" w:eastAsia="宋体"/>
          <w:color w:val="auto"/>
          <w:sz w:val="28"/>
          <w:szCs w:val="28"/>
          <w:highlight w:val="none"/>
        </w:rPr>
      </w:pPr>
      <w:bookmarkStart w:id="171" w:name="_bookmark30"/>
      <w:bookmarkEnd w:id="171"/>
      <w:bookmarkStart w:id="172" w:name="8.项目团队"/>
      <w:bookmarkEnd w:id="172"/>
      <w:bookmarkStart w:id="173" w:name="_Toc30192"/>
      <w:bookmarkStart w:id="174" w:name="_Toc23817"/>
      <w:bookmarkStart w:id="175" w:name="_Toc24180"/>
      <w:bookmarkStart w:id="176" w:name="_Toc22199"/>
      <w:bookmarkStart w:id="177" w:name="_Toc23317"/>
      <w:bookmarkStart w:id="178" w:name="_Toc2248"/>
      <w:bookmarkStart w:id="179" w:name="_Toc2388"/>
      <w:r>
        <w:rPr>
          <w:rFonts w:hint="eastAsia" w:ascii="宋体" w:hAnsi="宋体" w:eastAsia="宋体"/>
          <w:color w:val="auto"/>
          <w:sz w:val="28"/>
          <w:szCs w:val="28"/>
          <w:highlight w:val="none"/>
          <w:lang w:val="en-US"/>
        </w:rPr>
        <w:t>7.</w:t>
      </w:r>
      <w:r>
        <w:rPr>
          <w:rFonts w:hint="eastAsia" w:ascii="宋体" w:hAnsi="宋体" w:eastAsia="宋体"/>
          <w:color w:val="auto"/>
          <w:sz w:val="28"/>
          <w:szCs w:val="28"/>
          <w:highlight w:val="none"/>
        </w:rPr>
        <w:t>项目团队</w:t>
      </w:r>
      <w:bookmarkEnd w:id="173"/>
      <w:bookmarkEnd w:id="174"/>
      <w:bookmarkEnd w:id="175"/>
      <w:bookmarkEnd w:id="176"/>
      <w:bookmarkEnd w:id="177"/>
      <w:bookmarkEnd w:id="178"/>
      <w:bookmarkEnd w:id="179"/>
    </w:p>
    <w:p w14:paraId="1B51F4FB">
      <w:pPr>
        <w:rPr>
          <w:color w:val="auto"/>
          <w:highlight w:val="none"/>
        </w:rPr>
      </w:pPr>
    </w:p>
    <w:p w14:paraId="4E91FB40">
      <w:pPr>
        <w:pStyle w:val="6"/>
        <w:spacing w:before="9"/>
        <w:rPr>
          <w:b/>
          <w:color w:val="auto"/>
          <w:sz w:val="10"/>
          <w:highlight w:val="none"/>
        </w:rPr>
      </w:pP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7"/>
        <w:gridCol w:w="1096"/>
        <w:gridCol w:w="1319"/>
        <w:gridCol w:w="1178"/>
        <w:gridCol w:w="870"/>
        <w:gridCol w:w="945"/>
        <w:gridCol w:w="1322"/>
        <w:gridCol w:w="1031"/>
        <w:gridCol w:w="946"/>
      </w:tblGrid>
      <w:tr w14:paraId="785F2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987" w:type="dxa"/>
            <w:vAlign w:val="center"/>
          </w:tcPr>
          <w:p w14:paraId="1CBDD8EB">
            <w:pPr>
              <w:jc w:val="center"/>
              <w:rPr>
                <w:color w:val="auto"/>
                <w:highlight w:val="none"/>
              </w:rPr>
            </w:pPr>
            <w:r>
              <w:rPr>
                <w:rFonts w:hint="eastAsia"/>
                <w:color w:val="auto"/>
                <w:highlight w:val="none"/>
              </w:rPr>
              <w:t>序号</w:t>
            </w:r>
          </w:p>
        </w:tc>
        <w:tc>
          <w:tcPr>
            <w:tcW w:w="1096" w:type="dxa"/>
            <w:vAlign w:val="center"/>
          </w:tcPr>
          <w:p w14:paraId="08477D69">
            <w:pPr>
              <w:jc w:val="center"/>
              <w:rPr>
                <w:color w:val="auto"/>
                <w:highlight w:val="none"/>
              </w:rPr>
            </w:pPr>
            <w:r>
              <w:rPr>
                <w:rFonts w:hint="eastAsia"/>
                <w:color w:val="auto"/>
                <w:highlight w:val="none"/>
              </w:rPr>
              <w:t>姓名</w:t>
            </w:r>
          </w:p>
        </w:tc>
        <w:tc>
          <w:tcPr>
            <w:tcW w:w="1319" w:type="dxa"/>
            <w:vAlign w:val="center"/>
          </w:tcPr>
          <w:p w14:paraId="36BB5A5D">
            <w:pPr>
              <w:jc w:val="center"/>
              <w:rPr>
                <w:color w:val="auto"/>
                <w:highlight w:val="none"/>
              </w:rPr>
            </w:pPr>
            <w:r>
              <w:rPr>
                <w:rFonts w:hint="eastAsia"/>
                <w:color w:val="auto"/>
                <w:highlight w:val="none"/>
              </w:rPr>
              <w:t>性别</w:t>
            </w:r>
          </w:p>
        </w:tc>
        <w:tc>
          <w:tcPr>
            <w:tcW w:w="1178" w:type="dxa"/>
            <w:vAlign w:val="center"/>
          </w:tcPr>
          <w:p w14:paraId="7BD92816">
            <w:pPr>
              <w:jc w:val="center"/>
              <w:rPr>
                <w:color w:val="auto"/>
                <w:highlight w:val="none"/>
              </w:rPr>
            </w:pPr>
            <w:r>
              <w:rPr>
                <w:rFonts w:hint="eastAsia"/>
                <w:color w:val="auto"/>
                <w:highlight w:val="none"/>
              </w:rPr>
              <w:t>年龄</w:t>
            </w:r>
          </w:p>
        </w:tc>
        <w:tc>
          <w:tcPr>
            <w:tcW w:w="870" w:type="dxa"/>
            <w:vAlign w:val="center"/>
          </w:tcPr>
          <w:p w14:paraId="2D857769">
            <w:pPr>
              <w:jc w:val="center"/>
              <w:rPr>
                <w:color w:val="auto"/>
                <w:highlight w:val="none"/>
              </w:rPr>
            </w:pPr>
            <w:r>
              <w:rPr>
                <w:rFonts w:hint="eastAsia"/>
                <w:color w:val="auto"/>
                <w:highlight w:val="none"/>
              </w:rPr>
              <w:t>身高</w:t>
            </w:r>
          </w:p>
        </w:tc>
        <w:tc>
          <w:tcPr>
            <w:tcW w:w="945" w:type="dxa"/>
            <w:vAlign w:val="center"/>
          </w:tcPr>
          <w:p w14:paraId="63EEE1A3">
            <w:pPr>
              <w:jc w:val="center"/>
              <w:rPr>
                <w:color w:val="auto"/>
                <w:highlight w:val="none"/>
              </w:rPr>
            </w:pPr>
            <w:r>
              <w:rPr>
                <w:rFonts w:hint="eastAsia"/>
                <w:color w:val="auto"/>
                <w:highlight w:val="none"/>
              </w:rPr>
              <w:t>学历</w:t>
            </w:r>
          </w:p>
        </w:tc>
        <w:tc>
          <w:tcPr>
            <w:tcW w:w="1322" w:type="dxa"/>
            <w:vAlign w:val="center"/>
          </w:tcPr>
          <w:p w14:paraId="4D638CB3">
            <w:pPr>
              <w:jc w:val="center"/>
              <w:rPr>
                <w:color w:val="auto"/>
                <w:highlight w:val="none"/>
              </w:rPr>
            </w:pPr>
            <w:r>
              <w:rPr>
                <w:rFonts w:hint="eastAsia"/>
                <w:color w:val="auto"/>
                <w:highlight w:val="none"/>
              </w:rPr>
              <w:t>资格证</w:t>
            </w:r>
          </w:p>
        </w:tc>
        <w:tc>
          <w:tcPr>
            <w:tcW w:w="1031" w:type="dxa"/>
            <w:vAlign w:val="center"/>
          </w:tcPr>
          <w:p w14:paraId="663CAD90">
            <w:pPr>
              <w:jc w:val="center"/>
              <w:rPr>
                <w:color w:val="auto"/>
                <w:highlight w:val="none"/>
              </w:rPr>
            </w:pPr>
            <w:r>
              <w:rPr>
                <w:rFonts w:hint="eastAsia"/>
                <w:color w:val="auto"/>
                <w:highlight w:val="none"/>
              </w:rPr>
              <w:t>岗位</w:t>
            </w:r>
          </w:p>
        </w:tc>
        <w:tc>
          <w:tcPr>
            <w:tcW w:w="946" w:type="dxa"/>
            <w:vAlign w:val="center"/>
          </w:tcPr>
          <w:p w14:paraId="1CD6EB6F">
            <w:pPr>
              <w:jc w:val="center"/>
              <w:rPr>
                <w:color w:val="auto"/>
                <w:highlight w:val="none"/>
              </w:rPr>
            </w:pPr>
            <w:r>
              <w:rPr>
                <w:rFonts w:hint="eastAsia"/>
                <w:color w:val="auto"/>
                <w:highlight w:val="none"/>
              </w:rPr>
              <w:t>备注</w:t>
            </w:r>
          </w:p>
        </w:tc>
      </w:tr>
      <w:tr w14:paraId="528B9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987" w:type="dxa"/>
            <w:vAlign w:val="center"/>
          </w:tcPr>
          <w:p w14:paraId="0BDB5692">
            <w:pPr>
              <w:jc w:val="center"/>
              <w:rPr>
                <w:color w:val="auto"/>
                <w:highlight w:val="none"/>
              </w:rPr>
            </w:pPr>
            <w:r>
              <w:rPr>
                <w:rFonts w:hint="eastAsia"/>
                <w:color w:val="auto"/>
                <w:highlight w:val="none"/>
              </w:rPr>
              <w:t>1</w:t>
            </w:r>
          </w:p>
        </w:tc>
        <w:tc>
          <w:tcPr>
            <w:tcW w:w="1096" w:type="dxa"/>
            <w:vAlign w:val="center"/>
          </w:tcPr>
          <w:p w14:paraId="6FFEADBF">
            <w:pPr>
              <w:jc w:val="center"/>
              <w:rPr>
                <w:color w:val="auto"/>
                <w:highlight w:val="none"/>
              </w:rPr>
            </w:pPr>
          </w:p>
        </w:tc>
        <w:tc>
          <w:tcPr>
            <w:tcW w:w="1319" w:type="dxa"/>
            <w:vAlign w:val="center"/>
          </w:tcPr>
          <w:p w14:paraId="69E939E5">
            <w:pPr>
              <w:jc w:val="center"/>
              <w:rPr>
                <w:color w:val="auto"/>
                <w:highlight w:val="none"/>
              </w:rPr>
            </w:pPr>
          </w:p>
        </w:tc>
        <w:tc>
          <w:tcPr>
            <w:tcW w:w="1178" w:type="dxa"/>
            <w:vAlign w:val="center"/>
          </w:tcPr>
          <w:p w14:paraId="5AD843E9">
            <w:pPr>
              <w:jc w:val="center"/>
              <w:rPr>
                <w:color w:val="auto"/>
                <w:highlight w:val="none"/>
              </w:rPr>
            </w:pPr>
          </w:p>
        </w:tc>
        <w:tc>
          <w:tcPr>
            <w:tcW w:w="870" w:type="dxa"/>
            <w:vAlign w:val="center"/>
          </w:tcPr>
          <w:p w14:paraId="4ACBC33D">
            <w:pPr>
              <w:jc w:val="center"/>
              <w:rPr>
                <w:color w:val="auto"/>
                <w:highlight w:val="none"/>
              </w:rPr>
            </w:pPr>
          </w:p>
        </w:tc>
        <w:tc>
          <w:tcPr>
            <w:tcW w:w="945" w:type="dxa"/>
            <w:vAlign w:val="center"/>
          </w:tcPr>
          <w:p w14:paraId="0DFA1795">
            <w:pPr>
              <w:jc w:val="center"/>
              <w:rPr>
                <w:color w:val="auto"/>
                <w:highlight w:val="none"/>
              </w:rPr>
            </w:pPr>
          </w:p>
        </w:tc>
        <w:tc>
          <w:tcPr>
            <w:tcW w:w="1322" w:type="dxa"/>
            <w:vAlign w:val="center"/>
          </w:tcPr>
          <w:p w14:paraId="36F8F5A0">
            <w:pPr>
              <w:jc w:val="center"/>
              <w:rPr>
                <w:color w:val="auto"/>
                <w:highlight w:val="none"/>
              </w:rPr>
            </w:pPr>
          </w:p>
        </w:tc>
        <w:tc>
          <w:tcPr>
            <w:tcW w:w="1031" w:type="dxa"/>
            <w:vAlign w:val="center"/>
          </w:tcPr>
          <w:p w14:paraId="3BA83BFA">
            <w:pPr>
              <w:jc w:val="center"/>
              <w:rPr>
                <w:color w:val="auto"/>
                <w:highlight w:val="none"/>
              </w:rPr>
            </w:pPr>
          </w:p>
        </w:tc>
        <w:tc>
          <w:tcPr>
            <w:tcW w:w="946" w:type="dxa"/>
            <w:vAlign w:val="center"/>
          </w:tcPr>
          <w:p w14:paraId="4296E8A0">
            <w:pPr>
              <w:jc w:val="center"/>
              <w:rPr>
                <w:color w:val="auto"/>
                <w:highlight w:val="none"/>
              </w:rPr>
            </w:pPr>
          </w:p>
        </w:tc>
      </w:tr>
      <w:tr w14:paraId="5BC6E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987" w:type="dxa"/>
            <w:vAlign w:val="center"/>
          </w:tcPr>
          <w:p w14:paraId="61F7D3FC">
            <w:pPr>
              <w:jc w:val="center"/>
              <w:rPr>
                <w:color w:val="auto"/>
                <w:highlight w:val="none"/>
              </w:rPr>
            </w:pPr>
            <w:r>
              <w:rPr>
                <w:rFonts w:hint="eastAsia"/>
                <w:color w:val="auto"/>
                <w:highlight w:val="none"/>
              </w:rPr>
              <w:t>2</w:t>
            </w:r>
          </w:p>
        </w:tc>
        <w:tc>
          <w:tcPr>
            <w:tcW w:w="1096" w:type="dxa"/>
            <w:vAlign w:val="center"/>
          </w:tcPr>
          <w:p w14:paraId="71B110CE">
            <w:pPr>
              <w:jc w:val="center"/>
              <w:rPr>
                <w:color w:val="auto"/>
                <w:highlight w:val="none"/>
              </w:rPr>
            </w:pPr>
          </w:p>
        </w:tc>
        <w:tc>
          <w:tcPr>
            <w:tcW w:w="1319" w:type="dxa"/>
            <w:vAlign w:val="center"/>
          </w:tcPr>
          <w:p w14:paraId="3018067A">
            <w:pPr>
              <w:jc w:val="center"/>
              <w:rPr>
                <w:color w:val="auto"/>
                <w:highlight w:val="none"/>
              </w:rPr>
            </w:pPr>
          </w:p>
        </w:tc>
        <w:tc>
          <w:tcPr>
            <w:tcW w:w="1178" w:type="dxa"/>
            <w:vAlign w:val="center"/>
          </w:tcPr>
          <w:p w14:paraId="2493C798">
            <w:pPr>
              <w:jc w:val="center"/>
              <w:rPr>
                <w:color w:val="auto"/>
                <w:highlight w:val="none"/>
              </w:rPr>
            </w:pPr>
          </w:p>
        </w:tc>
        <w:tc>
          <w:tcPr>
            <w:tcW w:w="870" w:type="dxa"/>
            <w:vAlign w:val="center"/>
          </w:tcPr>
          <w:p w14:paraId="4D8CB5DA">
            <w:pPr>
              <w:jc w:val="center"/>
              <w:rPr>
                <w:color w:val="auto"/>
                <w:highlight w:val="none"/>
              </w:rPr>
            </w:pPr>
          </w:p>
        </w:tc>
        <w:tc>
          <w:tcPr>
            <w:tcW w:w="945" w:type="dxa"/>
            <w:vAlign w:val="center"/>
          </w:tcPr>
          <w:p w14:paraId="17936DEC">
            <w:pPr>
              <w:jc w:val="center"/>
              <w:rPr>
                <w:color w:val="auto"/>
                <w:highlight w:val="none"/>
              </w:rPr>
            </w:pPr>
          </w:p>
        </w:tc>
        <w:tc>
          <w:tcPr>
            <w:tcW w:w="1322" w:type="dxa"/>
            <w:vAlign w:val="center"/>
          </w:tcPr>
          <w:p w14:paraId="45DC9DD7">
            <w:pPr>
              <w:jc w:val="center"/>
              <w:rPr>
                <w:color w:val="auto"/>
                <w:highlight w:val="none"/>
              </w:rPr>
            </w:pPr>
          </w:p>
        </w:tc>
        <w:tc>
          <w:tcPr>
            <w:tcW w:w="1031" w:type="dxa"/>
            <w:vAlign w:val="center"/>
          </w:tcPr>
          <w:p w14:paraId="76B6220C">
            <w:pPr>
              <w:jc w:val="center"/>
              <w:rPr>
                <w:color w:val="auto"/>
                <w:highlight w:val="none"/>
              </w:rPr>
            </w:pPr>
          </w:p>
        </w:tc>
        <w:tc>
          <w:tcPr>
            <w:tcW w:w="946" w:type="dxa"/>
            <w:vAlign w:val="center"/>
          </w:tcPr>
          <w:p w14:paraId="6997955E">
            <w:pPr>
              <w:jc w:val="center"/>
              <w:rPr>
                <w:color w:val="auto"/>
                <w:highlight w:val="none"/>
              </w:rPr>
            </w:pPr>
          </w:p>
        </w:tc>
      </w:tr>
      <w:tr w14:paraId="45599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987" w:type="dxa"/>
            <w:vAlign w:val="center"/>
          </w:tcPr>
          <w:p w14:paraId="50B7A06A">
            <w:pPr>
              <w:jc w:val="center"/>
              <w:rPr>
                <w:color w:val="auto"/>
                <w:highlight w:val="none"/>
              </w:rPr>
            </w:pPr>
            <w:r>
              <w:rPr>
                <w:rFonts w:hint="eastAsia"/>
                <w:color w:val="auto"/>
                <w:highlight w:val="none"/>
              </w:rPr>
              <w:t>3</w:t>
            </w:r>
          </w:p>
        </w:tc>
        <w:tc>
          <w:tcPr>
            <w:tcW w:w="1096" w:type="dxa"/>
            <w:vAlign w:val="center"/>
          </w:tcPr>
          <w:p w14:paraId="215F3807">
            <w:pPr>
              <w:jc w:val="center"/>
              <w:rPr>
                <w:color w:val="auto"/>
                <w:highlight w:val="none"/>
              </w:rPr>
            </w:pPr>
          </w:p>
        </w:tc>
        <w:tc>
          <w:tcPr>
            <w:tcW w:w="1319" w:type="dxa"/>
            <w:vAlign w:val="center"/>
          </w:tcPr>
          <w:p w14:paraId="76B97BE0">
            <w:pPr>
              <w:jc w:val="center"/>
              <w:rPr>
                <w:color w:val="auto"/>
                <w:highlight w:val="none"/>
              </w:rPr>
            </w:pPr>
          </w:p>
        </w:tc>
        <w:tc>
          <w:tcPr>
            <w:tcW w:w="1178" w:type="dxa"/>
            <w:vAlign w:val="center"/>
          </w:tcPr>
          <w:p w14:paraId="4A9F6DE9">
            <w:pPr>
              <w:jc w:val="center"/>
              <w:rPr>
                <w:color w:val="auto"/>
                <w:highlight w:val="none"/>
              </w:rPr>
            </w:pPr>
          </w:p>
        </w:tc>
        <w:tc>
          <w:tcPr>
            <w:tcW w:w="870" w:type="dxa"/>
            <w:vAlign w:val="center"/>
          </w:tcPr>
          <w:p w14:paraId="7817BEC9">
            <w:pPr>
              <w:jc w:val="center"/>
              <w:rPr>
                <w:color w:val="auto"/>
                <w:highlight w:val="none"/>
              </w:rPr>
            </w:pPr>
          </w:p>
        </w:tc>
        <w:tc>
          <w:tcPr>
            <w:tcW w:w="945" w:type="dxa"/>
            <w:vAlign w:val="center"/>
          </w:tcPr>
          <w:p w14:paraId="5EFABAA6">
            <w:pPr>
              <w:jc w:val="center"/>
              <w:rPr>
                <w:color w:val="auto"/>
                <w:highlight w:val="none"/>
              </w:rPr>
            </w:pPr>
          </w:p>
        </w:tc>
        <w:tc>
          <w:tcPr>
            <w:tcW w:w="1322" w:type="dxa"/>
            <w:vAlign w:val="center"/>
          </w:tcPr>
          <w:p w14:paraId="0534ADBE">
            <w:pPr>
              <w:jc w:val="center"/>
              <w:rPr>
                <w:color w:val="auto"/>
                <w:highlight w:val="none"/>
              </w:rPr>
            </w:pPr>
          </w:p>
        </w:tc>
        <w:tc>
          <w:tcPr>
            <w:tcW w:w="1031" w:type="dxa"/>
            <w:vAlign w:val="center"/>
          </w:tcPr>
          <w:p w14:paraId="28E79932">
            <w:pPr>
              <w:jc w:val="center"/>
              <w:rPr>
                <w:color w:val="auto"/>
                <w:highlight w:val="none"/>
              </w:rPr>
            </w:pPr>
          </w:p>
        </w:tc>
        <w:tc>
          <w:tcPr>
            <w:tcW w:w="946" w:type="dxa"/>
            <w:vAlign w:val="center"/>
          </w:tcPr>
          <w:p w14:paraId="78F80CD7">
            <w:pPr>
              <w:jc w:val="center"/>
              <w:rPr>
                <w:color w:val="auto"/>
                <w:highlight w:val="none"/>
              </w:rPr>
            </w:pPr>
          </w:p>
        </w:tc>
      </w:tr>
      <w:tr w14:paraId="74C4C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987" w:type="dxa"/>
            <w:vAlign w:val="center"/>
          </w:tcPr>
          <w:p w14:paraId="1EFB5EB1">
            <w:pPr>
              <w:jc w:val="center"/>
              <w:rPr>
                <w:color w:val="auto"/>
                <w:highlight w:val="none"/>
              </w:rPr>
            </w:pPr>
            <w:r>
              <w:rPr>
                <w:rFonts w:hint="eastAsia"/>
                <w:color w:val="auto"/>
                <w:highlight w:val="none"/>
              </w:rPr>
              <w:t>4</w:t>
            </w:r>
          </w:p>
        </w:tc>
        <w:tc>
          <w:tcPr>
            <w:tcW w:w="1096" w:type="dxa"/>
            <w:vAlign w:val="center"/>
          </w:tcPr>
          <w:p w14:paraId="058DD4D0">
            <w:pPr>
              <w:jc w:val="center"/>
              <w:rPr>
                <w:color w:val="auto"/>
                <w:highlight w:val="none"/>
              </w:rPr>
            </w:pPr>
          </w:p>
        </w:tc>
        <w:tc>
          <w:tcPr>
            <w:tcW w:w="1319" w:type="dxa"/>
            <w:vAlign w:val="center"/>
          </w:tcPr>
          <w:p w14:paraId="2CE5F290">
            <w:pPr>
              <w:jc w:val="center"/>
              <w:rPr>
                <w:color w:val="auto"/>
                <w:highlight w:val="none"/>
              </w:rPr>
            </w:pPr>
          </w:p>
        </w:tc>
        <w:tc>
          <w:tcPr>
            <w:tcW w:w="1178" w:type="dxa"/>
            <w:vAlign w:val="center"/>
          </w:tcPr>
          <w:p w14:paraId="28652447">
            <w:pPr>
              <w:jc w:val="center"/>
              <w:rPr>
                <w:color w:val="auto"/>
                <w:highlight w:val="none"/>
              </w:rPr>
            </w:pPr>
          </w:p>
        </w:tc>
        <w:tc>
          <w:tcPr>
            <w:tcW w:w="870" w:type="dxa"/>
            <w:vAlign w:val="center"/>
          </w:tcPr>
          <w:p w14:paraId="490F8097">
            <w:pPr>
              <w:jc w:val="center"/>
              <w:rPr>
                <w:color w:val="auto"/>
                <w:highlight w:val="none"/>
              </w:rPr>
            </w:pPr>
          </w:p>
        </w:tc>
        <w:tc>
          <w:tcPr>
            <w:tcW w:w="945" w:type="dxa"/>
            <w:vAlign w:val="center"/>
          </w:tcPr>
          <w:p w14:paraId="2861A6E3">
            <w:pPr>
              <w:jc w:val="center"/>
              <w:rPr>
                <w:color w:val="auto"/>
                <w:highlight w:val="none"/>
              </w:rPr>
            </w:pPr>
          </w:p>
        </w:tc>
        <w:tc>
          <w:tcPr>
            <w:tcW w:w="1322" w:type="dxa"/>
            <w:vAlign w:val="center"/>
          </w:tcPr>
          <w:p w14:paraId="5EBF6750">
            <w:pPr>
              <w:jc w:val="center"/>
              <w:rPr>
                <w:color w:val="auto"/>
                <w:highlight w:val="none"/>
              </w:rPr>
            </w:pPr>
          </w:p>
        </w:tc>
        <w:tc>
          <w:tcPr>
            <w:tcW w:w="1031" w:type="dxa"/>
            <w:vAlign w:val="center"/>
          </w:tcPr>
          <w:p w14:paraId="55BAB9F4">
            <w:pPr>
              <w:jc w:val="center"/>
              <w:rPr>
                <w:color w:val="auto"/>
                <w:highlight w:val="none"/>
              </w:rPr>
            </w:pPr>
          </w:p>
        </w:tc>
        <w:tc>
          <w:tcPr>
            <w:tcW w:w="946" w:type="dxa"/>
            <w:vAlign w:val="center"/>
          </w:tcPr>
          <w:p w14:paraId="5D3BD073">
            <w:pPr>
              <w:jc w:val="center"/>
              <w:rPr>
                <w:color w:val="auto"/>
                <w:highlight w:val="none"/>
              </w:rPr>
            </w:pPr>
          </w:p>
        </w:tc>
      </w:tr>
      <w:tr w14:paraId="25C3C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987" w:type="dxa"/>
            <w:vAlign w:val="center"/>
          </w:tcPr>
          <w:p w14:paraId="314A6B15">
            <w:pPr>
              <w:jc w:val="center"/>
              <w:rPr>
                <w:color w:val="auto"/>
                <w:highlight w:val="none"/>
              </w:rPr>
            </w:pPr>
            <w:r>
              <w:rPr>
                <w:rFonts w:hint="eastAsia"/>
                <w:color w:val="auto"/>
                <w:highlight w:val="none"/>
              </w:rPr>
              <w:t>5</w:t>
            </w:r>
          </w:p>
        </w:tc>
        <w:tc>
          <w:tcPr>
            <w:tcW w:w="1096" w:type="dxa"/>
            <w:vAlign w:val="center"/>
          </w:tcPr>
          <w:p w14:paraId="4F4A38AD">
            <w:pPr>
              <w:jc w:val="center"/>
              <w:rPr>
                <w:color w:val="auto"/>
                <w:highlight w:val="none"/>
              </w:rPr>
            </w:pPr>
          </w:p>
        </w:tc>
        <w:tc>
          <w:tcPr>
            <w:tcW w:w="1319" w:type="dxa"/>
            <w:vAlign w:val="center"/>
          </w:tcPr>
          <w:p w14:paraId="358B9B0C">
            <w:pPr>
              <w:jc w:val="center"/>
              <w:rPr>
                <w:color w:val="auto"/>
                <w:highlight w:val="none"/>
              </w:rPr>
            </w:pPr>
          </w:p>
        </w:tc>
        <w:tc>
          <w:tcPr>
            <w:tcW w:w="1178" w:type="dxa"/>
            <w:vAlign w:val="center"/>
          </w:tcPr>
          <w:p w14:paraId="6F8DF4C8">
            <w:pPr>
              <w:jc w:val="center"/>
              <w:rPr>
                <w:color w:val="auto"/>
                <w:highlight w:val="none"/>
              </w:rPr>
            </w:pPr>
          </w:p>
        </w:tc>
        <w:tc>
          <w:tcPr>
            <w:tcW w:w="870" w:type="dxa"/>
            <w:vAlign w:val="center"/>
          </w:tcPr>
          <w:p w14:paraId="710AEFB9">
            <w:pPr>
              <w:jc w:val="center"/>
              <w:rPr>
                <w:color w:val="auto"/>
                <w:highlight w:val="none"/>
              </w:rPr>
            </w:pPr>
          </w:p>
        </w:tc>
        <w:tc>
          <w:tcPr>
            <w:tcW w:w="945" w:type="dxa"/>
            <w:vAlign w:val="center"/>
          </w:tcPr>
          <w:p w14:paraId="0107FB3E">
            <w:pPr>
              <w:jc w:val="center"/>
              <w:rPr>
                <w:color w:val="auto"/>
                <w:highlight w:val="none"/>
              </w:rPr>
            </w:pPr>
          </w:p>
        </w:tc>
        <w:tc>
          <w:tcPr>
            <w:tcW w:w="1322" w:type="dxa"/>
            <w:vAlign w:val="center"/>
          </w:tcPr>
          <w:p w14:paraId="66E52A92">
            <w:pPr>
              <w:jc w:val="center"/>
              <w:rPr>
                <w:color w:val="auto"/>
                <w:highlight w:val="none"/>
              </w:rPr>
            </w:pPr>
          </w:p>
        </w:tc>
        <w:tc>
          <w:tcPr>
            <w:tcW w:w="1031" w:type="dxa"/>
            <w:vAlign w:val="center"/>
          </w:tcPr>
          <w:p w14:paraId="4403E89D">
            <w:pPr>
              <w:jc w:val="center"/>
              <w:rPr>
                <w:color w:val="auto"/>
                <w:highlight w:val="none"/>
              </w:rPr>
            </w:pPr>
          </w:p>
        </w:tc>
        <w:tc>
          <w:tcPr>
            <w:tcW w:w="946" w:type="dxa"/>
            <w:vAlign w:val="center"/>
          </w:tcPr>
          <w:p w14:paraId="22ED652C">
            <w:pPr>
              <w:jc w:val="center"/>
              <w:rPr>
                <w:color w:val="auto"/>
                <w:highlight w:val="none"/>
              </w:rPr>
            </w:pPr>
          </w:p>
        </w:tc>
      </w:tr>
      <w:tr w14:paraId="37352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987" w:type="dxa"/>
            <w:vAlign w:val="center"/>
          </w:tcPr>
          <w:p w14:paraId="63F72E1C">
            <w:pPr>
              <w:jc w:val="center"/>
              <w:rPr>
                <w:color w:val="auto"/>
                <w:highlight w:val="none"/>
              </w:rPr>
            </w:pPr>
            <w:r>
              <w:rPr>
                <w:rFonts w:hint="eastAsia"/>
                <w:color w:val="auto"/>
                <w:highlight w:val="none"/>
              </w:rPr>
              <w:t>6</w:t>
            </w:r>
          </w:p>
        </w:tc>
        <w:tc>
          <w:tcPr>
            <w:tcW w:w="1096" w:type="dxa"/>
            <w:vAlign w:val="center"/>
          </w:tcPr>
          <w:p w14:paraId="60D9996E">
            <w:pPr>
              <w:jc w:val="center"/>
              <w:rPr>
                <w:color w:val="auto"/>
                <w:highlight w:val="none"/>
              </w:rPr>
            </w:pPr>
          </w:p>
        </w:tc>
        <w:tc>
          <w:tcPr>
            <w:tcW w:w="1319" w:type="dxa"/>
            <w:vAlign w:val="center"/>
          </w:tcPr>
          <w:p w14:paraId="7BCA3556">
            <w:pPr>
              <w:jc w:val="center"/>
              <w:rPr>
                <w:color w:val="auto"/>
                <w:highlight w:val="none"/>
              </w:rPr>
            </w:pPr>
          </w:p>
        </w:tc>
        <w:tc>
          <w:tcPr>
            <w:tcW w:w="1178" w:type="dxa"/>
            <w:vAlign w:val="center"/>
          </w:tcPr>
          <w:p w14:paraId="77E424E7">
            <w:pPr>
              <w:jc w:val="center"/>
              <w:rPr>
                <w:color w:val="auto"/>
                <w:highlight w:val="none"/>
              </w:rPr>
            </w:pPr>
          </w:p>
        </w:tc>
        <w:tc>
          <w:tcPr>
            <w:tcW w:w="870" w:type="dxa"/>
            <w:vAlign w:val="center"/>
          </w:tcPr>
          <w:p w14:paraId="57B526FB">
            <w:pPr>
              <w:jc w:val="center"/>
              <w:rPr>
                <w:color w:val="auto"/>
                <w:highlight w:val="none"/>
              </w:rPr>
            </w:pPr>
          </w:p>
        </w:tc>
        <w:tc>
          <w:tcPr>
            <w:tcW w:w="945" w:type="dxa"/>
            <w:vAlign w:val="center"/>
          </w:tcPr>
          <w:p w14:paraId="07472AE4">
            <w:pPr>
              <w:jc w:val="center"/>
              <w:rPr>
                <w:color w:val="auto"/>
                <w:highlight w:val="none"/>
              </w:rPr>
            </w:pPr>
          </w:p>
        </w:tc>
        <w:tc>
          <w:tcPr>
            <w:tcW w:w="1322" w:type="dxa"/>
            <w:vAlign w:val="center"/>
          </w:tcPr>
          <w:p w14:paraId="6B7D37AE">
            <w:pPr>
              <w:jc w:val="center"/>
              <w:rPr>
                <w:color w:val="auto"/>
                <w:highlight w:val="none"/>
              </w:rPr>
            </w:pPr>
          </w:p>
        </w:tc>
        <w:tc>
          <w:tcPr>
            <w:tcW w:w="1031" w:type="dxa"/>
            <w:vAlign w:val="center"/>
          </w:tcPr>
          <w:p w14:paraId="72E14838">
            <w:pPr>
              <w:jc w:val="center"/>
              <w:rPr>
                <w:color w:val="auto"/>
                <w:highlight w:val="none"/>
              </w:rPr>
            </w:pPr>
          </w:p>
        </w:tc>
        <w:tc>
          <w:tcPr>
            <w:tcW w:w="946" w:type="dxa"/>
            <w:vAlign w:val="center"/>
          </w:tcPr>
          <w:p w14:paraId="44BD2FF7">
            <w:pPr>
              <w:jc w:val="center"/>
              <w:rPr>
                <w:color w:val="auto"/>
                <w:highlight w:val="none"/>
              </w:rPr>
            </w:pPr>
          </w:p>
        </w:tc>
      </w:tr>
      <w:tr w14:paraId="10475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987" w:type="dxa"/>
            <w:vAlign w:val="center"/>
          </w:tcPr>
          <w:p w14:paraId="5CC1C853">
            <w:pPr>
              <w:jc w:val="center"/>
              <w:rPr>
                <w:color w:val="auto"/>
                <w:highlight w:val="none"/>
              </w:rPr>
            </w:pPr>
            <w:r>
              <w:rPr>
                <w:rFonts w:hint="eastAsia"/>
                <w:color w:val="auto"/>
                <w:highlight w:val="none"/>
              </w:rPr>
              <w:t>···</w:t>
            </w:r>
          </w:p>
        </w:tc>
        <w:tc>
          <w:tcPr>
            <w:tcW w:w="1096" w:type="dxa"/>
            <w:vAlign w:val="center"/>
          </w:tcPr>
          <w:p w14:paraId="6A3BE861">
            <w:pPr>
              <w:jc w:val="center"/>
              <w:rPr>
                <w:color w:val="auto"/>
                <w:highlight w:val="none"/>
              </w:rPr>
            </w:pPr>
          </w:p>
        </w:tc>
        <w:tc>
          <w:tcPr>
            <w:tcW w:w="1319" w:type="dxa"/>
            <w:vAlign w:val="center"/>
          </w:tcPr>
          <w:p w14:paraId="034BCECB">
            <w:pPr>
              <w:jc w:val="center"/>
              <w:rPr>
                <w:color w:val="auto"/>
                <w:highlight w:val="none"/>
              </w:rPr>
            </w:pPr>
          </w:p>
        </w:tc>
        <w:tc>
          <w:tcPr>
            <w:tcW w:w="1178" w:type="dxa"/>
            <w:vAlign w:val="center"/>
          </w:tcPr>
          <w:p w14:paraId="569420E9">
            <w:pPr>
              <w:jc w:val="center"/>
              <w:rPr>
                <w:color w:val="auto"/>
                <w:highlight w:val="none"/>
              </w:rPr>
            </w:pPr>
          </w:p>
        </w:tc>
        <w:tc>
          <w:tcPr>
            <w:tcW w:w="870" w:type="dxa"/>
            <w:vAlign w:val="center"/>
          </w:tcPr>
          <w:p w14:paraId="3EAF6B27">
            <w:pPr>
              <w:jc w:val="center"/>
              <w:rPr>
                <w:color w:val="auto"/>
                <w:highlight w:val="none"/>
              </w:rPr>
            </w:pPr>
          </w:p>
        </w:tc>
        <w:tc>
          <w:tcPr>
            <w:tcW w:w="945" w:type="dxa"/>
            <w:vAlign w:val="center"/>
          </w:tcPr>
          <w:p w14:paraId="0D30A2B8">
            <w:pPr>
              <w:jc w:val="center"/>
              <w:rPr>
                <w:color w:val="auto"/>
                <w:highlight w:val="none"/>
              </w:rPr>
            </w:pPr>
          </w:p>
        </w:tc>
        <w:tc>
          <w:tcPr>
            <w:tcW w:w="1322" w:type="dxa"/>
            <w:vAlign w:val="center"/>
          </w:tcPr>
          <w:p w14:paraId="4FE1E54E">
            <w:pPr>
              <w:jc w:val="center"/>
              <w:rPr>
                <w:color w:val="auto"/>
                <w:highlight w:val="none"/>
              </w:rPr>
            </w:pPr>
          </w:p>
        </w:tc>
        <w:tc>
          <w:tcPr>
            <w:tcW w:w="1031" w:type="dxa"/>
            <w:vAlign w:val="center"/>
          </w:tcPr>
          <w:p w14:paraId="3A502A7C">
            <w:pPr>
              <w:jc w:val="center"/>
              <w:rPr>
                <w:color w:val="auto"/>
                <w:highlight w:val="none"/>
              </w:rPr>
            </w:pPr>
          </w:p>
        </w:tc>
        <w:tc>
          <w:tcPr>
            <w:tcW w:w="946" w:type="dxa"/>
            <w:vAlign w:val="center"/>
          </w:tcPr>
          <w:p w14:paraId="08B29DCB">
            <w:pPr>
              <w:jc w:val="center"/>
              <w:rPr>
                <w:color w:val="auto"/>
                <w:highlight w:val="none"/>
              </w:rPr>
            </w:pPr>
          </w:p>
        </w:tc>
      </w:tr>
    </w:tbl>
    <w:p w14:paraId="58740454">
      <w:pPr>
        <w:spacing w:before="100" w:line="360" w:lineRule="auto"/>
        <w:ind w:left="11" w:right="255" w:firstLine="420" w:firstLineChars="200"/>
        <w:jc w:val="both"/>
        <w:rPr>
          <w:bCs/>
          <w:color w:val="auto"/>
          <w:sz w:val="21"/>
          <w:szCs w:val="21"/>
          <w:highlight w:val="none"/>
        </w:rPr>
      </w:pPr>
    </w:p>
    <w:p w14:paraId="1B4F6E26">
      <w:pPr>
        <w:rPr>
          <w:color w:val="auto"/>
          <w:sz w:val="21"/>
          <w:highlight w:val="none"/>
        </w:rPr>
      </w:pPr>
      <w:r>
        <w:rPr>
          <w:color w:val="auto"/>
          <w:sz w:val="21"/>
          <w:highlight w:val="none"/>
        </w:rPr>
        <w:br w:type="page"/>
      </w:r>
    </w:p>
    <w:p w14:paraId="417E8541">
      <w:pPr>
        <w:pStyle w:val="3"/>
        <w:spacing w:line="240" w:lineRule="auto"/>
        <w:jc w:val="center"/>
        <w:rPr>
          <w:rFonts w:ascii="宋体" w:hAnsi="宋体" w:eastAsia="宋体"/>
          <w:color w:val="auto"/>
          <w:sz w:val="28"/>
          <w:szCs w:val="28"/>
          <w:highlight w:val="none"/>
          <w:lang w:val="en-US"/>
        </w:rPr>
      </w:pPr>
      <w:bookmarkStart w:id="180" w:name="_bookmark31"/>
      <w:bookmarkEnd w:id="180"/>
      <w:bookmarkStart w:id="181" w:name="9.其他资料"/>
      <w:bookmarkEnd w:id="181"/>
      <w:bookmarkStart w:id="182" w:name="第七章附件"/>
      <w:bookmarkEnd w:id="182"/>
      <w:bookmarkStart w:id="183" w:name="_Toc30978"/>
      <w:bookmarkStart w:id="184" w:name="_Toc10806"/>
      <w:bookmarkStart w:id="185" w:name="_Toc3977"/>
      <w:bookmarkStart w:id="186" w:name="_Toc5323"/>
      <w:bookmarkStart w:id="187" w:name="_Toc4478"/>
      <w:bookmarkStart w:id="188" w:name="_Toc31555"/>
      <w:bookmarkStart w:id="189" w:name="_Toc20840"/>
      <w:r>
        <w:rPr>
          <w:rFonts w:hint="eastAsia" w:ascii="宋体" w:hAnsi="宋体" w:eastAsia="宋体"/>
          <w:color w:val="auto"/>
          <w:sz w:val="28"/>
          <w:szCs w:val="28"/>
          <w:highlight w:val="none"/>
          <w:lang w:val="en-US"/>
        </w:rPr>
        <w:t>8.声明函</w:t>
      </w:r>
      <w:bookmarkEnd w:id="183"/>
      <w:bookmarkEnd w:id="184"/>
      <w:bookmarkEnd w:id="185"/>
      <w:bookmarkEnd w:id="186"/>
      <w:bookmarkEnd w:id="187"/>
      <w:bookmarkEnd w:id="188"/>
      <w:bookmarkEnd w:id="189"/>
    </w:p>
    <w:p w14:paraId="750860B4">
      <w:pPr>
        <w:jc w:val="center"/>
        <w:rPr>
          <w:color w:val="auto"/>
          <w:highlight w:val="none"/>
        </w:rPr>
      </w:pPr>
      <w:r>
        <w:rPr>
          <w:rFonts w:hint="eastAsia"/>
          <w:color w:val="auto"/>
          <w:highlight w:val="none"/>
        </w:rPr>
        <w:t>（属于中小微企业的填写，不属于的无需填写此项内容）</w:t>
      </w:r>
    </w:p>
    <w:p w14:paraId="51C0E292">
      <w:pPr>
        <w:pStyle w:val="6"/>
        <w:ind w:left="140"/>
        <w:jc w:val="center"/>
        <w:rPr>
          <w:color w:val="auto"/>
          <w:highlight w:val="none"/>
        </w:rPr>
      </w:pPr>
    </w:p>
    <w:p w14:paraId="6867DFF2">
      <w:pPr>
        <w:rPr>
          <w:color w:val="auto"/>
          <w:highlight w:val="none"/>
          <w:lang w:val="en-US"/>
        </w:rPr>
      </w:pPr>
    </w:p>
    <w:p w14:paraId="17F319C8">
      <w:pPr>
        <w:pStyle w:val="3"/>
        <w:spacing w:line="240" w:lineRule="auto"/>
        <w:jc w:val="center"/>
        <w:rPr>
          <w:rFonts w:ascii="宋体" w:hAnsi="宋体" w:eastAsia="宋体"/>
          <w:color w:val="auto"/>
          <w:sz w:val="24"/>
          <w:szCs w:val="24"/>
          <w:highlight w:val="none"/>
        </w:rPr>
      </w:pPr>
      <w:bookmarkStart w:id="190" w:name="_Toc23829"/>
      <w:bookmarkStart w:id="191" w:name="_Toc31483"/>
      <w:bookmarkStart w:id="192" w:name="_Toc14512"/>
      <w:bookmarkStart w:id="193" w:name="_Toc22713"/>
      <w:bookmarkStart w:id="194" w:name="_Toc6397"/>
      <w:bookmarkStart w:id="195" w:name="_Toc27678"/>
      <w:bookmarkStart w:id="196" w:name="_Toc19014"/>
      <w:bookmarkStart w:id="197" w:name="_Toc596"/>
      <w:r>
        <w:rPr>
          <w:rFonts w:hint="eastAsia" w:ascii="宋体" w:hAnsi="宋体" w:eastAsia="宋体"/>
          <w:color w:val="auto"/>
          <w:sz w:val="24"/>
          <w:szCs w:val="24"/>
          <w:highlight w:val="none"/>
          <w:lang w:val="en-US"/>
        </w:rPr>
        <w:t>8.1</w:t>
      </w:r>
      <w:r>
        <w:rPr>
          <w:rFonts w:hint="eastAsia" w:ascii="宋体" w:hAnsi="宋体" w:eastAsia="宋体"/>
          <w:color w:val="auto"/>
          <w:sz w:val="24"/>
          <w:szCs w:val="24"/>
          <w:highlight w:val="none"/>
        </w:rPr>
        <w:t>中小微企业声明函（货物）</w:t>
      </w:r>
      <w:bookmarkEnd w:id="190"/>
      <w:bookmarkEnd w:id="191"/>
      <w:bookmarkEnd w:id="192"/>
      <w:bookmarkEnd w:id="193"/>
      <w:bookmarkEnd w:id="194"/>
      <w:bookmarkEnd w:id="195"/>
      <w:bookmarkEnd w:id="196"/>
      <w:bookmarkEnd w:id="197"/>
    </w:p>
    <w:p w14:paraId="44C330BB">
      <w:pPr>
        <w:pStyle w:val="6"/>
        <w:ind w:left="140"/>
        <w:jc w:val="center"/>
        <w:rPr>
          <w:color w:val="auto"/>
          <w:highlight w:val="none"/>
        </w:rPr>
      </w:pPr>
    </w:p>
    <w:p w14:paraId="3A5A1ECE">
      <w:pPr>
        <w:spacing w:line="360" w:lineRule="auto"/>
        <w:ind w:firstLine="440" w:firstLineChars="200"/>
        <w:rPr>
          <w:color w:val="auto"/>
          <w:highlight w:val="none"/>
        </w:rPr>
      </w:pPr>
      <w:r>
        <w:rPr>
          <w:rFonts w:hint="eastAsia"/>
          <w:color w:val="auto"/>
          <w:highlight w:val="none"/>
        </w:rPr>
        <w:t>本公司（联合体）郑重声明，根据《政府采购促进中小企业发展管理办法》（财库﹝2020﹞46 号）的规定，本公司（联合体）参加</w:t>
      </w:r>
      <w:r>
        <w:rPr>
          <w:rFonts w:hint="eastAsia"/>
          <w:color w:val="auto"/>
          <w:highlight w:val="none"/>
          <w:u w:val="single"/>
        </w:rPr>
        <w:t>（单位名称）</w:t>
      </w:r>
      <w:r>
        <w:rPr>
          <w:rFonts w:hint="eastAsia"/>
          <w:color w:val="auto"/>
          <w:highlight w:val="none"/>
        </w:rPr>
        <w:t>的</w:t>
      </w:r>
      <w:r>
        <w:rPr>
          <w:rFonts w:hint="eastAsia"/>
          <w:color w:val="auto"/>
          <w:highlight w:val="none"/>
          <w:u w:val="single"/>
        </w:rPr>
        <w:t>（项目名称）</w:t>
      </w:r>
      <w:r>
        <w:rPr>
          <w:rFonts w:hint="eastAsia"/>
          <w:color w:val="auto"/>
          <w:highlight w:val="none"/>
        </w:rPr>
        <w:t>采购活动，提供的货物全部由符合政策要求的中小企业制造。相关企业（含联合体中的中小企业、签订分包意向协议的中小企业）的具体情况如下：</w:t>
      </w:r>
    </w:p>
    <w:p w14:paraId="6E47D763">
      <w:pPr>
        <w:spacing w:line="360" w:lineRule="auto"/>
        <w:ind w:firstLine="440" w:firstLineChars="200"/>
        <w:rPr>
          <w:color w:val="auto"/>
          <w:highlight w:val="none"/>
        </w:rPr>
      </w:pPr>
      <w:r>
        <w:rPr>
          <w:rFonts w:hint="eastAsia"/>
          <w:color w:val="auto"/>
          <w:highlight w:val="none"/>
        </w:rPr>
        <w:t>1.</w:t>
      </w:r>
      <w:r>
        <w:rPr>
          <w:rFonts w:hint="eastAsia"/>
          <w:color w:val="auto"/>
          <w:highlight w:val="none"/>
          <w:u w:val="single"/>
        </w:rPr>
        <w:t>（标的名称）</w:t>
      </w:r>
      <w:r>
        <w:rPr>
          <w:rFonts w:hint="eastAsia"/>
          <w:color w:val="auto"/>
          <w:highlight w:val="none"/>
        </w:rPr>
        <w:t xml:space="preserve"> ，属于</w:t>
      </w:r>
      <w:r>
        <w:rPr>
          <w:rFonts w:hint="eastAsia"/>
          <w:color w:val="auto"/>
          <w:highlight w:val="none"/>
          <w:u w:val="single"/>
        </w:rPr>
        <w:t>（采购文件中明确的所属行业）</w:t>
      </w:r>
      <w:r>
        <w:rPr>
          <w:rFonts w:hint="eastAsia"/>
          <w:color w:val="auto"/>
          <w:highlight w:val="none"/>
        </w:rPr>
        <w:t>行业；制造商为</w:t>
      </w:r>
      <w:r>
        <w:rPr>
          <w:rFonts w:hint="eastAsia"/>
          <w:color w:val="auto"/>
          <w:highlight w:val="none"/>
          <w:u w:val="single"/>
        </w:rPr>
        <w:t>（企业名称）</w:t>
      </w:r>
      <w:r>
        <w:rPr>
          <w:rFonts w:hint="eastAsia"/>
          <w:color w:val="auto"/>
          <w:highlight w:val="none"/>
        </w:rPr>
        <w:t>，从业人员人， 营业收入为</w:t>
      </w:r>
      <w:r>
        <w:rPr>
          <w:rFonts w:hint="eastAsia"/>
          <w:color w:val="auto"/>
          <w:highlight w:val="none"/>
          <w:u w:val="single"/>
        </w:rPr>
        <w:tab/>
      </w:r>
      <w:r>
        <w:rPr>
          <w:rFonts w:hint="eastAsia"/>
          <w:color w:val="auto"/>
          <w:highlight w:val="none"/>
        </w:rPr>
        <w:t>万元，资产总额为</w:t>
      </w:r>
      <w:r>
        <w:rPr>
          <w:rFonts w:hint="eastAsia"/>
          <w:color w:val="auto"/>
          <w:highlight w:val="none"/>
          <w:u w:val="single"/>
        </w:rPr>
        <w:tab/>
      </w:r>
      <w:r>
        <w:rPr>
          <w:rFonts w:hint="eastAsia"/>
          <w:color w:val="auto"/>
          <w:highlight w:val="none"/>
        </w:rPr>
        <w:t>万元，属于</w:t>
      </w:r>
      <w:r>
        <w:rPr>
          <w:rFonts w:hint="eastAsia"/>
          <w:color w:val="auto"/>
          <w:highlight w:val="none"/>
          <w:u w:val="single"/>
        </w:rPr>
        <w:t>（中型企业、小型企业、微型企业）</w:t>
      </w:r>
      <w:r>
        <w:rPr>
          <w:rFonts w:hint="eastAsia"/>
          <w:color w:val="auto"/>
          <w:highlight w:val="none"/>
        </w:rPr>
        <w:t>；</w:t>
      </w:r>
    </w:p>
    <w:p w14:paraId="57BEE2C4">
      <w:pPr>
        <w:spacing w:line="360" w:lineRule="auto"/>
        <w:ind w:firstLine="440" w:firstLineChars="200"/>
        <w:rPr>
          <w:color w:val="auto"/>
          <w:highlight w:val="none"/>
        </w:rPr>
      </w:pPr>
      <w:r>
        <w:rPr>
          <w:rFonts w:hint="eastAsia"/>
          <w:color w:val="auto"/>
          <w:highlight w:val="none"/>
        </w:rPr>
        <w:t>2.</w:t>
      </w:r>
      <w:r>
        <w:rPr>
          <w:rFonts w:hint="eastAsia"/>
          <w:color w:val="auto"/>
          <w:highlight w:val="none"/>
          <w:u w:val="single"/>
        </w:rPr>
        <w:t>（标的名称）</w:t>
      </w:r>
      <w:r>
        <w:rPr>
          <w:rFonts w:hint="eastAsia"/>
          <w:color w:val="auto"/>
          <w:highlight w:val="none"/>
        </w:rPr>
        <w:t xml:space="preserve"> ，属于</w:t>
      </w:r>
      <w:r>
        <w:rPr>
          <w:rFonts w:hint="eastAsia"/>
          <w:color w:val="auto"/>
          <w:highlight w:val="none"/>
          <w:u w:val="single"/>
        </w:rPr>
        <w:t>（采购文件中明确的所属行业）</w:t>
      </w:r>
      <w:r>
        <w:rPr>
          <w:rFonts w:hint="eastAsia"/>
          <w:color w:val="auto"/>
          <w:highlight w:val="none"/>
        </w:rPr>
        <w:t>行业；制造商为</w:t>
      </w:r>
      <w:r>
        <w:rPr>
          <w:rFonts w:hint="eastAsia"/>
          <w:color w:val="auto"/>
          <w:highlight w:val="none"/>
          <w:u w:val="single"/>
        </w:rPr>
        <w:t>（企业名称）</w:t>
      </w:r>
      <w:r>
        <w:rPr>
          <w:rFonts w:hint="eastAsia"/>
          <w:color w:val="auto"/>
          <w:highlight w:val="none"/>
        </w:rPr>
        <w:t>，从业人员人， 营业收入为</w:t>
      </w:r>
      <w:r>
        <w:rPr>
          <w:rFonts w:hint="eastAsia"/>
          <w:color w:val="auto"/>
          <w:highlight w:val="none"/>
          <w:u w:val="single"/>
        </w:rPr>
        <w:tab/>
      </w:r>
      <w:r>
        <w:rPr>
          <w:rFonts w:hint="eastAsia"/>
          <w:color w:val="auto"/>
          <w:highlight w:val="none"/>
        </w:rPr>
        <w:t>万元，资产总额为</w:t>
      </w:r>
      <w:r>
        <w:rPr>
          <w:rFonts w:hint="eastAsia"/>
          <w:color w:val="auto"/>
          <w:highlight w:val="none"/>
          <w:u w:val="single"/>
        </w:rPr>
        <w:tab/>
      </w:r>
      <w:r>
        <w:rPr>
          <w:rFonts w:hint="eastAsia"/>
          <w:color w:val="auto"/>
          <w:highlight w:val="none"/>
        </w:rPr>
        <w:t>万元，属于</w:t>
      </w:r>
      <w:r>
        <w:rPr>
          <w:rFonts w:hint="eastAsia"/>
          <w:color w:val="auto"/>
          <w:highlight w:val="none"/>
          <w:u w:val="single"/>
        </w:rPr>
        <w:t>（中型企业、小型企业、微型企业）；</w:t>
      </w:r>
    </w:p>
    <w:p w14:paraId="762B616B">
      <w:pPr>
        <w:spacing w:line="360" w:lineRule="auto"/>
        <w:ind w:firstLine="440" w:firstLineChars="200"/>
        <w:rPr>
          <w:color w:val="auto"/>
          <w:highlight w:val="none"/>
        </w:rPr>
      </w:pPr>
      <w:r>
        <w:rPr>
          <w:rFonts w:hint="eastAsia"/>
          <w:color w:val="auto"/>
          <w:highlight w:val="none"/>
        </w:rPr>
        <w:t>……</w:t>
      </w:r>
    </w:p>
    <w:p w14:paraId="33537CB2">
      <w:pPr>
        <w:spacing w:line="360" w:lineRule="auto"/>
        <w:ind w:firstLine="440" w:firstLineChars="200"/>
        <w:rPr>
          <w:color w:val="auto"/>
          <w:highlight w:val="none"/>
        </w:rPr>
      </w:pPr>
      <w:r>
        <w:rPr>
          <w:rFonts w:hint="eastAsia"/>
          <w:color w:val="auto"/>
          <w:highlight w:val="none"/>
        </w:rPr>
        <w:t>以上企业，不属于大企业的分支机构，不存在控股股东为大企业的情形，也不存在与大企业的负责人为同一人的情形。</w:t>
      </w:r>
    </w:p>
    <w:p w14:paraId="2C3EEA56">
      <w:pPr>
        <w:spacing w:line="360" w:lineRule="auto"/>
        <w:ind w:firstLine="440" w:firstLineChars="200"/>
        <w:rPr>
          <w:color w:val="auto"/>
          <w:highlight w:val="none"/>
        </w:rPr>
      </w:pPr>
      <w:r>
        <w:rPr>
          <w:rFonts w:hint="eastAsia"/>
          <w:color w:val="auto"/>
          <w:highlight w:val="none"/>
        </w:rPr>
        <w:t>本企业对上述声明内容的真实性负责。如有虚假，将依法承担相应责任。</w:t>
      </w:r>
    </w:p>
    <w:p w14:paraId="63305CA1">
      <w:pPr>
        <w:pStyle w:val="6"/>
        <w:spacing w:before="4" w:line="391" w:lineRule="auto"/>
        <w:ind w:left="802" w:right="2702" w:firstLine="141"/>
        <w:rPr>
          <w:color w:val="auto"/>
          <w:highlight w:val="none"/>
        </w:rPr>
      </w:pPr>
    </w:p>
    <w:p w14:paraId="61F8A54C">
      <w:pPr>
        <w:pStyle w:val="6"/>
        <w:spacing w:before="4" w:line="391" w:lineRule="auto"/>
        <w:ind w:left="802" w:right="2702" w:firstLine="141"/>
        <w:rPr>
          <w:color w:val="auto"/>
          <w:highlight w:val="none"/>
        </w:rPr>
      </w:pPr>
    </w:p>
    <w:p w14:paraId="79881D96">
      <w:pPr>
        <w:pStyle w:val="6"/>
        <w:spacing w:before="4" w:line="391" w:lineRule="auto"/>
        <w:ind w:left="802" w:right="2702" w:firstLine="141"/>
        <w:rPr>
          <w:color w:val="auto"/>
          <w:highlight w:val="none"/>
        </w:rPr>
      </w:pPr>
    </w:p>
    <w:p w14:paraId="56623DBF">
      <w:pPr>
        <w:pStyle w:val="6"/>
        <w:spacing w:before="4" w:line="391" w:lineRule="auto"/>
        <w:ind w:left="802" w:right="2702" w:firstLine="141"/>
        <w:rPr>
          <w:color w:val="auto"/>
          <w:highlight w:val="none"/>
        </w:rPr>
      </w:pPr>
    </w:p>
    <w:p w14:paraId="19073935">
      <w:pPr>
        <w:pStyle w:val="6"/>
        <w:spacing w:before="4" w:line="391" w:lineRule="auto"/>
        <w:ind w:left="802" w:right="2702" w:firstLine="141"/>
        <w:rPr>
          <w:color w:val="auto"/>
          <w:highlight w:val="none"/>
        </w:rPr>
      </w:pPr>
    </w:p>
    <w:p w14:paraId="77FFB45E">
      <w:pPr>
        <w:spacing w:line="360" w:lineRule="auto"/>
        <w:ind w:firstLine="5280" w:firstLineChars="2400"/>
        <w:rPr>
          <w:color w:val="auto"/>
          <w:highlight w:val="none"/>
        </w:rPr>
      </w:pPr>
      <w:r>
        <w:rPr>
          <w:rFonts w:hint="eastAsia"/>
          <w:color w:val="auto"/>
          <w:highlight w:val="none"/>
        </w:rPr>
        <w:t>企业名称（盖章）：</w:t>
      </w:r>
    </w:p>
    <w:p w14:paraId="44E8858D">
      <w:pPr>
        <w:spacing w:line="360" w:lineRule="auto"/>
        <w:ind w:firstLine="5280" w:firstLineChars="2400"/>
        <w:rPr>
          <w:color w:val="auto"/>
          <w:highlight w:val="none"/>
        </w:rPr>
      </w:pPr>
      <w:r>
        <w:rPr>
          <w:rFonts w:hint="eastAsia"/>
          <w:color w:val="auto"/>
          <w:highlight w:val="none"/>
        </w:rPr>
        <w:t>日期：</w:t>
      </w:r>
      <w:r>
        <w:rPr>
          <w:rFonts w:hint="eastAsia"/>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3A643012">
      <w:pPr>
        <w:rPr>
          <w:color w:val="auto"/>
          <w:highlight w:val="none"/>
          <w:lang w:val="en-US"/>
        </w:rPr>
      </w:pPr>
      <w:r>
        <w:rPr>
          <w:color w:val="auto"/>
          <w:highlight w:val="none"/>
          <w:lang w:val="en-US"/>
        </w:rPr>
        <w:br w:type="page"/>
      </w:r>
    </w:p>
    <w:p w14:paraId="633B83F0">
      <w:pPr>
        <w:pStyle w:val="3"/>
        <w:spacing w:line="360" w:lineRule="auto"/>
        <w:jc w:val="center"/>
        <w:rPr>
          <w:rFonts w:ascii="宋体" w:hAnsi="宋体" w:eastAsia="宋体"/>
          <w:color w:val="auto"/>
          <w:sz w:val="24"/>
          <w:szCs w:val="20"/>
          <w:highlight w:val="none"/>
        </w:rPr>
      </w:pPr>
      <w:bookmarkStart w:id="198" w:name="_Toc19688"/>
      <w:bookmarkStart w:id="199" w:name="_Toc7993"/>
      <w:bookmarkStart w:id="200" w:name="_Toc8437"/>
      <w:bookmarkStart w:id="201" w:name="_Toc10461"/>
      <w:bookmarkStart w:id="202" w:name="_Toc7623"/>
      <w:bookmarkStart w:id="203" w:name="_Toc3728"/>
      <w:bookmarkStart w:id="204" w:name="_Toc29728"/>
      <w:bookmarkStart w:id="205" w:name="_Toc29830"/>
      <w:r>
        <w:rPr>
          <w:rFonts w:hint="eastAsia" w:ascii="宋体" w:hAnsi="宋体" w:eastAsia="宋体"/>
          <w:color w:val="auto"/>
          <w:sz w:val="24"/>
          <w:szCs w:val="20"/>
          <w:highlight w:val="none"/>
          <w:lang w:val="en-US"/>
        </w:rPr>
        <w:t>8.2</w:t>
      </w:r>
      <w:r>
        <w:rPr>
          <w:rFonts w:hint="eastAsia" w:ascii="宋体" w:hAnsi="宋体" w:eastAsia="宋体"/>
          <w:color w:val="auto"/>
          <w:sz w:val="24"/>
          <w:szCs w:val="20"/>
          <w:highlight w:val="none"/>
        </w:rPr>
        <w:t>残疾人福利性单位声明函</w:t>
      </w:r>
      <w:bookmarkEnd w:id="198"/>
      <w:bookmarkEnd w:id="199"/>
      <w:bookmarkEnd w:id="200"/>
      <w:bookmarkEnd w:id="201"/>
      <w:bookmarkEnd w:id="202"/>
      <w:bookmarkEnd w:id="203"/>
      <w:bookmarkEnd w:id="204"/>
      <w:bookmarkEnd w:id="205"/>
    </w:p>
    <w:p w14:paraId="2E57B630">
      <w:pPr>
        <w:rPr>
          <w:color w:val="auto"/>
          <w:highlight w:val="none"/>
        </w:rPr>
      </w:pPr>
    </w:p>
    <w:p w14:paraId="693A518E">
      <w:pPr>
        <w:spacing w:line="360" w:lineRule="auto"/>
        <w:ind w:firstLine="440" w:firstLineChars="200"/>
        <w:rPr>
          <w:color w:val="auto"/>
          <w:highlight w:val="none"/>
        </w:rPr>
      </w:pPr>
      <w:r>
        <w:rPr>
          <w:rFonts w:hint="eastAsia"/>
          <w:color w:val="auto"/>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color w:val="auto"/>
          <w:highlight w:val="none"/>
          <w:u w:val="single"/>
          <w:lang w:val="en-US" w:eastAsia="zh-CN"/>
        </w:rPr>
        <w:t xml:space="preserve">       </w:t>
      </w:r>
      <w:r>
        <w:rPr>
          <w:rFonts w:hint="eastAsia"/>
          <w:color w:val="auto"/>
          <w:highlight w:val="none"/>
        </w:rPr>
        <w:t>单位的</w:t>
      </w:r>
      <w:r>
        <w:rPr>
          <w:rFonts w:hint="eastAsia"/>
          <w:color w:val="auto"/>
          <w:highlight w:val="none"/>
          <w:u w:val="single"/>
          <w:lang w:val="en-US" w:eastAsia="zh-CN"/>
        </w:rPr>
        <w:t xml:space="preserve">             </w:t>
      </w:r>
      <w:r>
        <w:rPr>
          <w:rFonts w:hint="eastAsia"/>
          <w:color w:val="auto"/>
          <w:highlight w:val="none"/>
        </w:rPr>
        <w:t>项目采购活动提供本单位制造的货物（由本单位承担工程/提供服务），或者提供其他残疾人福利性单位制造的货物（不包括使用非残疾人福利性单位注册商标的货物）。</w:t>
      </w:r>
    </w:p>
    <w:p w14:paraId="19BC31F9">
      <w:pPr>
        <w:spacing w:line="360" w:lineRule="auto"/>
        <w:ind w:firstLine="440" w:firstLineChars="200"/>
        <w:rPr>
          <w:color w:val="auto"/>
          <w:highlight w:val="none"/>
        </w:rPr>
      </w:pPr>
      <w:r>
        <w:rPr>
          <w:rFonts w:hint="eastAsia"/>
          <w:color w:val="auto"/>
          <w:highlight w:val="none"/>
        </w:rPr>
        <w:t>本单位对上述声明的真实性负责。如有虚假，将依法承担相应责任。</w:t>
      </w:r>
    </w:p>
    <w:p w14:paraId="12CAC25A">
      <w:pPr>
        <w:pStyle w:val="6"/>
        <w:rPr>
          <w:color w:val="auto"/>
          <w:sz w:val="20"/>
          <w:highlight w:val="none"/>
        </w:rPr>
      </w:pPr>
    </w:p>
    <w:p w14:paraId="4B6394E0">
      <w:pPr>
        <w:pStyle w:val="6"/>
        <w:spacing w:before="9"/>
        <w:rPr>
          <w:color w:val="auto"/>
          <w:sz w:val="27"/>
          <w:highlight w:val="none"/>
        </w:rPr>
      </w:pPr>
    </w:p>
    <w:p w14:paraId="7C992EE8">
      <w:pPr>
        <w:pStyle w:val="6"/>
        <w:spacing w:before="9"/>
        <w:rPr>
          <w:color w:val="auto"/>
          <w:sz w:val="27"/>
          <w:highlight w:val="none"/>
        </w:rPr>
      </w:pPr>
    </w:p>
    <w:p w14:paraId="3DC12F2F">
      <w:pPr>
        <w:pStyle w:val="6"/>
        <w:spacing w:before="9"/>
        <w:rPr>
          <w:color w:val="auto"/>
          <w:sz w:val="27"/>
          <w:highlight w:val="none"/>
        </w:rPr>
      </w:pPr>
    </w:p>
    <w:p w14:paraId="72F8F50A">
      <w:pPr>
        <w:tabs>
          <w:tab w:val="left" w:pos="1224"/>
        </w:tabs>
        <w:spacing w:line="360" w:lineRule="auto"/>
        <w:ind w:firstLine="4200" w:firstLineChars="2000"/>
        <w:rPr>
          <w:bCs/>
          <w:color w:val="auto"/>
          <w:sz w:val="21"/>
          <w:highlight w:val="none"/>
        </w:rPr>
      </w:pPr>
      <w:r>
        <w:rPr>
          <w:rFonts w:hint="eastAsia"/>
          <w:bCs/>
          <w:color w:val="auto"/>
          <w:sz w:val="21"/>
          <w:highlight w:val="none"/>
        </w:rPr>
        <w:t xml:space="preserve">单位名称（盖章）： </w:t>
      </w:r>
    </w:p>
    <w:p w14:paraId="4460595F">
      <w:pPr>
        <w:tabs>
          <w:tab w:val="left" w:pos="1224"/>
        </w:tabs>
        <w:spacing w:line="360" w:lineRule="auto"/>
        <w:ind w:firstLine="5280" w:firstLineChars="2400"/>
        <w:rPr>
          <w:bCs/>
          <w:color w:val="auto"/>
          <w:sz w:val="21"/>
          <w:highlight w:val="none"/>
          <w:lang w:val="en-US"/>
        </w:rPr>
      </w:pPr>
      <w:r>
        <w:rPr>
          <w:rFonts w:hint="eastAsia"/>
          <w:color w:val="auto"/>
          <w:highlight w:val="none"/>
        </w:rPr>
        <w:t>日期：</w:t>
      </w:r>
      <w:r>
        <w:rPr>
          <w:rFonts w:hint="eastAsia"/>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5D199CDB">
      <w:pPr>
        <w:pStyle w:val="6"/>
        <w:rPr>
          <w:b/>
          <w:color w:val="auto"/>
          <w:sz w:val="20"/>
          <w:highlight w:val="none"/>
        </w:rPr>
      </w:pPr>
    </w:p>
    <w:p w14:paraId="5CB4DA47">
      <w:pPr>
        <w:spacing w:line="360" w:lineRule="auto"/>
        <w:ind w:firstLine="442" w:firstLineChars="200"/>
        <w:rPr>
          <w:b/>
          <w:bCs/>
          <w:color w:val="auto"/>
          <w:highlight w:val="none"/>
        </w:rPr>
      </w:pPr>
    </w:p>
    <w:p w14:paraId="3A16BF71">
      <w:pPr>
        <w:spacing w:line="360" w:lineRule="auto"/>
        <w:ind w:firstLine="442" w:firstLineChars="200"/>
        <w:rPr>
          <w:b/>
          <w:bCs/>
          <w:color w:val="auto"/>
          <w:highlight w:val="none"/>
        </w:rPr>
      </w:pPr>
    </w:p>
    <w:p w14:paraId="0048F213">
      <w:pPr>
        <w:spacing w:line="360" w:lineRule="auto"/>
        <w:ind w:firstLine="442" w:firstLineChars="200"/>
        <w:rPr>
          <w:b/>
          <w:bCs/>
          <w:color w:val="auto"/>
          <w:highlight w:val="none"/>
        </w:rPr>
      </w:pPr>
    </w:p>
    <w:p w14:paraId="5CAFE13D">
      <w:pPr>
        <w:pStyle w:val="25"/>
        <w:rPr>
          <w:b/>
          <w:bCs/>
          <w:color w:val="auto"/>
          <w:highlight w:val="none"/>
        </w:rPr>
      </w:pPr>
    </w:p>
    <w:p w14:paraId="703099CB">
      <w:pPr>
        <w:pStyle w:val="4"/>
        <w:rPr>
          <w:color w:val="auto"/>
          <w:highlight w:val="none"/>
        </w:rPr>
      </w:pPr>
    </w:p>
    <w:p w14:paraId="7CF9B891">
      <w:pPr>
        <w:spacing w:line="360" w:lineRule="auto"/>
        <w:ind w:firstLine="442" w:firstLineChars="200"/>
        <w:rPr>
          <w:b/>
          <w:bCs/>
          <w:color w:val="auto"/>
          <w:highlight w:val="none"/>
        </w:rPr>
      </w:pPr>
      <w:r>
        <w:rPr>
          <w:rFonts w:hint="eastAsia"/>
          <w:b/>
          <w:bCs/>
          <w:color w:val="auto"/>
          <w:highlight w:val="none"/>
        </w:rPr>
        <w:t>监狱企业参加政府采购活动时，应当提供由省级以上监狱管理局、戒毒管理局（含新疆生产建设兵团）出具的属于监狱企业的证明文件。</w:t>
      </w:r>
    </w:p>
    <w:p w14:paraId="7A7D5C81">
      <w:pPr>
        <w:rPr>
          <w:color w:val="auto"/>
          <w:highlight w:val="none"/>
        </w:rPr>
      </w:pPr>
      <w:r>
        <w:rPr>
          <w:color w:val="auto"/>
          <w:highlight w:val="none"/>
        </w:rPr>
        <w:br w:type="page"/>
      </w:r>
    </w:p>
    <w:p w14:paraId="3B069ED8">
      <w:pPr>
        <w:pStyle w:val="3"/>
        <w:spacing w:line="240" w:lineRule="auto"/>
        <w:jc w:val="center"/>
        <w:rPr>
          <w:rFonts w:ascii="宋体" w:hAnsi="宋体" w:eastAsia="宋体"/>
          <w:color w:val="auto"/>
          <w:sz w:val="20"/>
          <w:highlight w:val="none"/>
        </w:rPr>
      </w:pPr>
      <w:bookmarkStart w:id="206" w:name="_Toc2828"/>
      <w:bookmarkStart w:id="207" w:name="_Toc30002"/>
      <w:bookmarkStart w:id="208" w:name="_Toc19480"/>
      <w:bookmarkStart w:id="209" w:name="_Toc15027"/>
      <w:bookmarkStart w:id="210" w:name="_Toc14326"/>
      <w:bookmarkStart w:id="211" w:name="_Toc2737"/>
      <w:bookmarkStart w:id="212" w:name="_Toc32456"/>
      <w:r>
        <w:rPr>
          <w:rFonts w:hint="eastAsia" w:ascii="宋体" w:hAnsi="宋体" w:eastAsia="宋体"/>
          <w:color w:val="auto"/>
          <w:sz w:val="28"/>
          <w:szCs w:val="28"/>
          <w:highlight w:val="none"/>
          <w:lang w:val="en-US"/>
        </w:rPr>
        <w:t>9.</w:t>
      </w:r>
      <w:r>
        <w:rPr>
          <w:rFonts w:hint="eastAsia" w:ascii="宋体" w:hAnsi="宋体" w:eastAsia="宋体"/>
          <w:color w:val="auto"/>
          <w:sz w:val="28"/>
          <w:szCs w:val="28"/>
          <w:highlight w:val="none"/>
        </w:rPr>
        <w:t>其他资料</w:t>
      </w:r>
      <w:bookmarkEnd w:id="206"/>
      <w:bookmarkEnd w:id="207"/>
      <w:bookmarkEnd w:id="208"/>
      <w:bookmarkEnd w:id="209"/>
      <w:bookmarkEnd w:id="210"/>
      <w:bookmarkEnd w:id="211"/>
      <w:bookmarkEnd w:id="212"/>
    </w:p>
    <w:p w14:paraId="7BEC82A4">
      <w:pPr>
        <w:rPr>
          <w:color w:val="auto"/>
          <w:sz w:val="21"/>
          <w:highlight w:val="none"/>
        </w:rPr>
      </w:pPr>
      <w:r>
        <w:rPr>
          <w:color w:val="auto"/>
          <w:sz w:val="21"/>
          <w:highlight w:val="none"/>
        </w:rPr>
        <w:br w:type="page"/>
      </w:r>
    </w:p>
    <w:p w14:paraId="26AD7086">
      <w:pPr>
        <w:pStyle w:val="2"/>
        <w:spacing w:before="55"/>
        <w:rPr>
          <w:color w:val="auto"/>
          <w:highlight w:val="none"/>
        </w:rPr>
      </w:pPr>
      <w:bookmarkStart w:id="213" w:name="_Toc27086"/>
      <w:bookmarkStart w:id="214" w:name="_Toc4134"/>
      <w:bookmarkStart w:id="215" w:name="_Toc17248"/>
      <w:bookmarkStart w:id="216" w:name="_Toc30879"/>
      <w:bookmarkStart w:id="217" w:name="_Toc4013"/>
      <w:bookmarkStart w:id="218" w:name="_Toc17140"/>
      <w:bookmarkStart w:id="219" w:name="_Toc4428"/>
      <w:r>
        <w:rPr>
          <w:rFonts w:hint="eastAsia"/>
          <w:color w:val="auto"/>
          <w:highlight w:val="none"/>
        </w:rPr>
        <w:t>第五章 采购需求及技术规格要求</w:t>
      </w:r>
      <w:bookmarkEnd w:id="213"/>
      <w:bookmarkEnd w:id="214"/>
      <w:bookmarkEnd w:id="215"/>
      <w:bookmarkEnd w:id="216"/>
      <w:bookmarkEnd w:id="217"/>
      <w:bookmarkEnd w:id="218"/>
      <w:bookmarkEnd w:id="219"/>
    </w:p>
    <w:p w14:paraId="3508F6E9">
      <w:pPr>
        <w:spacing w:line="440" w:lineRule="exact"/>
        <w:ind w:firstLine="420" w:firstLineChars="200"/>
        <w:rPr>
          <w:color w:val="auto"/>
          <w:sz w:val="21"/>
          <w:szCs w:val="21"/>
          <w:highlight w:val="none"/>
        </w:rPr>
      </w:pPr>
    </w:p>
    <w:p w14:paraId="657F16DB">
      <w:pPr>
        <w:jc w:val="center"/>
        <w:rPr>
          <w:rFonts w:ascii="Times New Roman" w:hAnsi="Times New Roman" w:cs="Times New Roman"/>
          <w:b/>
          <w:bCs/>
          <w:color w:val="auto"/>
          <w:sz w:val="32"/>
          <w:szCs w:val="40"/>
          <w:highlight w:val="none"/>
        </w:rPr>
      </w:pPr>
      <w:r>
        <w:rPr>
          <w:rFonts w:hint="eastAsia" w:ascii="Times New Roman" w:hAnsi="Times New Roman" w:cs="Times New Roman"/>
          <w:b/>
          <w:bCs/>
          <w:color w:val="auto"/>
          <w:sz w:val="32"/>
          <w:szCs w:val="40"/>
          <w:highlight w:val="none"/>
        </w:rPr>
        <w:t>视频监控系统升级改造系统配置清单</w:t>
      </w:r>
    </w:p>
    <w:tbl>
      <w:tblPr>
        <w:tblStyle w:val="18"/>
        <w:tblW w:w="5227" w:type="pct"/>
        <w:jc w:val="center"/>
        <w:tblLayout w:type="fixed"/>
        <w:tblCellMar>
          <w:top w:w="0" w:type="dxa"/>
          <w:left w:w="108" w:type="dxa"/>
          <w:bottom w:w="0" w:type="dxa"/>
          <w:right w:w="108" w:type="dxa"/>
        </w:tblCellMar>
      </w:tblPr>
      <w:tblGrid>
        <w:gridCol w:w="943"/>
        <w:gridCol w:w="1016"/>
        <w:gridCol w:w="4422"/>
        <w:gridCol w:w="997"/>
        <w:gridCol w:w="1222"/>
        <w:gridCol w:w="877"/>
      </w:tblGrid>
      <w:tr w14:paraId="2089CCFA">
        <w:tblPrEx>
          <w:tblCellMar>
            <w:top w:w="0" w:type="dxa"/>
            <w:left w:w="108" w:type="dxa"/>
            <w:bottom w:w="0" w:type="dxa"/>
            <w:right w:w="108" w:type="dxa"/>
          </w:tblCellMar>
        </w:tblPrEx>
        <w:trPr>
          <w:trHeight w:val="270"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F2DD">
            <w:pPr>
              <w:widowControl/>
              <w:jc w:val="center"/>
              <w:textAlignment w:val="center"/>
              <w:rPr>
                <w:b/>
                <w:bCs/>
                <w:color w:val="auto"/>
                <w:highlight w:val="none"/>
              </w:rPr>
            </w:pPr>
            <w:bookmarkStart w:id="220" w:name="OLE_LINK14"/>
            <w:bookmarkStart w:id="221" w:name="OLE_LINK15"/>
            <w:bookmarkStart w:id="222" w:name="OLE_LINK19"/>
            <w:r>
              <w:rPr>
                <w:rFonts w:hint="eastAsia"/>
                <w:b/>
                <w:bCs/>
                <w:color w:val="auto"/>
                <w:highlight w:val="none"/>
              </w:rPr>
              <w:t>序号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5FC8">
            <w:pPr>
              <w:widowControl/>
              <w:jc w:val="center"/>
              <w:textAlignment w:val="center"/>
              <w:rPr>
                <w:b/>
                <w:bCs/>
                <w:color w:val="auto"/>
                <w:highlight w:val="none"/>
              </w:rPr>
            </w:pPr>
            <w:r>
              <w:rPr>
                <w:rFonts w:hint="eastAsia"/>
                <w:b/>
                <w:bCs/>
                <w:color w:val="auto"/>
                <w:highlight w:val="none"/>
              </w:rPr>
              <w:t>名称</w:t>
            </w:r>
          </w:p>
        </w:tc>
        <w:tc>
          <w:tcPr>
            <w:tcW w:w="4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68B8">
            <w:pPr>
              <w:widowControl/>
              <w:jc w:val="center"/>
              <w:textAlignment w:val="center"/>
              <w:rPr>
                <w:b/>
                <w:bCs/>
                <w:color w:val="auto"/>
                <w:highlight w:val="none"/>
              </w:rPr>
            </w:pPr>
            <w:r>
              <w:rPr>
                <w:rFonts w:hint="eastAsia"/>
                <w:b/>
                <w:bCs/>
                <w:color w:val="auto"/>
                <w:highlight w:val="none"/>
              </w:rPr>
              <w:t>规格参数</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7356">
            <w:pPr>
              <w:widowControl/>
              <w:jc w:val="center"/>
              <w:textAlignment w:val="center"/>
              <w:rPr>
                <w:b/>
                <w:bCs/>
                <w:color w:val="auto"/>
                <w:highlight w:val="none"/>
              </w:rPr>
            </w:pPr>
            <w:r>
              <w:rPr>
                <w:rFonts w:hint="eastAsia"/>
                <w:b/>
                <w:bCs/>
                <w:color w:val="auto"/>
                <w:highlight w:val="none"/>
              </w:rPr>
              <w:t>单位</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7512">
            <w:pPr>
              <w:widowControl/>
              <w:jc w:val="center"/>
              <w:textAlignment w:val="center"/>
              <w:rPr>
                <w:b/>
                <w:bCs/>
                <w:color w:val="auto"/>
                <w:highlight w:val="none"/>
              </w:rPr>
            </w:pPr>
            <w:r>
              <w:rPr>
                <w:rFonts w:hint="eastAsia"/>
                <w:b/>
                <w:bCs/>
                <w:color w:val="auto"/>
                <w:highlight w:val="none"/>
              </w:rPr>
              <w:t>数量/工程量</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954A">
            <w:pPr>
              <w:widowControl/>
              <w:jc w:val="center"/>
              <w:textAlignment w:val="center"/>
              <w:rPr>
                <w:b/>
                <w:bCs/>
                <w:color w:val="auto"/>
                <w:highlight w:val="none"/>
              </w:rPr>
            </w:pPr>
            <w:r>
              <w:rPr>
                <w:rFonts w:hint="eastAsia"/>
                <w:b/>
                <w:bCs/>
                <w:color w:val="auto"/>
                <w:highlight w:val="none"/>
              </w:rPr>
              <w:t>备注</w:t>
            </w:r>
          </w:p>
        </w:tc>
      </w:tr>
      <w:tr w14:paraId="0D99D302">
        <w:tblPrEx>
          <w:tblCellMar>
            <w:top w:w="0" w:type="dxa"/>
            <w:left w:w="108" w:type="dxa"/>
            <w:bottom w:w="0" w:type="dxa"/>
            <w:right w:w="108" w:type="dxa"/>
          </w:tblCellMar>
        </w:tblPrEx>
        <w:trPr>
          <w:trHeight w:val="380" w:hRule="atLeast"/>
          <w:jc w:val="center"/>
        </w:trPr>
        <w:tc>
          <w:tcPr>
            <w:tcW w:w="947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D04D">
            <w:pPr>
              <w:widowControl/>
              <w:textAlignment w:val="center"/>
              <w:rPr>
                <w:b/>
                <w:bCs/>
                <w:color w:val="auto"/>
                <w:highlight w:val="none"/>
              </w:rPr>
            </w:pPr>
            <w:r>
              <w:rPr>
                <w:rFonts w:hint="eastAsia"/>
                <w:b/>
                <w:bCs/>
                <w:color w:val="auto"/>
                <w:highlight w:val="none"/>
              </w:rPr>
              <w:t>一、前端设备</w:t>
            </w:r>
          </w:p>
        </w:tc>
      </w:tr>
      <w:tr w14:paraId="4C984BE7">
        <w:tblPrEx>
          <w:tblCellMar>
            <w:top w:w="0" w:type="dxa"/>
            <w:left w:w="108" w:type="dxa"/>
            <w:bottom w:w="0" w:type="dxa"/>
            <w:right w:w="108" w:type="dxa"/>
          </w:tblCellMar>
        </w:tblPrEx>
        <w:trPr>
          <w:trHeight w:val="380"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E0730">
            <w:pPr>
              <w:widowControl/>
              <w:jc w:val="center"/>
              <w:textAlignment w:val="center"/>
              <w:rPr>
                <w:color w:val="auto"/>
                <w:highlight w:val="none"/>
              </w:rPr>
            </w:pPr>
            <w:r>
              <w:rPr>
                <w:rFonts w:hint="eastAsia"/>
                <w:color w:val="auto"/>
                <w:highlight w:val="none"/>
              </w:rPr>
              <w:t>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1906">
            <w:pPr>
              <w:widowControl/>
              <w:jc w:val="center"/>
              <w:textAlignment w:val="center"/>
              <w:rPr>
                <w:color w:val="auto"/>
                <w:highlight w:val="none"/>
              </w:rPr>
            </w:pPr>
            <w:r>
              <w:rPr>
                <w:rFonts w:hint="eastAsia"/>
                <w:color w:val="auto"/>
                <w:highlight w:val="none"/>
              </w:rPr>
              <w:t>电子变焦枪机</w:t>
            </w:r>
          </w:p>
        </w:tc>
        <w:tc>
          <w:tcPr>
            <w:tcW w:w="4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D2AF">
            <w:pPr>
              <w:widowControl/>
              <w:textAlignment w:val="center"/>
              <w:rPr>
                <w:color w:val="auto"/>
                <w:highlight w:val="none"/>
                <w:lang w:val="en-US"/>
              </w:rPr>
            </w:pPr>
            <w:r>
              <w:rPr>
                <w:rFonts w:hint="eastAsia"/>
                <w:color w:val="auto"/>
                <w:highlight w:val="none"/>
                <w:lang w:val="en-US"/>
              </w:rPr>
              <w:t>靶面尺寸为1/3英寸，内置1个麦克风，1个报警输入接口，1个报警输出接口，1个音频输入接口，1个音频输出接口，具有1个RJ45网络接口。支持电源在DC12V±25%范围内变化时正常工作，支持POE。</w:t>
            </w:r>
          </w:p>
          <w:p w14:paraId="0E382B09">
            <w:pPr>
              <w:widowControl/>
              <w:textAlignment w:val="center"/>
              <w:rPr>
                <w:color w:val="auto"/>
                <w:highlight w:val="none"/>
                <w:lang w:val="en-US"/>
              </w:rPr>
            </w:pPr>
            <w:r>
              <w:rPr>
                <w:rFonts w:hint="eastAsia"/>
                <w:color w:val="auto"/>
                <w:highlight w:val="none"/>
                <w:lang w:val="en-US"/>
              </w:rPr>
              <w:t>支持2560*1440@25fps,水平分辨力不小于1400TVL。</w:t>
            </w:r>
          </w:p>
          <w:p w14:paraId="74B82853">
            <w:pPr>
              <w:widowControl/>
              <w:textAlignment w:val="center"/>
              <w:rPr>
                <w:color w:val="auto"/>
                <w:highlight w:val="none"/>
                <w:lang w:val="en-US"/>
              </w:rPr>
            </w:pPr>
            <w:r>
              <w:rPr>
                <w:rFonts w:hint="eastAsia"/>
                <w:color w:val="auto"/>
                <w:highlight w:val="none"/>
                <w:lang w:val="en-US"/>
              </w:rPr>
              <w:t>最低照度彩色：0.005 lx，最大亮度鉴别等级不小于11级。</w:t>
            </w:r>
          </w:p>
          <w:p w14:paraId="73AC06C3">
            <w:pPr>
              <w:widowControl/>
              <w:textAlignment w:val="center"/>
              <w:rPr>
                <w:color w:val="auto"/>
                <w:highlight w:val="none"/>
                <w:lang w:val="en-US"/>
              </w:rPr>
            </w:pPr>
            <w:r>
              <w:rPr>
                <w:rFonts w:hint="eastAsia"/>
                <w:color w:val="auto"/>
                <w:highlight w:val="none"/>
                <w:lang w:val="en-US"/>
              </w:rPr>
              <w:t>支持H.264、H.265视频编码格式，且具有High Profile编码能力。</w:t>
            </w:r>
          </w:p>
          <w:p w14:paraId="2EB50CE4">
            <w:pPr>
              <w:widowControl/>
              <w:textAlignment w:val="center"/>
              <w:rPr>
                <w:color w:val="auto"/>
                <w:highlight w:val="none"/>
                <w:lang w:val="en-US"/>
              </w:rPr>
            </w:pPr>
            <w:r>
              <w:rPr>
                <w:rFonts w:hint="eastAsia"/>
                <w:color w:val="auto"/>
                <w:highlight w:val="none"/>
                <w:lang w:val="en-US"/>
              </w:rPr>
              <w:t>具有RTSP和WEB认证模式，具有RTSP认证、WEB认证摘要信息加密设置，加密算法可设置为MD5、SHA256及MD5/SHA256。</w:t>
            </w:r>
          </w:p>
          <w:p w14:paraId="05954225">
            <w:pPr>
              <w:widowControl/>
              <w:textAlignment w:val="center"/>
              <w:rPr>
                <w:color w:val="auto"/>
                <w:highlight w:val="none"/>
                <w:lang w:val="en-US"/>
              </w:rPr>
            </w:pPr>
            <w:r>
              <w:rPr>
                <w:rFonts w:hint="eastAsia"/>
                <w:color w:val="auto"/>
                <w:highlight w:val="none"/>
                <w:lang w:val="en-US"/>
              </w:rPr>
              <w:t>具有数字降噪、镜像功能、电子放大、可伸缩编码SVC、透雾等功能。</w:t>
            </w:r>
          </w:p>
          <w:p w14:paraId="2231EED5">
            <w:pPr>
              <w:widowControl/>
              <w:textAlignment w:val="center"/>
              <w:rPr>
                <w:color w:val="auto"/>
                <w:highlight w:val="none"/>
                <w:lang w:val="en-US"/>
              </w:rPr>
            </w:pPr>
            <w:r>
              <w:rPr>
                <w:rFonts w:hint="eastAsia"/>
                <w:color w:val="auto"/>
                <w:highlight w:val="none"/>
                <w:lang w:val="en-US"/>
              </w:rPr>
              <w:t>同一静止场景相同图像质量下，设备在H.264或H.265编码方式时，开启智能编码功能和不开启智能编码相比，码率节约80%。</w:t>
            </w:r>
          </w:p>
          <w:p w14:paraId="6D0299DC">
            <w:pPr>
              <w:widowControl/>
              <w:textAlignment w:val="center"/>
              <w:rPr>
                <w:color w:val="auto"/>
                <w:highlight w:val="none"/>
                <w:lang w:val="en-US"/>
              </w:rPr>
            </w:pPr>
            <w:r>
              <w:rPr>
                <w:rFonts w:hint="eastAsia"/>
                <w:color w:val="auto"/>
                <w:highlight w:val="none"/>
                <w:lang w:val="en-US"/>
              </w:rPr>
              <w:t>红外补光距离30米。</w:t>
            </w:r>
          </w:p>
          <w:p w14:paraId="4EA163BC">
            <w:pPr>
              <w:widowControl/>
              <w:textAlignment w:val="center"/>
              <w:rPr>
                <w:color w:val="auto"/>
                <w:highlight w:val="none"/>
              </w:rPr>
            </w:pPr>
            <w:r>
              <w:rPr>
                <w:rFonts w:hint="eastAsia"/>
                <w:color w:val="auto"/>
                <w:highlight w:val="none"/>
                <w:lang w:val="en-US"/>
              </w:rPr>
              <w:t>支持拾音距离10米处声级不小于70dB的声音。</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6AC2">
            <w:pPr>
              <w:widowControl/>
              <w:jc w:val="center"/>
              <w:textAlignment w:val="center"/>
              <w:rPr>
                <w:color w:val="auto"/>
                <w:highlight w:val="none"/>
              </w:rPr>
            </w:pPr>
            <w:r>
              <w:rPr>
                <w:rFonts w:hint="eastAsia"/>
                <w:color w:val="auto"/>
                <w:highlight w:val="none"/>
              </w:rPr>
              <w:t>台</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9EA9">
            <w:pPr>
              <w:widowControl/>
              <w:jc w:val="center"/>
              <w:textAlignment w:val="center"/>
              <w:rPr>
                <w:color w:val="auto"/>
                <w:highlight w:val="none"/>
              </w:rPr>
            </w:pPr>
            <w:r>
              <w:rPr>
                <w:rFonts w:hint="eastAsia"/>
                <w:color w:val="auto"/>
                <w:highlight w:val="none"/>
              </w:rPr>
              <w:t>25</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92DF">
            <w:pPr>
              <w:jc w:val="center"/>
              <w:rPr>
                <w:color w:val="auto"/>
                <w:highlight w:val="none"/>
              </w:rPr>
            </w:pPr>
          </w:p>
        </w:tc>
      </w:tr>
      <w:tr w14:paraId="143E80C4">
        <w:tblPrEx>
          <w:tblCellMar>
            <w:top w:w="0" w:type="dxa"/>
            <w:left w:w="108" w:type="dxa"/>
            <w:bottom w:w="0" w:type="dxa"/>
            <w:right w:w="108" w:type="dxa"/>
          </w:tblCellMar>
        </w:tblPrEx>
        <w:trPr>
          <w:trHeight w:val="508"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6429">
            <w:pPr>
              <w:widowControl/>
              <w:jc w:val="center"/>
              <w:textAlignment w:val="center"/>
              <w:rPr>
                <w:color w:val="auto"/>
                <w:highlight w:val="none"/>
              </w:rPr>
            </w:pPr>
            <w:r>
              <w:rPr>
                <w:rFonts w:hint="eastAsia"/>
                <w:color w:val="auto"/>
                <w:highlight w:val="none"/>
              </w:rPr>
              <w:t>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87B9">
            <w:pPr>
              <w:widowControl/>
              <w:jc w:val="center"/>
              <w:textAlignment w:val="center"/>
              <w:rPr>
                <w:color w:val="auto"/>
                <w:highlight w:val="none"/>
              </w:rPr>
            </w:pPr>
            <w:r>
              <w:rPr>
                <w:rFonts w:hint="eastAsia"/>
                <w:color w:val="auto"/>
                <w:highlight w:val="none"/>
              </w:rPr>
              <w:t>室外高清网络枪机</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156B">
            <w:pPr>
              <w:widowControl/>
              <w:textAlignment w:val="center"/>
              <w:rPr>
                <w:color w:val="auto"/>
                <w:highlight w:val="none"/>
                <w:lang w:val="en-US"/>
              </w:rPr>
            </w:pPr>
            <w:r>
              <w:rPr>
                <w:rFonts w:hint="eastAsia"/>
                <w:color w:val="auto"/>
                <w:highlight w:val="none"/>
                <w:lang w:val="en-US"/>
              </w:rPr>
              <w:t>★最大分辨率3200 × 1800，水平分辨率不低于1800线。最低照度彩色：0.005 lx。</w:t>
            </w:r>
          </w:p>
          <w:p w14:paraId="4C2A2771">
            <w:pPr>
              <w:widowControl/>
              <w:textAlignment w:val="center"/>
              <w:rPr>
                <w:color w:val="auto"/>
                <w:highlight w:val="none"/>
                <w:lang w:val="en-US"/>
              </w:rPr>
            </w:pPr>
            <w:r>
              <w:rPr>
                <w:rFonts w:hint="eastAsia"/>
                <w:color w:val="auto"/>
                <w:highlight w:val="none"/>
                <w:lang w:val="en-US"/>
              </w:rPr>
              <w:t>★靶面尺寸1/2.4英寸，内置1个麦克风，1个RJ45网络接口。</w:t>
            </w:r>
          </w:p>
          <w:p w14:paraId="7E8C4B8D">
            <w:pPr>
              <w:widowControl/>
              <w:textAlignment w:val="center"/>
              <w:rPr>
                <w:color w:val="auto"/>
                <w:highlight w:val="none"/>
                <w:lang w:val="en-US"/>
              </w:rPr>
            </w:pPr>
            <w:r>
              <w:rPr>
                <w:rFonts w:hint="eastAsia"/>
                <w:color w:val="auto"/>
                <w:highlight w:val="none"/>
                <w:lang w:val="en-US"/>
              </w:rPr>
              <w:t>红外，白光补光可识别不小于30米处的人体。</w:t>
            </w:r>
          </w:p>
          <w:p w14:paraId="5544C49E">
            <w:pPr>
              <w:widowControl/>
              <w:textAlignment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★具备区域入侵、越界、人员聚集、快速移动、徘徊、物品移除、物品遗留、停车智能分析功能，当以上智能分析行为达到设定的阈值时，可通过客户端软件或IE浏览器给出报警提示。</w:t>
            </w:r>
          </w:p>
          <w:p w14:paraId="75604B81">
            <w:pPr>
              <w:widowControl/>
              <w:textAlignment w:val="center"/>
              <w:rPr>
                <w:color w:val="auto"/>
                <w:highlight w:val="none"/>
                <w:lang w:val="en-US"/>
              </w:rPr>
            </w:pPr>
            <w:r>
              <w:rPr>
                <w:rFonts w:hint="eastAsia"/>
                <w:color w:val="auto"/>
                <w:highlight w:val="none"/>
                <w:lang w:val="en-US"/>
              </w:rPr>
              <w:t>不低于IP66防尘防水等级。</w:t>
            </w:r>
          </w:p>
          <w:p w14:paraId="04350F91">
            <w:pPr>
              <w:widowControl/>
              <w:textAlignment w:val="center"/>
              <w:rPr>
                <w:color w:val="auto"/>
                <w:highlight w:val="none"/>
              </w:rPr>
            </w:pPr>
            <w:r>
              <w:rPr>
                <w:rFonts w:hint="eastAsia"/>
                <w:color w:val="auto"/>
                <w:highlight w:val="none"/>
                <w:lang w:val="en-US"/>
              </w:rPr>
              <w:t>支持DC12V和PoE供电，任何一路供电停止后，设备均可连续工作。</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074C">
            <w:pPr>
              <w:widowControl/>
              <w:jc w:val="center"/>
              <w:textAlignment w:val="center"/>
              <w:rPr>
                <w:color w:val="auto"/>
                <w:highlight w:val="none"/>
              </w:rPr>
            </w:pPr>
            <w:r>
              <w:rPr>
                <w:rFonts w:hint="eastAsia"/>
                <w:color w:val="auto"/>
                <w:highlight w:val="none"/>
              </w:rPr>
              <w:t>台</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EF97">
            <w:pPr>
              <w:widowControl/>
              <w:jc w:val="center"/>
              <w:textAlignment w:val="center"/>
              <w:rPr>
                <w:color w:val="auto"/>
                <w:highlight w:val="none"/>
              </w:rPr>
            </w:pPr>
            <w:r>
              <w:rPr>
                <w:rFonts w:hint="eastAsia"/>
                <w:color w:val="auto"/>
                <w:highlight w:val="none"/>
              </w:rPr>
              <w:t xml:space="preserve">100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16CE6">
            <w:pPr>
              <w:jc w:val="center"/>
              <w:rPr>
                <w:color w:val="auto"/>
                <w:highlight w:val="none"/>
              </w:rPr>
            </w:pPr>
          </w:p>
        </w:tc>
      </w:tr>
      <w:tr w14:paraId="301AC0E5">
        <w:tblPrEx>
          <w:tblCellMar>
            <w:top w:w="0" w:type="dxa"/>
            <w:left w:w="108" w:type="dxa"/>
            <w:bottom w:w="0" w:type="dxa"/>
            <w:right w:w="108" w:type="dxa"/>
          </w:tblCellMar>
        </w:tblPrEx>
        <w:trPr>
          <w:trHeight w:val="600"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5969">
            <w:pPr>
              <w:widowControl/>
              <w:jc w:val="center"/>
              <w:textAlignment w:val="center"/>
              <w:rPr>
                <w:color w:val="auto"/>
                <w:highlight w:val="none"/>
              </w:rPr>
            </w:pPr>
            <w:r>
              <w:rPr>
                <w:rFonts w:hint="eastAsia"/>
                <w:color w:val="auto"/>
                <w:highlight w:val="none"/>
              </w:rPr>
              <w:t>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48D2">
            <w:pPr>
              <w:widowControl/>
              <w:jc w:val="center"/>
              <w:textAlignment w:val="center"/>
              <w:rPr>
                <w:color w:val="auto"/>
                <w:highlight w:val="none"/>
              </w:rPr>
            </w:pPr>
            <w:r>
              <w:rPr>
                <w:rFonts w:hint="eastAsia"/>
                <w:color w:val="auto"/>
                <w:highlight w:val="none"/>
              </w:rPr>
              <w:t>室内彩色半球摄像机</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EA7A">
            <w:pPr>
              <w:widowControl/>
              <w:textAlignment w:val="center"/>
              <w:rPr>
                <w:color w:val="auto"/>
                <w:highlight w:val="none"/>
                <w:lang w:val="en-US"/>
              </w:rPr>
            </w:pPr>
            <w:r>
              <w:rPr>
                <w:rFonts w:hint="eastAsia"/>
                <w:color w:val="auto"/>
                <w:highlight w:val="none"/>
                <w:lang w:val="en-US"/>
              </w:rPr>
              <w:t>在2560x1440下分辨力可达到1400TVL</w:t>
            </w:r>
          </w:p>
          <w:p w14:paraId="628919AC">
            <w:pPr>
              <w:widowControl/>
              <w:textAlignment w:val="center"/>
              <w:rPr>
                <w:color w:val="auto"/>
                <w:highlight w:val="none"/>
                <w:lang w:val="en-US"/>
              </w:rPr>
            </w:pPr>
            <w:r>
              <w:rPr>
                <w:rFonts w:hint="eastAsia"/>
                <w:color w:val="auto"/>
                <w:highlight w:val="none"/>
                <w:lang w:val="en-US"/>
              </w:rPr>
              <w:t>信噪比不小于55dB。</w:t>
            </w:r>
          </w:p>
          <w:p w14:paraId="6A5BC81C">
            <w:pPr>
              <w:widowControl/>
              <w:textAlignment w:val="center"/>
              <w:rPr>
                <w:color w:val="auto"/>
                <w:highlight w:val="none"/>
                <w:lang w:val="en-US"/>
              </w:rPr>
            </w:pPr>
            <w:r>
              <w:rPr>
                <w:rFonts w:hint="eastAsia"/>
                <w:color w:val="auto"/>
                <w:highlight w:val="none"/>
                <w:lang w:val="en-US"/>
              </w:rPr>
              <w:t>支持红外补光，有效补光距离达到30m</w:t>
            </w:r>
          </w:p>
          <w:p w14:paraId="7F090B5D">
            <w:pPr>
              <w:widowControl/>
              <w:textAlignment w:val="center"/>
              <w:rPr>
                <w:color w:val="auto"/>
                <w:highlight w:val="none"/>
                <w:lang w:val="en-US"/>
              </w:rPr>
            </w:pPr>
            <w:r>
              <w:rPr>
                <w:rFonts w:hint="eastAsia"/>
                <w:color w:val="auto"/>
                <w:highlight w:val="none"/>
                <w:lang w:val="en-US"/>
              </w:rPr>
              <w:t>需支持IP66防尘防水。</w:t>
            </w:r>
          </w:p>
          <w:p w14:paraId="71D6F1ED">
            <w:pPr>
              <w:widowControl/>
              <w:textAlignment w:val="center"/>
              <w:rPr>
                <w:color w:val="auto"/>
                <w:highlight w:val="none"/>
                <w:lang w:val="en-US"/>
              </w:rPr>
            </w:pPr>
            <w:r>
              <w:rPr>
                <w:rFonts w:hint="eastAsia"/>
                <w:color w:val="auto"/>
                <w:highlight w:val="none"/>
                <w:lang w:val="en-US"/>
              </w:rPr>
              <w:t>支持DC12V或poe供电</w:t>
            </w:r>
          </w:p>
          <w:p w14:paraId="24965A7D">
            <w:pPr>
              <w:widowControl/>
              <w:textAlignment w:val="center"/>
              <w:rPr>
                <w:color w:val="auto"/>
                <w:highlight w:val="none"/>
                <w:lang w:val="en-US"/>
              </w:rPr>
            </w:pPr>
            <w:r>
              <w:rPr>
                <w:rFonts w:hint="eastAsia"/>
                <w:color w:val="auto"/>
                <w:highlight w:val="none"/>
                <w:lang w:val="en-US"/>
              </w:rPr>
              <w:t>内置1个麦克风，1个RJ45网络接口</w:t>
            </w:r>
          </w:p>
          <w:p w14:paraId="5EAE3D0F">
            <w:pPr>
              <w:widowControl/>
              <w:textAlignment w:val="center"/>
              <w:rPr>
                <w:color w:val="auto"/>
                <w:highlight w:val="none"/>
              </w:rPr>
            </w:pPr>
            <w:r>
              <w:rPr>
                <w:rFonts w:hint="eastAsia"/>
                <w:color w:val="auto"/>
                <w:highlight w:val="none"/>
                <w:lang w:val="en-US"/>
              </w:rPr>
              <w:t>靶面尺寸为1/2.7英寸</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8E87">
            <w:pPr>
              <w:widowControl/>
              <w:jc w:val="center"/>
              <w:textAlignment w:val="center"/>
              <w:rPr>
                <w:color w:val="auto"/>
                <w:highlight w:val="none"/>
              </w:rPr>
            </w:pPr>
            <w:r>
              <w:rPr>
                <w:rFonts w:hint="eastAsia"/>
                <w:color w:val="auto"/>
                <w:highlight w:val="none"/>
              </w:rPr>
              <w:t>台</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983E">
            <w:pPr>
              <w:widowControl/>
              <w:jc w:val="center"/>
              <w:textAlignment w:val="center"/>
              <w:rPr>
                <w:color w:val="auto"/>
                <w:highlight w:val="none"/>
              </w:rPr>
            </w:pPr>
            <w:r>
              <w:rPr>
                <w:rFonts w:hint="eastAsia"/>
                <w:color w:val="auto"/>
                <w:highlight w:val="none"/>
              </w:rPr>
              <w:t xml:space="preserve">380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1F2A">
            <w:pPr>
              <w:jc w:val="center"/>
              <w:rPr>
                <w:color w:val="auto"/>
                <w:highlight w:val="none"/>
              </w:rPr>
            </w:pPr>
          </w:p>
        </w:tc>
      </w:tr>
      <w:tr w14:paraId="2AAF2AEE">
        <w:tblPrEx>
          <w:tblCellMar>
            <w:top w:w="0" w:type="dxa"/>
            <w:left w:w="108" w:type="dxa"/>
            <w:bottom w:w="0" w:type="dxa"/>
            <w:right w:w="108" w:type="dxa"/>
          </w:tblCellMar>
        </w:tblPrEx>
        <w:trPr>
          <w:trHeight w:val="600"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FBF3">
            <w:pPr>
              <w:widowControl/>
              <w:jc w:val="center"/>
              <w:textAlignment w:val="center"/>
              <w:rPr>
                <w:color w:val="auto"/>
                <w:highlight w:val="none"/>
              </w:rPr>
            </w:pPr>
            <w:r>
              <w:rPr>
                <w:rFonts w:hint="eastAsia"/>
                <w:color w:val="auto"/>
                <w:highlight w:val="none"/>
              </w:rPr>
              <w:t>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FFE6">
            <w:pPr>
              <w:widowControl/>
              <w:jc w:val="center"/>
              <w:textAlignment w:val="center"/>
              <w:rPr>
                <w:color w:val="auto"/>
                <w:highlight w:val="none"/>
              </w:rPr>
            </w:pPr>
            <w:r>
              <w:rPr>
                <w:rFonts w:hint="eastAsia"/>
                <w:color w:val="auto"/>
                <w:highlight w:val="none"/>
              </w:rPr>
              <w:t>星光级球机</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1FAA">
            <w:pPr>
              <w:pStyle w:val="2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★内置GPU芯片</w:t>
            </w:r>
          </w:p>
          <w:p w14:paraId="42F49AA2">
            <w:pPr>
              <w:widowControl/>
              <w:textAlignment w:val="center"/>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视频输出支持2560×1440@25fps，分辨</w:t>
            </w:r>
            <w:r>
              <w:rPr>
                <w:rFonts w:hint="eastAsia" w:ascii="宋体" w:hAnsi="宋体" w:eastAsia="宋体"/>
                <w:color w:val="auto"/>
                <w:sz w:val="24"/>
                <w:szCs w:val="24"/>
                <w:highlight w:val="none"/>
                <w:lang w:val="en-US" w:eastAsia="zh-CN"/>
              </w:rPr>
              <w:t>率</w:t>
            </w:r>
            <w:r>
              <w:rPr>
                <w:rFonts w:hint="default" w:ascii="宋体" w:hAnsi="宋体" w:eastAsia="宋体"/>
                <w:color w:val="auto"/>
                <w:sz w:val="24"/>
                <w:szCs w:val="24"/>
                <w:highlight w:val="none"/>
                <w:lang w:val="en-US" w:eastAsia="zh-CN"/>
              </w:rPr>
              <w:t>不小于1400TVL，红外距离</w:t>
            </w:r>
            <w:r>
              <w:rPr>
                <w:rFonts w:hint="eastAsia" w:ascii="宋体" w:hAnsi="宋体" w:eastAsia="宋体"/>
                <w:color w:val="auto"/>
                <w:sz w:val="24"/>
                <w:szCs w:val="24"/>
                <w:highlight w:val="none"/>
                <w:lang w:val="en-US" w:eastAsia="zh-CN"/>
              </w:rPr>
              <w:t>不小于</w:t>
            </w:r>
            <w:r>
              <w:rPr>
                <w:rFonts w:hint="default" w:ascii="宋体" w:hAnsi="宋体" w:eastAsia="宋体"/>
                <w:color w:val="auto"/>
                <w:sz w:val="24"/>
                <w:szCs w:val="24"/>
                <w:highlight w:val="none"/>
                <w:lang w:val="en-US" w:eastAsia="zh-CN"/>
              </w:rPr>
              <w:t>150米</w:t>
            </w:r>
          </w:p>
          <w:p w14:paraId="23584340">
            <w:pPr>
              <w:widowControl/>
              <w:textAlignment w:val="center"/>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★对人或车辆进入警戒区域后，设备可发出白光警示、声音警示，并启动智能跟踪功能</w:t>
            </w:r>
          </w:p>
          <w:p w14:paraId="144783DC">
            <w:pPr>
              <w:widowControl/>
              <w:textAlignment w:val="center"/>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★支持对镜头加热，去除玻璃上的冰状和水状附着物。</w:t>
            </w:r>
          </w:p>
          <w:p w14:paraId="4D38CEA6">
            <w:pPr>
              <w:widowControl/>
              <w:textAlignment w:val="center"/>
              <w:rPr>
                <w:color w:val="auto"/>
                <w:highlight w:val="none"/>
                <w:lang w:val="en-US"/>
              </w:rPr>
            </w:pPr>
            <w:r>
              <w:rPr>
                <w:rFonts w:hint="eastAsia"/>
                <w:color w:val="auto"/>
                <w:highlight w:val="none"/>
                <w:lang w:val="en-US"/>
              </w:rPr>
              <w:t>★需具备智能分析抗干扰功能，当篮球、小狗、树叶等非人或车辆目标经过检测区域时，不会触发报警。</w:t>
            </w:r>
          </w:p>
          <w:p w14:paraId="7AA95BB9">
            <w:pPr>
              <w:widowControl/>
              <w:textAlignment w:val="center"/>
              <w:rPr>
                <w:rFonts w:ascii="宋体" w:hAnsi="宋体" w:eastAsia="宋体"/>
                <w:color w:val="auto"/>
                <w:sz w:val="24"/>
                <w:szCs w:val="24"/>
                <w:highlight w:val="none"/>
              </w:rPr>
            </w:pPr>
            <w:r>
              <w:rPr>
                <w:rFonts w:ascii="宋体" w:hAnsi="宋体" w:eastAsia="宋体"/>
                <w:color w:val="auto"/>
                <w:sz w:val="24"/>
                <w:szCs w:val="24"/>
                <w:highlight w:val="none"/>
              </w:rPr>
              <w:t>★支持快捷配置功能，可在预览画面开启/关闭“快捷配置”页面。</w:t>
            </w:r>
          </w:p>
          <w:p w14:paraId="451B76E7">
            <w:pPr>
              <w:widowControl/>
              <w:textAlignment w:val="center"/>
              <w:rPr>
                <w:color w:val="auto"/>
                <w:highlight w:val="none"/>
              </w:rPr>
            </w:pPr>
            <w:r>
              <w:rPr>
                <w:rFonts w:ascii="宋体" w:hAnsi="宋体" w:eastAsia="宋体"/>
                <w:color w:val="auto"/>
                <w:sz w:val="24"/>
                <w:szCs w:val="24"/>
                <w:highlight w:val="none"/>
              </w:rPr>
              <w:t>★支持像素显示功能。</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6BD2">
            <w:pPr>
              <w:widowControl/>
              <w:jc w:val="center"/>
              <w:textAlignment w:val="center"/>
              <w:rPr>
                <w:color w:val="auto"/>
                <w:highlight w:val="none"/>
              </w:rPr>
            </w:pPr>
            <w:r>
              <w:rPr>
                <w:rFonts w:hint="eastAsia"/>
                <w:color w:val="auto"/>
                <w:highlight w:val="none"/>
              </w:rPr>
              <w:t>台</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A784">
            <w:pPr>
              <w:widowControl/>
              <w:jc w:val="center"/>
              <w:textAlignment w:val="center"/>
              <w:rPr>
                <w:color w:val="auto"/>
                <w:highlight w:val="none"/>
              </w:rPr>
            </w:pPr>
            <w:r>
              <w:rPr>
                <w:rFonts w:hint="eastAsia"/>
                <w:color w:val="auto"/>
                <w:highlight w:val="none"/>
              </w:rPr>
              <w:t xml:space="preserve">27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D132">
            <w:pPr>
              <w:jc w:val="center"/>
              <w:rPr>
                <w:color w:val="auto"/>
                <w:highlight w:val="none"/>
              </w:rPr>
            </w:pPr>
          </w:p>
        </w:tc>
      </w:tr>
      <w:tr w14:paraId="488C4FB0">
        <w:tblPrEx>
          <w:tblCellMar>
            <w:top w:w="0" w:type="dxa"/>
            <w:left w:w="108" w:type="dxa"/>
            <w:bottom w:w="0" w:type="dxa"/>
            <w:right w:w="108" w:type="dxa"/>
          </w:tblCellMar>
        </w:tblPrEx>
        <w:trPr>
          <w:trHeight w:val="600"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5105">
            <w:pPr>
              <w:widowControl/>
              <w:jc w:val="center"/>
              <w:textAlignment w:val="center"/>
              <w:rPr>
                <w:color w:val="auto"/>
                <w:highlight w:val="none"/>
              </w:rPr>
            </w:pPr>
            <w:r>
              <w:rPr>
                <w:rFonts w:hint="eastAsia"/>
                <w:color w:val="auto"/>
                <w:highlight w:val="none"/>
              </w:rPr>
              <w:t>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A84C">
            <w:pPr>
              <w:widowControl/>
              <w:jc w:val="center"/>
              <w:textAlignment w:val="center"/>
              <w:rPr>
                <w:color w:val="auto"/>
                <w:highlight w:val="none"/>
              </w:rPr>
            </w:pPr>
            <w:r>
              <w:rPr>
                <w:rFonts w:hint="eastAsia"/>
                <w:color w:val="auto"/>
                <w:highlight w:val="none"/>
              </w:rPr>
              <w:t>全景鹰眼</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7B63">
            <w:pPr>
              <w:widowControl/>
              <w:textAlignment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★具备AR视频标签添加，修改，删除和标准等系列管理功能，支持全景通道添加</w:t>
            </w:r>
            <w:r>
              <w:rPr>
                <w:rFonts w:hint="eastAsia" w:ascii="宋体" w:hAnsi="宋体" w:eastAsia="宋体"/>
                <w:color w:val="auto"/>
                <w:sz w:val="24"/>
                <w:szCs w:val="24"/>
                <w:highlight w:val="none"/>
                <w:lang w:val="en-US" w:eastAsia="zh-CN"/>
              </w:rPr>
              <w:t>不少于500</w:t>
            </w:r>
            <w:r>
              <w:rPr>
                <w:rFonts w:hint="eastAsia" w:ascii="宋体" w:hAnsi="宋体" w:eastAsia="宋体"/>
                <w:color w:val="auto"/>
                <w:sz w:val="24"/>
                <w:szCs w:val="24"/>
                <w:highlight w:val="none"/>
              </w:rPr>
              <w:t>个标签，细节通道添加</w:t>
            </w:r>
            <w:r>
              <w:rPr>
                <w:rFonts w:hint="eastAsia" w:ascii="宋体" w:hAnsi="宋体" w:eastAsia="宋体"/>
                <w:color w:val="auto"/>
                <w:sz w:val="24"/>
                <w:szCs w:val="24"/>
                <w:highlight w:val="none"/>
                <w:lang w:val="en-US" w:eastAsia="zh-CN"/>
              </w:rPr>
              <w:t>不少于256</w:t>
            </w:r>
            <w:r>
              <w:rPr>
                <w:rFonts w:hint="eastAsia" w:ascii="宋体" w:hAnsi="宋体" w:eastAsia="宋体"/>
                <w:color w:val="auto"/>
                <w:sz w:val="24"/>
                <w:szCs w:val="24"/>
                <w:highlight w:val="none"/>
              </w:rPr>
              <w:t>个标签；</w:t>
            </w:r>
          </w:p>
          <w:p w14:paraId="709E2CF4">
            <w:pPr>
              <w:widowControl/>
              <w:textAlignment w:val="center"/>
              <w:rPr>
                <w:color w:val="auto"/>
                <w:highlight w:val="none"/>
              </w:rPr>
            </w:pPr>
            <w:r>
              <w:rPr>
                <w:rFonts w:hint="eastAsia"/>
                <w:color w:val="auto"/>
                <w:highlight w:val="none"/>
              </w:rPr>
              <w:t>具备AR视频标签联动功能，并可对高-高，高-低，低-高三种标签的位置的视频图像，进行切换预览。</w:t>
            </w:r>
            <w:r>
              <w:rPr>
                <w:rFonts w:hint="eastAsia"/>
                <w:color w:val="auto"/>
                <w:highlight w:val="none"/>
              </w:rPr>
              <w:br w:type="textWrapping"/>
            </w:r>
            <w:r>
              <w:rPr>
                <w:rFonts w:hint="eastAsia"/>
                <w:color w:val="auto"/>
                <w:highlight w:val="none"/>
              </w:rPr>
              <w:t>支持标签跟踪和同步功能，可对全景通道、细节通道监控画面中移动标签进行跟踪且跟踪时间、跟踪倍率可设置。在跟踪过程中，移动标签应始终位于画面中心位置。在细节通道上添加或删除指定标签时，全景通道的相同位置应自动添加或删除该标签。</w:t>
            </w:r>
            <w:r>
              <w:rPr>
                <w:rFonts w:hint="eastAsia"/>
                <w:color w:val="auto"/>
                <w:highlight w:val="none"/>
              </w:rPr>
              <w:br w:type="textWrapping"/>
            </w:r>
            <w:r>
              <w:rPr>
                <w:rFonts w:hint="eastAsia"/>
                <w:color w:val="auto"/>
                <w:highlight w:val="none"/>
              </w:rPr>
              <w:t>★内置不少于3个GPU芯片 。</w:t>
            </w:r>
          </w:p>
          <w:p w14:paraId="2E2141C0">
            <w:pPr>
              <w:widowControl/>
              <w:textAlignment w:val="center"/>
              <w:rPr>
                <w:color w:val="auto"/>
                <w:highlight w:val="none"/>
              </w:rPr>
            </w:pPr>
            <w:r>
              <w:rPr>
                <w:rFonts w:hint="eastAsia" w:ascii="宋体" w:hAnsi="宋体" w:eastAsia="宋体"/>
                <w:color w:val="auto"/>
                <w:sz w:val="24"/>
                <w:szCs w:val="24"/>
                <w:highlight w:val="none"/>
              </w:rPr>
              <w:t>★设备镜头需具备良好的防刮性能，设备透光片</w:t>
            </w:r>
            <w:r>
              <w:rPr>
                <w:rFonts w:hint="eastAsia" w:ascii="宋体" w:hAnsi="宋体" w:eastAsia="宋体"/>
                <w:color w:val="auto"/>
                <w:sz w:val="24"/>
                <w:szCs w:val="24"/>
                <w:highlight w:val="none"/>
                <w:lang w:val="en-US" w:eastAsia="zh-CN"/>
              </w:rPr>
              <w:t>在外力作用下</w:t>
            </w:r>
            <w:r>
              <w:rPr>
                <w:rFonts w:hint="eastAsia" w:ascii="宋体" w:hAnsi="宋体" w:eastAsia="宋体"/>
                <w:color w:val="auto"/>
                <w:sz w:val="24"/>
                <w:szCs w:val="24"/>
                <w:highlight w:val="none"/>
              </w:rPr>
              <w:t>无明显划痕且不被刺透。</w:t>
            </w:r>
            <w:r>
              <w:rPr>
                <w:rFonts w:hint="eastAsia"/>
                <w:color w:val="auto"/>
                <w:highlight w:val="none"/>
              </w:rPr>
              <w:br w:type="textWrapping"/>
            </w:r>
            <w:r>
              <w:rPr>
                <w:rFonts w:hint="eastAsia"/>
                <w:color w:val="auto"/>
                <w:highlight w:val="none"/>
              </w:rPr>
              <w:t>★全景镜头光圈均不小于F1.0。</w:t>
            </w:r>
          </w:p>
          <w:p w14:paraId="0B3E1F25">
            <w:pPr>
              <w:widowControl/>
              <w:textAlignment w:val="center"/>
              <w:rPr>
                <w:rFonts w:ascii="宋体" w:hAnsi="宋体" w:eastAsia="宋体"/>
                <w:color w:val="auto"/>
                <w:sz w:val="24"/>
                <w:szCs w:val="24"/>
                <w:highlight w:val="none"/>
              </w:rPr>
            </w:pPr>
            <w:r>
              <w:rPr>
                <w:rFonts w:hint="eastAsia" w:ascii="宋体" w:hAnsi="宋体" w:eastAsia="宋体"/>
                <w:color w:val="auto"/>
                <w:sz w:val="24"/>
                <w:szCs w:val="24"/>
                <w:highlight w:val="none"/>
              </w:rPr>
              <w:t>★设备内置除湿器功能</w:t>
            </w:r>
            <w:r>
              <w:rPr>
                <w:rFonts w:ascii="宋体" w:hAnsi="宋体" w:eastAsia="宋体"/>
                <w:color w:val="auto"/>
                <w:sz w:val="24"/>
                <w:szCs w:val="24"/>
                <w:highlight w:val="none"/>
              </w:rPr>
              <w:t>。</w:t>
            </w:r>
          </w:p>
          <w:p w14:paraId="53E4E674">
            <w:pPr>
              <w:widowControl/>
              <w:textAlignment w:val="center"/>
              <w:rPr>
                <w:color w:val="auto"/>
                <w:highlight w:val="none"/>
              </w:rPr>
            </w:pPr>
            <w:r>
              <w:rPr>
                <w:rFonts w:hint="eastAsia"/>
                <w:color w:val="auto"/>
                <w:highlight w:val="none"/>
              </w:rPr>
              <w:t>全景通道采用4个靶面尺寸为 1/1.8＂的镜头，分辨率为均为2560×1440，细节通道采用1个靶面尺寸为1/1.8＂镜头，分辨率为2560×1440。可输出1路主视频图像和4路辅视频图像。拼接后抓拍图片的分辨率为:主视频：2560×1440；辅视频：5520×2400</w:t>
            </w:r>
            <w:r>
              <w:rPr>
                <w:rFonts w:hint="eastAsia"/>
                <w:color w:val="auto"/>
                <w:highlight w:val="none"/>
              </w:rPr>
              <w:br w:type="textWrapping"/>
            </w:r>
            <w:r>
              <w:rPr>
                <w:rFonts w:hint="eastAsia"/>
                <w:color w:val="auto"/>
                <w:highlight w:val="none"/>
              </w:rPr>
              <w:t>主视频支持不小于40倍光学变倍，支持检测当前镜头指向方向与地平面夹角，并可根据夹角变化自动调整倍率</w:t>
            </w:r>
            <w:r>
              <w:rPr>
                <w:rFonts w:hint="eastAsia"/>
                <w:color w:val="auto"/>
                <w:highlight w:val="none"/>
              </w:rPr>
              <w:br w:type="textWrapping"/>
            </w:r>
            <w:r>
              <w:rPr>
                <w:rFonts w:hint="eastAsia"/>
                <w:color w:val="auto"/>
                <w:highlight w:val="none"/>
              </w:rPr>
              <w:t>彩色：0.0003lux；黑白：0.0001lux</w:t>
            </w:r>
            <w:r>
              <w:rPr>
                <w:rFonts w:hint="eastAsia"/>
                <w:color w:val="auto"/>
                <w:highlight w:val="none"/>
              </w:rPr>
              <w:br w:type="textWrapping"/>
            </w:r>
            <w:r>
              <w:rPr>
                <w:rFonts w:hint="eastAsia"/>
                <w:color w:val="auto"/>
                <w:highlight w:val="none"/>
              </w:rPr>
              <w:t>★水平视场角不小于180°，垂直视场角不小于85°。</w:t>
            </w:r>
            <w:r>
              <w:rPr>
                <w:rFonts w:hint="eastAsia"/>
                <w:color w:val="auto"/>
                <w:highlight w:val="none"/>
              </w:rPr>
              <w:br w:type="textWrapping"/>
            </w:r>
            <w:r>
              <w:rPr>
                <w:rFonts w:hint="eastAsia"/>
                <w:color w:val="auto"/>
                <w:highlight w:val="none"/>
              </w:rPr>
              <w:t>产品支持人员密度功能，支持通过IE浏览器对辅助视频的全景画面设备不少于6个检测框，检测区域人数可通过OSD叠加的形式显示，并且可设置3个等级的人数，当检测框中的人数在3个等级之间变化时可触发报警。支持热度图叠加显示</w:t>
            </w:r>
            <w:r>
              <w:rPr>
                <w:rFonts w:hint="eastAsia"/>
                <w:color w:val="auto"/>
                <w:highlight w:val="none"/>
              </w:rPr>
              <w:br w:type="textWrapping"/>
            </w:r>
            <w:r>
              <w:rPr>
                <w:rFonts w:hint="eastAsia"/>
                <w:color w:val="auto"/>
                <w:highlight w:val="none"/>
              </w:rPr>
              <w:t>电源具有较强适应性，电源电压在DC36V±50%范围内变化时，摄像机可以正常工作</w:t>
            </w:r>
            <w:r>
              <w:rPr>
                <w:rFonts w:hint="eastAsia"/>
                <w:color w:val="auto"/>
                <w:highlight w:val="none"/>
              </w:rPr>
              <w:br w:type="textWrapping"/>
            </w:r>
            <w:r>
              <w:rPr>
                <w:rFonts w:hint="eastAsia"/>
                <w:color w:val="auto"/>
                <w:highlight w:val="none"/>
              </w:rPr>
              <w:t>红外灯开启时，样机可根据被摄物的距离自动调节红外灯功率密度。红外夜视距离：可识别距离样机800m外人体轮廓</w:t>
            </w:r>
            <w:r>
              <w:rPr>
                <w:rFonts w:hint="eastAsia"/>
                <w:color w:val="auto"/>
                <w:highlight w:val="none"/>
              </w:rPr>
              <w:br w:type="textWrapping"/>
            </w:r>
            <w:r>
              <w:rPr>
                <w:rFonts w:hint="eastAsia"/>
                <w:color w:val="auto"/>
                <w:highlight w:val="none"/>
              </w:rPr>
              <w:t>当通过IE浏览器手动点击或框选预览画面中的人脸时，设备能通过PTZ转动将人脸置于画面中心，并对人脸进行抓拍。</w:t>
            </w:r>
            <w:r>
              <w:rPr>
                <w:rFonts w:hint="eastAsia"/>
                <w:color w:val="auto"/>
                <w:highlight w:val="none"/>
              </w:rPr>
              <w:br w:type="textWrapping"/>
            </w:r>
            <w:r>
              <w:rPr>
                <w:rFonts w:hint="eastAsia" w:ascii="宋体" w:hAnsi="宋体" w:eastAsia="宋体"/>
                <w:color w:val="auto"/>
                <w:sz w:val="24"/>
                <w:szCs w:val="24"/>
                <w:highlight w:val="none"/>
              </w:rPr>
              <w:t>★支持目标过滤功能，在区域入侵、越界入侵、进入区域、离开区域、徘徊、快速移动、停车、物品遗留及物品移除的智能行为分析事件中，可以对预设尺寸阈值范围内的目标的智能行为进行检测。</w:t>
            </w:r>
            <w:r>
              <w:rPr>
                <w:rFonts w:hint="eastAsia"/>
                <w:color w:val="auto"/>
                <w:highlight w:val="none"/>
              </w:rPr>
              <w:br w:type="textWrapping"/>
            </w:r>
            <w:r>
              <w:rPr>
                <w:rFonts w:hint="eastAsia"/>
                <w:color w:val="auto"/>
                <w:highlight w:val="none"/>
              </w:rPr>
              <w:t>支持撞击报警功能，当设备外壳受到外力撞击时，可给出语音报警提示。</w:t>
            </w:r>
            <w:r>
              <w:rPr>
                <w:rFonts w:hint="eastAsia"/>
                <w:color w:val="auto"/>
                <w:highlight w:val="none"/>
              </w:rPr>
              <w:br w:type="textWrapping"/>
            </w:r>
            <w:r>
              <w:rPr>
                <w:rFonts w:hint="eastAsia" w:ascii="宋体" w:hAnsi="宋体" w:eastAsia="宋体"/>
                <w:color w:val="auto"/>
                <w:sz w:val="24"/>
                <w:szCs w:val="24"/>
                <w:highlight w:val="none"/>
              </w:rPr>
              <w:t>★支持偏色矫正功能，可通过手动或自动的方式进行偏色矫正。</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1DC7">
            <w:pPr>
              <w:widowControl/>
              <w:jc w:val="center"/>
              <w:textAlignment w:val="center"/>
              <w:rPr>
                <w:color w:val="auto"/>
                <w:highlight w:val="none"/>
              </w:rPr>
            </w:pPr>
            <w:r>
              <w:rPr>
                <w:rFonts w:hint="eastAsia"/>
                <w:color w:val="auto"/>
                <w:highlight w:val="none"/>
              </w:rPr>
              <w:t>台</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EB25">
            <w:pPr>
              <w:widowControl/>
              <w:jc w:val="center"/>
              <w:textAlignment w:val="center"/>
              <w:rPr>
                <w:color w:val="auto"/>
                <w:highlight w:val="none"/>
              </w:rPr>
            </w:pPr>
            <w:r>
              <w:rPr>
                <w:rFonts w:hint="eastAsia"/>
                <w:color w:val="auto"/>
                <w:highlight w:val="none"/>
              </w:rPr>
              <w:t xml:space="preserve">2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9ECE">
            <w:pPr>
              <w:jc w:val="center"/>
              <w:rPr>
                <w:color w:val="auto"/>
                <w:highlight w:val="none"/>
              </w:rPr>
            </w:pPr>
          </w:p>
        </w:tc>
      </w:tr>
      <w:tr w14:paraId="696907FE">
        <w:tblPrEx>
          <w:tblCellMar>
            <w:top w:w="0" w:type="dxa"/>
            <w:left w:w="108" w:type="dxa"/>
            <w:bottom w:w="0" w:type="dxa"/>
            <w:right w:w="108" w:type="dxa"/>
          </w:tblCellMar>
        </w:tblPrEx>
        <w:trPr>
          <w:trHeight w:val="432"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AEBB">
            <w:pPr>
              <w:widowControl/>
              <w:jc w:val="center"/>
              <w:textAlignment w:val="center"/>
              <w:rPr>
                <w:color w:val="auto"/>
                <w:highlight w:val="none"/>
              </w:rPr>
            </w:pPr>
            <w:r>
              <w:rPr>
                <w:rFonts w:hint="eastAsia"/>
                <w:color w:val="auto"/>
                <w:highlight w:val="none"/>
              </w:rPr>
              <w:t>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851E">
            <w:pPr>
              <w:widowControl/>
              <w:jc w:val="center"/>
              <w:textAlignment w:val="center"/>
              <w:rPr>
                <w:color w:val="auto"/>
                <w:highlight w:val="none"/>
              </w:rPr>
            </w:pPr>
            <w:r>
              <w:rPr>
                <w:rFonts w:hint="eastAsia"/>
                <w:color w:val="auto"/>
                <w:highlight w:val="none"/>
              </w:rPr>
              <w:t>测速一体机</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CA6A">
            <w:pPr>
              <w:widowControl/>
              <w:textAlignment w:val="center"/>
              <w:rPr>
                <w:rFonts w:ascii="宋体" w:hAnsi="宋体" w:eastAsia="宋体"/>
                <w:color w:val="auto"/>
                <w:sz w:val="24"/>
                <w:szCs w:val="24"/>
                <w:highlight w:val="none"/>
              </w:rPr>
            </w:pPr>
            <w:r>
              <w:rPr>
                <w:rFonts w:hint="eastAsia"/>
                <w:color w:val="auto"/>
                <w:highlight w:val="none"/>
              </w:rPr>
              <w:t>样机为一体化机构，内含雷达、视频摄像机、补光灯</w:t>
            </w:r>
            <w:r>
              <w:rPr>
                <w:rFonts w:hint="eastAsia"/>
                <w:color w:val="auto"/>
                <w:highlight w:val="none"/>
              </w:rPr>
              <w:br w:type="textWrapping"/>
            </w:r>
            <w:r>
              <w:rPr>
                <w:rFonts w:hint="eastAsia"/>
                <w:color w:val="auto"/>
                <w:highlight w:val="none"/>
              </w:rPr>
              <w:t>视频和抓拍图片分辨率支持（3840×2160）像素</w:t>
            </w:r>
            <w:r>
              <w:rPr>
                <w:rFonts w:hint="eastAsia"/>
                <w:color w:val="auto"/>
                <w:highlight w:val="none"/>
              </w:rPr>
              <w:br w:type="textWrapping"/>
            </w:r>
            <w:r>
              <w:rPr>
                <w:rFonts w:hint="eastAsia"/>
                <w:color w:val="auto"/>
                <w:highlight w:val="none"/>
              </w:rPr>
              <w:t>雷达检测范围可自动适配覆盖视频监控检测范围</w:t>
            </w:r>
            <w:r>
              <w:rPr>
                <w:rFonts w:hint="eastAsia"/>
                <w:color w:val="auto"/>
                <w:highlight w:val="none"/>
              </w:rPr>
              <w:br w:type="textWrapping"/>
            </w:r>
            <w:r>
              <w:rPr>
                <w:rFonts w:hint="eastAsia"/>
                <w:color w:val="auto"/>
                <w:highlight w:val="none"/>
              </w:rPr>
              <w:t>支持在视频预览画面实时显示雷达检测目标的速度信息，并可叠加到视频预览画面中的目标的位置</w:t>
            </w:r>
            <w:r>
              <w:rPr>
                <w:rFonts w:hint="eastAsia"/>
                <w:color w:val="auto"/>
                <w:highlight w:val="none"/>
              </w:rPr>
              <w:br w:type="textWrapping"/>
            </w:r>
            <w:r>
              <w:rPr>
                <w:rFonts w:hint="eastAsia"/>
                <w:color w:val="auto"/>
                <w:highlight w:val="none"/>
              </w:rPr>
              <w:t>支持雷达检测和视频检测结果坐标融合，支持手动标定，自动标定</w:t>
            </w:r>
            <w:r>
              <w:rPr>
                <w:rFonts w:hint="eastAsia"/>
                <w:color w:val="auto"/>
                <w:highlight w:val="none"/>
              </w:rPr>
              <w:br w:type="textWrapping"/>
            </w:r>
            <w:r>
              <w:rPr>
                <w:rFonts w:hint="eastAsia"/>
                <w:color w:val="auto"/>
                <w:highlight w:val="none"/>
              </w:rPr>
              <w:t>支持实时显示目标的相对位置坐标输出、车道号、速度、航向角</w:t>
            </w:r>
            <w:r>
              <w:rPr>
                <w:rFonts w:hint="eastAsia"/>
                <w:color w:val="auto"/>
                <w:highlight w:val="none"/>
              </w:rPr>
              <w:br w:type="textWrapping"/>
            </w:r>
            <w:r>
              <w:rPr>
                <w:rFonts w:hint="eastAsia"/>
                <w:color w:val="auto"/>
                <w:highlight w:val="none"/>
              </w:rPr>
              <w:t>支持实时输出检测目标的经纬度信息</w:t>
            </w:r>
            <w:r>
              <w:rPr>
                <w:rFonts w:hint="eastAsia"/>
                <w:color w:val="auto"/>
                <w:highlight w:val="none"/>
              </w:rPr>
              <w:br w:type="textWrapping"/>
            </w:r>
            <w:r>
              <w:rPr>
                <w:rFonts w:hint="eastAsia"/>
                <w:color w:val="auto"/>
                <w:highlight w:val="none"/>
              </w:rPr>
              <w:t>支持对雷达参数进行设置，包括检测速度、原点坐标、车道数、车道宽度、方向、架设高度、距离修正参数、角度修正参数</w:t>
            </w:r>
            <w:r>
              <w:rPr>
                <w:rFonts w:hint="eastAsia"/>
                <w:color w:val="auto"/>
                <w:highlight w:val="none"/>
              </w:rPr>
              <w:br w:type="textWrapping"/>
            </w:r>
            <w:r>
              <w:rPr>
                <w:rFonts w:hint="eastAsia"/>
                <w:color w:val="auto"/>
                <w:highlight w:val="none"/>
              </w:rPr>
              <w:t>支持目标轨迹跟踪和显示，可在web端展示目标轨迹</w:t>
            </w:r>
            <w:r>
              <w:rPr>
                <w:rFonts w:hint="eastAsia"/>
                <w:color w:val="auto"/>
                <w:highlight w:val="none"/>
              </w:rPr>
              <w:br w:type="textWrapping"/>
            </w:r>
            <w:r>
              <w:rPr>
                <w:rFonts w:hint="eastAsia"/>
                <w:color w:val="auto"/>
                <w:highlight w:val="none"/>
              </w:rPr>
              <w:t>支持实时输出目标的结构化信息，结构化信息包括车牌号、车牌颜色、车辆类型、车辆颜色、速度、车道号等</w:t>
            </w:r>
            <w:r>
              <w:rPr>
                <w:rFonts w:hint="eastAsia"/>
                <w:color w:val="auto"/>
                <w:highlight w:val="none"/>
              </w:rPr>
              <w:br w:type="textWrapping"/>
            </w:r>
            <w:r>
              <w:rPr>
                <w:rFonts w:hint="eastAsia"/>
                <w:color w:val="auto"/>
                <w:highlight w:val="none"/>
              </w:rPr>
              <w:t>支持对单车道的平均速度进行统计，在（-3km/h）的误差范围内，经过检测区域的平均速度统计准确率≥99%</w:t>
            </w:r>
            <w:r>
              <w:rPr>
                <w:rFonts w:hint="eastAsia"/>
                <w:color w:val="auto"/>
                <w:highlight w:val="none"/>
              </w:rPr>
              <w:br w:type="textWrapping"/>
            </w:r>
            <w:r>
              <w:rPr>
                <w:rFonts w:hint="eastAsia"/>
                <w:color w:val="auto"/>
                <w:highlight w:val="none"/>
              </w:rPr>
              <w:t>在夜间环境照度较低的情况下，通过雷达视频融合检测车辆目标，抓拍率≥99%</w:t>
            </w:r>
            <w:r>
              <w:rPr>
                <w:rFonts w:hint="eastAsia"/>
                <w:color w:val="auto"/>
                <w:highlight w:val="none"/>
              </w:rPr>
              <w:br w:type="textWrapping"/>
            </w:r>
            <w:r>
              <w:rPr>
                <w:rFonts w:hint="eastAsia"/>
                <w:color w:val="auto"/>
                <w:highlight w:val="none"/>
              </w:rPr>
              <w:t>样机可检测来向行驶和去向行驶的车辆目标</w:t>
            </w:r>
            <w:r>
              <w:rPr>
                <w:rFonts w:hint="eastAsia"/>
                <w:color w:val="auto"/>
                <w:highlight w:val="none"/>
              </w:rPr>
              <w:br w:type="textWrapping"/>
            </w:r>
            <w:r>
              <w:rPr>
                <w:rFonts w:hint="eastAsia"/>
                <w:color w:val="auto"/>
                <w:highlight w:val="none"/>
              </w:rPr>
              <w:t>支持交通信号评价数据输出，包括周期停车次数、排队长度等</w:t>
            </w:r>
            <w:r>
              <w:rPr>
                <w:rFonts w:hint="eastAsia"/>
                <w:color w:val="auto"/>
                <w:highlight w:val="none"/>
              </w:rPr>
              <w:br w:type="textWrapping"/>
            </w:r>
            <w:r>
              <w:rPr>
                <w:rFonts w:hint="eastAsia"/>
                <w:color w:val="auto"/>
                <w:highlight w:val="none"/>
              </w:rPr>
              <w:t>支持区域状态数据输出，包括秒级排队长度、车辆数、队首/尾车辆信息、车道车辆分布信息等</w:t>
            </w:r>
            <w:r>
              <w:rPr>
                <w:rFonts w:hint="eastAsia"/>
                <w:color w:val="auto"/>
                <w:highlight w:val="none"/>
              </w:rPr>
              <w:br w:type="textWrapping"/>
            </w:r>
            <w:r>
              <w:rPr>
                <w:rFonts w:hint="eastAsia"/>
                <w:color w:val="auto"/>
                <w:highlight w:val="none"/>
              </w:rPr>
              <w:t>防护等级，IP66</w:t>
            </w:r>
            <w:r>
              <w:rPr>
                <w:rFonts w:hint="eastAsia"/>
                <w:color w:val="auto"/>
                <w:highlight w:val="none"/>
              </w:rPr>
              <w:br w:type="textWrapping"/>
            </w:r>
            <w:r>
              <w:rPr>
                <w:rFonts w:hint="eastAsia"/>
                <w:color w:val="auto"/>
                <w:highlight w:val="none"/>
              </w:rPr>
              <w:t>★支持检测的机动车车道数量≥12个</w:t>
            </w:r>
            <w:r>
              <w:rPr>
                <w:rFonts w:hint="eastAsia"/>
                <w:color w:val="auto"/>
                <w:highlight w:val="none"/>
              </w:rPr>
              <w:br w:type="textWrapping"/>
            </w:r>
            <w:r>
              <w:rPr>
                <w:rFonts w:hint="eastAsia"/>
                <w:color w:val="auto"/>
                <w:highlight w:val="none"/>
              </w:rPr>
              <w:t>★支持区分距离≤0.5m的相邻交通目标</w:t>
            </w:r>
            <w:r>
              <w:rPr>
                <w:rFonts w:hint="eastAsia"/>
                <w:color w:val="auto"/>
                <w:highlight w:val="none"/>
              </w:rPr>
              <w:br w:type="textWrapping"/>
            </w:r>
            <w:r>
              <w:rPr>
                <w:rFonts w:ascii="宋体" w:hAnsi="宋体" w:eastAsia="宋体"/>
                <w:color w:val="auto"/>
                <w:sz w:val="24"/>
                <w:szCs w:val="24"/>
                <w:highlight w:val="none"/>
              </w:rPr>
              <w:t>★支持对≥</w:t>
            </w:r>
            <w:r>
              <w:rPr>
                <w:rFonts w:hint="eastAsia" w:ascii="宋体" w:hAnsi="宋体" w:eastAsia="宋体"/>
                <w:color w:val="auto"/>
                <w:sz w:val="24"/>
                <w:szCs w:val="24"/>
                <w:highlight w:val="none"/>
                <w:lang w:val="en-US" w:eastAsia="zh-CN"/>
              </w:rPr>
              <w:t>256</w:t>
            </w:r>
            <w:r>
              <w:rPr>
                <w:rFonts w:ascii="宋体" w:hAnsi="宋体" w:eastAsia="宋体"/>
                <w:color w:val="auto"/>
                <w:sz w:val="24"/>
                <w:szCs w:val="24"/>
                <w:highlight w:val="none"/>
              </w:rPr>
              <w:t>个交通目标进行检测，可对交通目标进行轨迹跟踪监测</w:t>
            </w:r>
          </w:p>
          <w:p w14:paraId="63D088A4">
            <w:pPr>
              <w:widowControl/>
              <w:textAlignment w:val="center"/>
              <w:rPr>
                <w:color w:val="auto"/>
                <w:highlight w:val="none"/>
              </w:rPr>
            </w:pPr>
            <w:r>
              <w:rPr>
                <w:rFonts w:hint="eastAsia"/>
                <w:color w:val="auto"/>
                <w:highlight w:val="none"/>
              </w:rPr>
              <w:t>★雷达检测到的车流量与实际过车样本数误差小于1%</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FC3D">
            <w:pPr>
              <w:widowControl/>
              <w:jc w:val="center"/>
              <w:textAlignment w:val="center"/>
              <w:rPr>
                <w:color w:val="auto"/>
                <w:highlight w:val="none"/>
              </w:rPr>
            </w:pPr>
            <w:r>
              <w:rPr>
                <w:rFonts w:hint="eastAsia"/>
                <w:color w:val="auto"/>
                <w:highlight w:val="none"/>
              </w:rPr>
              <w:t>台</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60B6">
            <w:pPr>
              <w:widowControl/>
              <w:jc w:val="center"/>
              <w:textAlignment w:val="center"/>
              <w:rPr>
                <w:color w:val="auto"/>
                <w:highlight w:val="none"/>
              </w:rPr>
            </w:pPr>
            <w:r>
              <w:rPr>
                <w:rFonts w:hint="eastAsia"/>
                <w:color w:val="auto"/>
                <w:highlight w:val="none"/>
              </w:rPr>
              <w:t xml:space="preserve">2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2BB8">
            <w:pPr>
              <w:rPr>
                <w:color w:val="auto"/>
                <w:highlight w:val="none"/>
              </w:rPr>
            </w:pPr>
          </w:p>
        </w:tc>
      </w:tr>
      <w:tr w14:paraId="1F7AA216">
        <w:tblPrEx>
          <w:tblCellMar>
            <w:top w:w="0" w:type="dxa"/>
            <w:left w:w="108" w:type="dxa"/>
            <w:bottom w:w="0" w:type="dxa"/>
            <w:right w:w="108" w:type="dxa"/>
          </w:tblCellMar>
        </w:tblPrEx>
        <w:trPr>
          <w:trHeight w:val="432"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C75C">
            <w:pPr>
              <w:widowControl/>
              <w:jc w:val="center"/>
              <w:textAlignment w:val="center"/>
              <w:rPr>
                <w:color w:val="auto"/>
                <w:highlight w:val="none"/>
              </w:rPr>
            </w:pPr>
            <w:r>
              <w:rPr>
                <w:rFonts w:hint="eastAsia"/>
                <w:color w:val="auto"/>
                <w:highlight w:val="none"/>
              </w:rPr>
              <w:t>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9F66">
            <w:pPr>
              <w:widowControl/>
              <w:jc w:val="center"/>
              <w:textAlignment w:val="center"/>
              <w:rPr>
                <w:color w:val="auto"/>
                <w:highlight w:val="none"/>
              </w:rPr>
            </w:pPr>
            <w:r>
              <w:rPr>
                <w:rFonts w:hint="eastAsia"/>
                <w:color w:val="auto"/>
                <w:highlight w:val="none"/>
              </w:rPr>
              <w:t>测速补光灯</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1232">
            <w:pPr>
              <w:widowControl/>
              <w:textAlignment w:val="center"/>
              <w:rPr>
                <w:color w:val="auto"/>
                <w:highlight w:val="none"/>
              </w:rPr>
            </w:pPr>
            <w:r>
              <w:rPr>
                <w:rFonts w:hint="eastAsia"/>
                <w:color w:val="auto"/>
                <w:highlight w:val="none"/>
              </w:rPr>
              <w:t>【红外】【16颗】LED常亮灯</w:t>
            </w:r>
            <w:r>
              <w:rPr>
                <w:rFonts w:hint="eastAsia"/>
                <w:color w:val="auto"/>
                <w:highlight w:val="none"/>
              </w:rPr>
              <w:br w:type="textWrapping"/>
            </w:r>
            <w:r>
              <w:rPr>
                <w:rFonts w:hint="eastAsia"/>
                <w:color w:val="auto"/>
                <w:highlight w:val="none"/>
              </w:rPr>
              <w:t>光源类型：原装大功率红外LED，三车道补光</w:t>
            </w:r>
            <w:r>
              <w:rPr>
                <w:rFonts w:hint="eastAsia"/>
                <w:color w:val="auto"/>
                <w:highlight w:val="none"/>
              </w:rPr>
              <w:br w:type="textWrapping"/>
            </w:r>
            <w:r>
              <w:rPr>
                <w:rFonts w:hint="eastAsia"/>
                <w:color w:val="auto"/>
                <w:highlight w:val="none"/>
              </w:rPr>
              <w:t>LED灯珠数量：16颗</w:t>
            </w:r>
            <w:r>
              <w:rPr>
                <w:rFonts w:hint="eastAsia"/>
                <w:color w:val="auto"/>
                <w:highlight w:val="none"/>
              </w:rPr>
              <w:br w:type="textWrapping"/>
            </w:r>
            <w:r>
              <w:rPr>
                <w:rFonts w:hint="eastAsia"/>
                <w:color w:val="auto"/>
                <w:highlight w:val="none"/>
              </w:rPr>
              <w:t>发光角度：40°</w:t>
            </w:r>
            <w:r>
              <w:rPr>
                <w:rFonts w:hint="eastAsia"/>
                <w:color w:val="auto"/>
                <w:highlight w:val="none"/>
              </w:rPr>
              <w:br w:type="textWrapping"/>
            </w:r>
            <w:r>
              <w:rPr>
                <w:rFonts w:hint="eastAsia"/>
                <w:color w:val="auto"/>
                <w:highlight w:val="none"/>
              </w:rPr>
              <w:t>最佳补光距离：16米-25米</w:t>
            </w:r>
            <w:r>
              <w:rPr>
                <w:rFonts w:hint="eastAsia"/>
                <w:color w:val="auto"/>
                <w:highlight w:val="none"/>
              </w:rPr>
              <w:br w:type="textWrapping"/>
            </w:r>
            <w:r>
              <w:rPr>
                <w:rFonts w:hint="eastAsia"/>
                <w:color w:val="auto"/>
                <w:highlight w:val="none"/>
              </w:rPr>
              <w:t>触发方式：光敏控制</w:t>
            </w:r>
            <w:r>
              <w:rPr>
                <w:rFonts w:hint="eastAsia"/>
                <w:color w:val="auto"/>
                <w:highlight w:val="none"/>
              </w:rPr>
              <w:br w:type="textWrapping"/>
            </w:r>
            <w:r>
              <w:rPr>
                <w:rFonts w:hint="eastAsia"/>
                <w:color w:val="auto"/>
                <w:highlight w:val="none"/>
              </w:rPr>
              <w:t>防护等级：IP66</w:t>
            </w:r>
            <w:r>
              <w:rPr>
                <w:rFonts w:hint="eastAsia"/>
                <w:color w:val="auto"/>
                <w:highlight w:val="none"/>
              </w:rPr>
              <w:br w:type="textWrapping"/>
            </w:r>
            <w:r>
              <w:rPr>
                <w:rFonts w:hint="eastAsia"/>
                <w:color w:val="auto"/>
                <w:highlight w:val="none"/>
              </w:rPr>
              <w:t>外形尺寸：128mm(D)×216mm(H)×159mm(W)</w:t>
            </w:r>
            <w:r>
              <w:rPr>
                <w:rFonts w:hint="eastAsia"/>
                <w:color w:val="auto"/>
                <w:highlight w:val="none"/>
              </w:rPr>
              <w:br w:type="textWrapping"/>
            </w:r>
            <w:r>
              <w:rPr>
                <w:rFonts w:hint="eastAsia"/>
                <w:color w:val="auto"/>
                <w:highlight w:val="none"/>
              </w:rPr>
              <w:t>整体重量：2.72Kg</w:t>
            </w:r>
            <w:r>
              <w:rPr>
                <w:rFonts w:hint="eastAsia"/>
                <w:color w:val="auto"/>
                <w:highlight w:val="none"/>
              </w:rPr>
              <w:br w:type="textWrapping"/>
            </w:r>
            <w:r>
              <w:rPr>
                <w:rFonts w:hint="eastAsia"/>
                <w:color w:val="auto"/>
                <w:highlight w:val="none"/>
              </w:rPr>
              <w:t>功率：最大功率36W(实际功率与控制方式有关)</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E2B2">
            <w:pPr>
              <w:widowControl/>
              <w:jc w:val="center"/>
              <w:textAlignment w:val="center"/>
              <w:rPr>
                <w:color w:val="auto"/>
                <w:highlight w:val="none"/>
              </w:rPr>
            </w:pPr>
            <w:r>
              <w:rPr>
                <w:rFonts w:hint="eastAsia"/>
                <w:color w:val="auto"/>
                <w:highlight w:val="none"/>
              </w:rPr>
              <w:t>台</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8C44">
            <w:pPr>
              <w:widowControl/>
              <w:jc w:val="center"/>
              <w:textAlignment w:val="center"/>
              <w:rPr>
                <w:color w:val="auto"/>
                <w:highlight w:val="none"/>
              </w:rPr>
            </w:pPr>
            <w:r>
              <w:rPr>
                <w:rFonts w:hint="eastAsia"/>
                <w:color w:val="auto"/>
                <w:highlight w:val="none"/>
              </w:rPr>
              <w:t xml:space="preserve">2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FFD2">
            <w:pPr>
              <w:rPr>
                <w:color w:val="auto"/>
                <w:highlight w:val="none"/>
              </w:rPr>
            </w:pPr>
          </w:p>
        </w:tc>
      </w:tr>
      <w:tr w14:paraId="3EB2A826">
        <w:tblPrEx>
          <w:tblCellMar>
            <w:top w:w="0" w:type="dxa"/>
            <w:left w:w="108" w:type="dxa"/>
            <w:bottom w:w="0" w:type="dxa"/>
            <w:right w:w="108" w:type="dxa"/>
          </w:tblCellMar>
        </w:tblPrEx>
        <w:trPr>
          <w:trHeight w:val="432"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1081">
            <w:pPr>
              <w:widowControl/>
              <w:jc w:val="center"/>
              <w:textAlignment w:val="center"/>
              <w:rPr>
                <w:color w:val="auto"/>
                <w:highlight w:val="none"/>
              </w:rPr>
            </w:pPr>
            <w:r>
              <w:rPr>
                <w:rFonts w:hint="eastAsia"/>
                <w:color w:val="auto"/>
                <w:highlight w:val="none"/>
              </w:rPr>
              <w:t>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10D4">
            <w:pPr>
              <w:widowControl/>
              <w:jc w:val="center"/>
              <w:textAlignment w:val="center"/>
              <w:rPr>
                <w:color w:val="auto"/>
                <w:highlight w:val="none"/>
              </w:rPr>
            </w:pPr>
            <w:r>
              <w:rPr>
                <w:rFonts w:hint="eastAsia"/>
                <w:color w:val="auto"/>
                <w:highlight w:val="none"/>
              </w:rPr>
              <w:t>测速牌</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226A">
            <w:pPr>
              <w:widowControl/>
              <w:textAlignment w:val="center"/>
              <w:rPr>
                <w:color w:val="auto"/>
                <w:highlight w:val="none"/>
              </w:rPr>
            </w:pPr>
            <w:r>
              <w:rPr>
                <w:rFonts w:hint="eastAsia"/>
                <w:color w:val="auto"/>
                <w:highlight w:val="none"/>
              </w:rPr>
              <w:t>包含：测速牌、抱箍（直径：114mm）</w:t>
            </w:r>
            <w:r>
              <w:rPr>
                <w:rFonts w:hint="eastAsia"/>
                <w:color w:val="auto"/>
                <w:highlight w:val="none"/>
              </w:rPr>
              <w:br w:type="textWrapping"/>
            </w:r>
            <w:r>
              <w:rPr>
                <w:rFonts w:hint="eastAsia"/>
                <w:color w:val="auto"/>
                <w:highlight w:val="none"/>
              </w:rPr>
              <w:t>产品尺寸：800mm×1800mm×100mm</w:t>
            </w:r>
            <w:r>
              <w:rPr>
                <w:rFonts w:hint="eastAsia"/>
                <w:color w:val="auto"/>
                <w:highlight w:val="none"/>
              </w:rPr>
              <w:br w:type="textWrapping"/>
            </w:r>
            <w:r>
              <w:rPr>
                <w:rFonts w:hint="eastAsia"/>
                <w:color w:val="auto"/>
                <w:highlight w:val="none"/>
              </w:rPr>
              <w:t>外壳材质：铝板折边、表面喷塑贴反光膜</w:t>
            </w:r>
            <w:r>
              <w:rPr>
                <w:rFonts w:hint="eastAsia"/>
                <w:color w:val="auto"/>
                <w:highlight w:val="none"/>
              </w:rPr>
              <w:br w:type="textWrapping"/>
            </w:r>
            <w:r>
              <w:rPr>
                <w:rFonts w:hint="eastAsia"/>
                <w:color w:val="auto"/>
                <w:highlight w:val="none"/>
              </w:rPr>
              <w:t>工作电压：AC 220V±44V，50Hz</w:t>
            </w:r>
            <w:r>
              <w:rPr>
                <w:rFonts w:hint="eastAsia"/>
                <w:color w:val="auto"/>
                <w:highlight w:val="none"/>
              </w:rPr>
              <w:br w:type="textWrapping"/>
            </w:r>
            <w:r>
              <w:rPr>
                <w:rFonts w:hint="eastAsia"/>
                <w:color w:val="auto"/>
                <w:highlight w:val="none"/>
              </w:rPr>
              <w:t>总功率：≤10W</w:t>
            </w:r>
            <w:r>
              <w:rPr>
                <w:rFonts w:hint="eastAsia"/>
                <w:color w:val="auto"/>
                <w:highlight w:val="none"/>
              </w:rPr>
              <w:br w:type="textWrapping"/>
            </w:r>
            <w:r>
              <w:rPr>
                <w:rFonts w:hint="eastAsia"/>
                <w:color w:val="auto"/>
                <w:highlight w:val="none"/>
              </w:rPr>
              <w:t>通讯接口：RJ45</w:t>
            </w:r>
            <w:r>
              <w:rPr>
                <w:rFonts w:hint="eastAsia"/>
                <w:color w:val="auto"/>
                <w:highlight w:val="none"/>
              </w:rPr>
              <w:br w:type="textWrapping"/>
            </w:r>
            <w:r>
              <w:rPr>
                <w:rFonts w:hint="eastAsia"/>
                <w:color w:val="auto"/>
                <w:highlight w:val="none"/>
              </w:rPr>
              <w:t>测速显示数值：红199～1；绿199～1</w:t>
            </w:r>
            <w:r>
              <w:rPr>
                <w:rFonts w:hint="eastAsia"/>
                <w:color w:val="auto"/>
                <w:highlight w:val="none"/>
              </w:rPr>
              <w:br w:type="textWrapping"/>
            </w:r>
            <w:r>
              <w:rPr>
                <w:rFonts w:hint="eastAsia"/>
                <w:color w:val="auto"/>
                <w:highlight w:val="none"/>
              </w:rPr>
              <w:t>LED中心亮度：红&amp;gt;5000 cd/㎡；黄&amp;gt;5000 cd/㎡ ；绿&amp;gt;5000 cd/㎡</w:t>
            </w:r>
            <w:r>
              <w:rPr>
                <w:rFonts w:hint="eastAsia"/>
                <w:color w:val="auto"/>
                <w:highlight w:val="none"/>
              </w:rPr>
              <w:br w:type="textWrapping"/>
            </w:r>
            <w:r>
              <w:rPr>
                <w:rFonts w:hint="eastAsia"/>
                <w:color w:val="auto"/>
                <w:highlight w:val="none"/>
              </w:rPr>
              <w:t>LED波长：红:628nm±1nm；黄:590nm±1nm；绿:505nm±1nm</w:t>
            </w:r>
            <w:r>
              <w:rPr>
                <w:rFonts w:hint="eastAsia"/>
                <w:color w:val="auto"/>
                <w:highlight w:val="none"/>
              </w:rPr>
              <w:br w:type="textWrapping"/>
            </w:r>
            <w:r>
              <w:rPr>
                <w:rFonts w:hint="eastAsia"/>
                <w:color w:val="auto"/>
                <w:highlight w:val="none"/>
              </w:rPr>
              <w:t>LED直径：Φ5</w:t>
            </w:r>
            <w:r>
              <w:rPr>
                <w:rFonts w:hint="eastAsia"/>
                <w:color w:val="auto"/>
                <w:highlight w:val="none"/>
              </w:rPr>
              <w:br w:type="textWrapping"/>
            </w:r>
            <w:r>
              <w:rPr>
                <w:rFonts w:hint="eastAsia"/>
                <w:color w:val="auto"/>
                <w:highlight w:val="none"/>
              </w:rPr>
              <w:t>单管电流：≤20mA</w:t>
            </w:r>
            <w:r>
              <w:rPr>
                <w:rFonts w:hint="eastAsia"/>
                <w:color w:val="auto"/>
                <w:highlight w:val="none"/>
              </w:rPr>
              <w:br w:type="textWrapping"/>
            </w:r>
            <w:r>
              <w:rPr>
                <w:rFonts w:hint="eastAsia"/>
                <w:color w:val="auto"/>
                <w:highlight w:val="none"/>
              </w:rPr>
              <w:t>LED寿命：≥100000小时</w:t>
            </w:r>
            <w:r>
              <w:rPr>
                <w:rFonts w:hint="eastAsia"/>
                <w:color w:val="auto"/>
                <w:highlight w:val="none"/>
              </w:rPr>
              <w:br w:type="textWrapping"/>
            </w:r>
            <w:r>
              <w:rPr>
                <w:rFonts w:hint="eastAsia"/>
                <w:color w:val="auto"/>
                <w:highlight w:val="none"/>
              </w:rPr>
              <w:t>反光膜等级：3级</w:t>
            </w:r>
            <w:r>
              <w:rPr>
                <w:rFonts w:hint="eastAsia"/>
                <w:color w:val="auto"/>
                <w:highlight w:val="none"/>
              </w:rPr>
              <w:br w:type="textWrapping"/>
            </w:r>
            <w:r>
              <w:rPr>
                <w:rFonts w:hint="eastAsia"/>
                <w:color w:val="auto"/>
                <w:highlight w:val="none"/>
              </w:rPr>
              <w:t xml:space="preserve">反光膜寿命：≥10年  </w:t>
            </w:r>
            <w:r>
              <w:rPr>
                <w:rFonts w:hint="eastAsia"/>
                <w:color w:val="auto"/>
                <w:highlight w:val="none"/>
              </w:rPr>
              <w:br w:type="textWrapping"/>
            </w:r>
            <w:r>
              <w:rPr>
                <w:rFonts w:hint="eastAsia"/>
                <w:color w:val="auto"/>
                <w:highlight w:val="none"/>
              </w:rPr>
              <w:t>可视距离：≥500m</w:t>
            </w:r>
            <w:r>
              <w:rPr>
                <w:rFonts w:hint="eastAsia"/>
                <w:color w:val="auto"/>
                <w:highlight w:val="none"/>
              </w:rPr>
              <w:br w:type="textWrapping"/>
            </w:r>
            <w:r>
              <w:rPr>
                <w:rFonts w:hint="eastAsia"/>
                <w:color w:val="auto"/>
                <w:highlight w:val="none"/>
              </w:rPr>
              <w:t>可视角度：&amp;gt;30°</w:t>
            </w:r>
            <w:r>
              <w:rPr>
                <w:rFonts w:hint="eastAsia"/>
                <w:color w:val="auto"/>
                <w:highlight w:val="none"/>
              </w:rPr>
              <w:br w:type="textWrapping"/>
            </w:r>
            <w:r>
              <w:rPr>
                <w:rFonts w:hint="eastAsia"/>
                <w:color w:val="auto"/>
                <w:highlight w:val="none"/>
              </w:rPr>
              <w:t>工作温度：-40℃ ~ +80℃</w:t>
            </w:r>
            <w:r>
              <w:rPr>
                <w:rFonts w:hint="eastAsia"/>
                <w:color w:val="auto"/>
                <w:highlight w:val="none"/>
              </w:rPr>
              <w:br w:type="textWrapping"/>
            </w:r>
            <w:r>
              <w:rPr>
                <w:rFonts w:hint="eastAsia"/>
                <w:color w:val="auto"/>
                <w:highlight w:val="none"/>
              </w:rPr>
              <w:t>相对湿度：≤95%</w:t>
            </w:r>
            <w:r>
              <w:rPr>
                <w:rFonts w:hint="eastAsia"/>
                <w:color w:val="auto"/>
                <w:highlight w:val="none"/>
              </w:rPr>
              <w:br w:type="textWrapping"/>
            </w:r>
            <w:r>
              <w:rPr>
                <w:rFonts w:hint="eastAsia"/>
                <w:color w:val="auto"/>
                <w:highlight w:val="none"/>
              </w:rPr>
              <w:t>保存环境：0~50℃，40~60%RH</w:t>
            </w:r>
            <w:r>
              <w:rPr>
                <w:rFonts w:hint="eastAsia"/>
                <w:color w:val="auto"/>
                <w:highlight w:val="none"/>
              </w:rPr>
              <w:br w:type="textWrapping"/>
            </w:r>
            <w:r>
              <w:rPr>
                <w:rFonts w:hint="eastAsia"/>
                <w:color w:val="auto"/>
                <w:highlight w:val="none"/>
              </w:rPr>
              <w:t>防护等级：IP53</w:t>
            </w:r>
            <w:r>
              <w:rPr>
                <w:rFonts w:hint="eastAsia"/>
                <w:color w:val="auto"/>
                <w:highlight w:val="none"/>
              </w:rPr>
              <w:br w:type="textWrapping"/>
            </w:r>
            <w:r>
              <w:rPr>
                <w:rFonts w:hint="eastAsia"/>
                <w:color w:val="auto"/>
                <w:highlight w:val="none"/>
              </w:rPr>
              <w:t>重量：≤24KG</w:t>
            </w:r>
            <w:r>
              <w:rPr>
                <w:rFonts w:hint="eastAsia"/>
                <w:color w:val="auto"/>
                <w:highlight w:val="none"/>
              </w:rPr>
              <w:br w:type="textWrapping"/>
            </w:r>
            <w:r>
              <w:rPr>
                <w:rFonts w:hint="eastAsia"/>
                <w:color w:val="auto"/>
                <w:highlight w:val="none"/>
              </w:rPr>
              <w:t>安装方式：立杆安装</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AA39">
            <w:pPr>
              <w:widowControl/>
              <w:jc w:val="center"/>
              <w:textAlignment w:val="center"/>
              <w:rPr>
                <w:color w:val="auto"/>
                <w:highlight w:val="none"/>
              </w:rPr>
            </w:pPr>
            <w:r>
              <w:rPr>
                <w:rFonts w:hint="eastAsia"/>
                <w:color w:val="auto"/>
                <w:highlight w:val="none"/>
              </w:rPr>
              <w:t>个</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921E">
            <w:pPr>
              <w:widowControl/>
              <w:jc w:val="center"/>
              <w:textAlignment w:val="center"/>
              <w:rPr>
                <w:color w:val="auto"/>
                <w:highlight w:val="none"/>
              </w:rPr>
            </w:pPr>
            <w:r>
              <w:rPr>
                <w:rFonts w:hint="eastAsia"/>
                <w:color w:val="auto"/>
                <w:highlight w:val="none"/>
              </w:rPr>
              <w:t xml:space="preserve">2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456A">
            <w:pPr>
              <w:rPr>
                <w:color w:val="auto"/>
                <w:highlight w:val="none"/>
              </w:rPr>
            </w:pPr>
          </w:p>
        </w:tc>
      </w:tr>
      <w:tr w14:paraId="6DB2418B">
        <w:tblPrEx>
          <w:tblCellMar>
            <w:top w:w="0" w:type="dxa"/>
            <w:left w:w="108" w:type="dxa"/>
            <w:bottom w:w="0" w:type="dxa"/>
            <w:right w:w="108" w:type="dxa"/>
          </w:tblCellMar>
        </w:tblPrEx>
        <w:trPr>
          <w:trHeight w:val="430"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75FB">
            <w:pPr>
              <w:widowControl/>
              <w:jc w:val="center"/>
              <w:textAlignment w:val="center"/>
              <w:rPr>
                <w:color w:val="auto"/>
                <w:highlight w:val="none"/>
              </w:rPr>
            </w:pPr>
            <w:r>
              <w:rPr>
                <w:rFonts w:hint="eastAsia"/>
                <w:color w:val="auto"/>
                <w:highlight w:val="none"/>
              </w:rPr>
              <w:t>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9955">
            <w:pPr>
              <w:widowControl/>
              <w:jc w:val="center"/>
              <w:textAlignment w:val="center"/>
              <w:rPr>
                <w:color w:val="auto"/>
                <w:highlight w:val="none"/>
              </w:rPr>
            </w:pPr>
            <w:r>
              <w:rPr>
                <w:rFonts w:hint="eastAsia"/>
                <w:color w:val="auto"/>
                <w:highlight w:val="none"/>
              </w:rPr>
              <w:t>鹰眼支架</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FBFC">
            <w:pPr>
              <w:widowControl/>
              <w:textAlignment w:val="center"/>
              <w:rPr>
                <w:color w:val="auto"/>
                <w:highlight w:val="none"/>
              </w:rPr>
            </w:pPr>
            <w:r>
              <w:rPr>
                <w:rFonts w:hint="eastAsia"/>
                <w:color w:val="auto"/>
                <w:highlight w:val="none"/>
              </w:rPr>
              <w:t>根据现场定制借杆支架，镀锌喷塑</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C704">
            <w:pPr>
              <w:widowControl/>
              <w:jc w:val="center"/>
              <w:textAlignment w:val="center"/>
              <w:rPr>
                <w:color w:val="auto"/>
                <w:highlight w:val="none"/>
              </w:rPr>
            </w:pPr>
            <w:r>
              <w:rPr>
                <w:rFonts w:hint="eastAsia"/>
                <w:color w:val="auto"/>
                <w:highlight w:val="none"/>
              </w:rPr>
              <w:t>套</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FFF0">
            <w:pPr>
              <w:widowControl/>
              <w:jc w:val="center"/>
              <w:textAlignment w:val="center"/>
              <w:rPr>
                <w:color w:val="auto"/>
                <w:highlight w:val="none"/>
              </w:rPr>
            </w:pPr>
            <w:r>
              <w:rPr>
                <w:rFonts w:hint="eastAsia"/>
                <w:color w:val="auto"/>
                <w:highlight w:val="none"/>
              </w:rPr>
              <w:t xml:space="preserve">2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EAEC">
            <w:pPr>
              <w:rPr>
                <w:color w:val="auto"/>
                <w:highlight w:val="none"/>
              </w:rPr>
            </w:pPr>
          </w:p>
        </w:tc>
      </w:tr>
      <w:tr w14:paraId="4EB85E28">
        <w:tblPrEx>
          <w:tblCellMar>
            <w:top w:w="0" w:type="dxa"/>
            <w:left w:w="108" w:type="dxa"/>
            <w:bottom w:w="0" w:type="dxa"/>
            <w:right w:w="108" w:type="dxa"/>
          </w:tblCellMar>
        </w:tblPrEx>
        <w:trPr>
          <w:trHeight w:val="600"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F669">
            <w:pPr>
              <w:widowControl/>
              <w:jc w:val="center"/>
              <w:textAlignment w:val="center"/>
              <w:rPr>
                <w:color w:val="auto"/>
                <w:highlight w:val="none"/>
              </w:rPr>
            </w:pPr>
            <w:r>
              <w:rPr>
                <w:rFonts w:hint="eastAsia"/>
                <w:color w:val="auto"/>
                <w:highlight w:val="none"/>
              </w:rPr>
              <w:t>10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2A01">
            <w:pPr>
              <w:widowControl/>
              <w:jc w:val="center"/>
              <w:textAlignment w:val="center"/>
              <w:rPr>
                <w:color w:val="auto"/>
                <w:highlight w:val="none"/>
              </w:rPr>
            </w:pPr>
            <w:r>
              <w:rPr>
                <w:rFonts w:hint="eastAsia"/>
                <w:color w:val="auto"/>
                <w:highlight w:val="none"/>
              </w:rPr>
              <w:t>借杆支架</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055E">
            <w:pPr>
              <w:widowControl/>
              <w:textAlignment w:val="center"/>
              <w:rPr>
                <w:color w:val="auto"/>
                <w:highlight w:val="none"/>
              </w:rPr>
            </w:pPr>
            <w:r>
              <w:rPr>
                <w:rFonts w:hint="eastAsia"/>
                <w:color w:val="auto"/>
                <w:highlight w:val="none"/>
              </w:rPr>
              <w:t>金属材质，根据现场定做横臂</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F996">
            <w:pPr>
              <w:widowControl/>
              <w:jc w:val="center"/>
              <w:textAlignment w:val="center"/>
              <w:rPr>
                <w:color w:val="auto"/>
                <w:highlight w:val="none"/>
              </w:rPr>
            </w:pPr>
            <w:r>
              <w:rPr>
                <w:rFonts w:hint="eastAsia"/>
                <w:color w:val="auto"/>
                <w:highlight w:val="none"/>
              </w:rPr>
              <w:t>根</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B484">
            <w:pPr>
              <w:widowControl/>
              <w:jc w:val="center"/>
              <w:textAlignment w:val="center"/>
              <w:rPr>
                <w:color w:val="auto"/>
                <w:highlight w:val="none"/>
              </w:rPr>
            </w:pPr>
            <w:r>
              <w:rPr>
                <w:rFonts w:hint="eastAsia"/>
                <w:color w:val="auto"/>
                <w:highlight w:val="none"/>
              </w:rPr>
              <w:t>32</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2D426">
            <w:pPr>
              <w:jc w:val="center"/>
              <w:rPr>
                <w:color w:val="auto"/>
                <w:highlight w:val="none"/>
              </w:rPr>
            </w:pPr>
          </w:p>
        </w:tc>
      </w:tr>
      <w:tr w14:paraId="2E3E60B1">
        <w:tblPrEx>
          <w:tblCellMar>
            <w:top w:w="0" w:type="dxa"/>
            <w:left w:w="108" w:type="dxa"/>
            <w:bottom w:w="0" w:type="dxa"/>
            <w:right w:w="108" w:type="dxa"/>
          </w:tblCellMar>
        </w:tblPrEx>
        <w:trPr>
          <w:trHeight w:val="430"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8CDB">
            <w:pPr>
              <w:widowControl/>
              <w:jc w:val="center"/>
              <w:textAlignment w:val="center"/>
              <w:rPr>
                <w:color w:val="auto"/>
                <w:highlight w:val="none"/>
              </w:rPr>
            </w:pPr>
            <w:r>
              <w:rPr>
                <w:rFonts w:hint="eastAsia"/>
                <w:color w:val="auto"/>
                <w:highlight w:val="none"/>
              </w:rPr>
              <w:t>11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5A65">
            <w:pPr>
              <w:widowControl/>
              <w:jc w:val="center"/>
              <w:textAlignment w:val="center"/>
              <w:rPr>
                <w:color w:val="auto"/>
                <w:highlight w:val="none"/>
              </w:rPr>
            </w:pPr>
            <w:r>
              <w:rPr>
                <w:rFonts w:hint="eastAsia"/>
                <w:color w:val="auto"/>
                <w:highlight w:val="none"/>
              </w:rPr>
              <w:t>监控立杆</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38BB">
            <w:pPr>
              <w:widowControl/>
              <w:textAlignment w:val="center"/>
              <w:rPr>
                <w:color w:val="auto"/>
                <w:highlight w:val="none"/>
              </w:rPr>
            </w:pPr>
            <w:r>
              <w:rPr>
                <w:rFonts w:hint="eastAsia"/>
                <w:color w:val="auto"/>
                <w:highlight w:val="none"/>
              </w:rPr>
              <w:t>杆件参数 ：材质：Q235B;杆型：等径圆杆；杆件高度6米:杆径φ140；壁厚4.0mm；支臂长度：1-4M；支臂壁厚：3.0mm；支臂直径：φ89；仰角：91°</w:t>
            </w:r>
            <w:r>
              <w:rPr>
                <w:rFonts w:hint="eastAsia"/>
                <w:color w:val="auto"/>
                <w:highlight w:val="none"/>
              </w:rPr>
              <w:br w:type="textWrapping"/>
            </w:r>
            <w:r>
              <w:rPr>
                <w:rFonts w:hint="eastAsia"/>
                <w:color w:val="auto"/>
                <w:highlight w:val="none"/>
              </w:rPr>
              <w:t>杆件表层工艺：热浸锌75um；表层喷塑，颜色可选；</w:t>
            </w:r>
            <w:r>
              <w:rPr>
                <w:rFonts w:hint="eastAsia"/>
                <w:color w:val="auto"/>
                <w:highlight w:val="none"/>
              </w:rPr>
              <w:br w:type="textWrapping"/>
            </w:r>
            <w:r>
              <w:rPr>
                <w:rFonts w:hint="eastAsia"/>
                <w:color w:val="auto"/>
                <w:highlight w:val="none"/>
              </w:rPr>
              <w:t>法兰盘：底部法兰：300*300*16.0mm；上法兰：250*250*14.0mm，中空φ130</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42E0">
            <w:pPr>
              <w:widowControl/>
              <w:jc w:val="center"/>
              <w:textAlignment w:val="center"/>
              <w:rPr>
                <w:color w:val="auto"/>
                <w:highlight w:val="none"/>
              </w:rPr>
            </w:pPr>
            <w:r>
              <w:rPr>
                <w:rFonts w:hint="eastAsia"/>
                <w:color w:val="auto"/>
                <w:highlight w:val="none"/>
              </w:rPr>
              <w:t>套</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EE31">
            <w:pPr>
              <w:widowControl/>
              <w:jc w:val="center"/>
              <w:textAlignment w:val="center"/>
              <w:rPr>
                <w:color w:val="auto"/>
                <w:highlight w:val="none"/>
              </w:rPr>
            </w:pPr>
            <w:r>
              <w:rPr>
                <w:rFonts w:hint="eastAsia"/>
                <w:color w:val="auto"/>
                <w:highlight w:val="none"/>
              </w:rPr>
              <w:t>28</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9BE1">
            <w:pPr>
              <w:rPr>
                <w:color w:val="auto"/>
                <w:highlight w:val="none"/>
              </w:rPr>
            </w:pPr>
          </w:p>
        </w:tc>
      </w:tr>
      <w:tr w14:paraId="44B6B22D">
        <w:tblPrEx>
          <w:tblCellMar>
            <w:top w:w="0" w:type="dxa"/>
            <w:left w:w="108" w:type="dxa"/>
            <w:bottom w:w="0" w:type="dxa"/>
            <w:right w:w="108" w:type="dxa"/>
          </w:tblCellMar>
        </w:tblPrEx>
        <w:trPr>
          <w:trHeight w:val="600"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CA2E">
            <w:pPr>
              <w:widowControl/>
              <w:jc w:val="center"/>
              <w:textAlignment w:val="center"/>
              <w:rPr>
                <w:color w:val="auto"/>
                <w:highlight w:val="none"/>
              </w:rPr>
            </w:pPr>
            <w:r>
              <w:rPr>
                <w:rFonts w:hint="eastAsia"/>
                <w:color w:val="auto"/>
                <w:highlight w:val="none"/>
              </w:rPr>
              <w:t>12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8691">
            <w:pPr>
              <w:widowControl/>
              <w:jc w:val="center"/>
              <w:textAlignment w:val="center"/>
              <w:rPr>
                <w:color w:val="auto"/>
                <w:highlight w:val="none"/>
              </w:rPr>
            </w:pPr>
            <w:r>
              <w:rPr>
                <w:rFonts w:hint="eastAsia"/>
                <w:color w:val="auto"/>
                <w:highlight w:val="none"/>
              </w:rPr>
              <w:t>监控立杆基础</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633C">
            <w:pPr>
              <w:widowControl/>
              <w:textAlignment w:val="center"/>
              <w:rPr>
                <w:color w:val="auto"/>
                <w:highlight w:val="none"/>
              </w:rPr>
            </w:pPr>
            <w:r>
              <w:rPr>
                <w:rFonts w:hint="eastAsia"/>
                <w:color w:val="auto"/>
                <w:highlight w:val="none"/>
              </w:rPr>
              <w:t>尺寸：800*800*1000，C25混凝土基础，土方开挖回填，基础地笼、法兰盘等构件所配钢筋符合行业及受风要求：预埋件地脚螺栓法兰盘以上螺纹包扎良好以防损坏螺纹。根据预埋件安装图正确放置监控立杆预埋件，保证支臂杆的伸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41BE">
            <w:pPr>
              <w:widowControl/>
              <w:jc w:val="center"/>
              <w:textAlignment w:val="center"/>
              <w:rPr>
                <w:color w:val="auto"/>
                <w:highlight w:val="none"/>
              </w:rPr>
            </w:pPr>
            <w:r>
              <w:rPr>
                <w:rFonts w:hint="eastAsia"/>
                <w:color w:val="auto"/>
                <w:highlight w:val="none"/>
              </w:rPr>
              <w:t>套</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3D3F">
            <w:pPr>
              <w:widowControl/>
              <w:jc w:val="center"/>
              <w:textAlignment w:val="center"/>
              <w:rPr>
                <w:color w:val="auto"/>
                <w:highlight w:val="none"/>
              </w:rPr>
            </w:pPr>
            <w:r>
              <w:rPr>
                <w:rFonts w:hint="eastAsia"/>
                <w:color w:val="auto"/>
                <w:highlight w:val="none"/>
              </w:rPr>
              <w:t>28</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CFE0">
            <w:pPr>
              <w:jc w:val="center"/>
              <w:rPr>
                <w:color w:val="auto"/>
                <w:highlight w:val="none"/>
              </w:rPr>
            </w:pPr>
          </w:p>
        </w:tc>
      </w:tr>
      <w:tr w14:paraId="3C098A97">
        <w:tblPrEx>
          <w:tblCellMar>
            <w:top w:w="0" w:type="dxa"/>
            <w:left w:w="108" w:type="dxa"/>
            <w:bottom w:w="0" w:type="dxa"/>
            <w:right w:w="108" w:type="dxa"/>
          </w:tblCellMar>
        </w:tblPrEx>
        <w:trPr>
          <w:trHeight w:val="432"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A697">
            <w:pPr>
              <w:widowControl/>
              <w:jc w:val="center"/>
              <w:textAlignment w:val="center"/>
              <w:rPr>
                <w:color w:val="auto"/>
                <w:highlight w:val="none"/>
              </w:rPr>
            </w:pPr>
            <w:r>
              <w:rPr>
                <w:rFonts w:hint="eastAsia"/>
                <w:color w:val="auto"/>
                <w:highlight w:val="none"/>
              </w:rPr>
              <w:t>13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A1C7">
            <w:pPr>
              <w:widowControl/>
              <w:jc w:val="center"/>
              <w:textAlignment w:val="center"/>
              <w:rPr>
                <w:color w:val="auto"/>
                <w:highlight w:val="none"/>
              </w:rPr>
            </w:pPr>
            <w:r>
              <w:rPr>
                <w:rFonts w:hint="eastAsia"/>
                <w:color w:val="auto"/>
                <w:highlight w:val="none"/>
              </w:rPr>
              <w:t>测速立杆</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3BD0">
            <w:pPr>
              <w:widowControl/>
              <w:jc w:val="center"/>
              <w:textAlignment w:val="center"/>
              <w:rPr>
                <w:color w:val="auto"/>
                <w:highlight w:val="none"/>
              </w:rPr>
            </w:pPr>
            <w:r>
              <w:rPr>
                <w:rFonts w:hint="eastAsia"/>
                <w:color w:val="auto"/>
                <w:highlight w:val="none"/>
              </w:rPr>
              <w:t>1.L型杆，杆体为八棱锥行杆，主杆高度6米，横臂长度根据现场情况定制；</w:t>
            </w:r>
            <w:r>
              <w:rPr>
                <w:rFonts w:hint="eastAsia"/>
                <w:color w:val="auto"/>
                <w:highlight w:val="none"/>
              </w:rPr>
              <w:br w:type="textWrapping"/>
            </w:r>
            <w:r>
              <w:rPr>
                <w:rFonts w:hint="eastAsia"/>
                <w:color w:val="auto"/>
                <w:highlight w:val="none"/>
              </w:rPr>
              <w:t>2.内外执浸锌，应符合GB/T13912－2002国家标准；</w:t>
            </w:r>
            <w:r>
              <w:rPr>
                <w:rFonts w:hint="eastAsia"/>
                <w:color w:val="auto"/>
                <w:highlight w:val="none"/>
              </w:rPr>
              <w:br w:type="textWrapping"/>
            </w:r>
            <w:r>
              <w:rPr>
                <w:rFonts w:hint="eastAsia"/>
                <w:color w:val="auto"/>
                <w:highlight w:val="none"/>
              </w:rPr>
              <w:t>3.表层喷塑，喷塑层附着力要求达到GB9286－880级</w:t>
            </w:r>
            <w:r>
              <w:rPr>
                <w:rFonts w:hint="eastAsia"/>
                <w:color w:val="auto"/>
                <w:highlight w:val="none"/>
              </w:rPr>
              <w:br w:type="textWrapping"/>
            </w:r>
            <w:r>
              <w:rPr>
                <w:rFonts w:hint="eastAsia"/>
                <w:color w:val="auto"/>
                <w:highlight w:val="none"/>
              </w:rPr>
              <w:t>4.钢结构构件采用的钢材符合GB/T700－2006国家标准；</w:t>
            </w:r>
            <w:r>
              <w:rPr>
                <w:rFonts w:hint="eastAsia"/>
                <w:color w:val="auto"/>
                <w:highlight w:val="none"/>
              </w:rPr>
              <w:br w:type="textWrapping"/>
            </w:r>
            <w:r>
              <w:rPr>
                <w:rFonts w:hint="eastAsia"/>
                <w:color w:val="auto"/>
                <w:highlight w:val="none"/>
              </w:rPr>
              <w:t>监控杆主体各连接部位必须全满焊，禁止出现漏焊.假焊等不良现象，焊接时，所有焊接需均匀饱满。检修门为平门，上下为改进型盘头内梅花带柱防盗螺栓坚固。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BC68">
            <w:pPr>
              <w:widowControl/>
              <w:jc w:val="center"/>
              <w:textAlignment w:val="center"/>
              <w:rPr>
                <w:color w:val="auto"/>
                <w:highlight w:val="none"/>
              </w:rPr>
            </w:pPr>
            <w:r>
              <w:rPr>
                <w:rFonts w:hint="eastAsia"/>
                <w:color w:val="auto"/>
                <w:highlight w:val="none"/>
              </w:rPr>
              <w:t>根</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C3C7">
            <w:pPr>
              <w:widowControl/>
              <w:jc w:val="center"/>
              <w:textAlignment w:val="center"/>
              <w:rPr>
                <w:color w:val="auto"/>
                <w:highlight w:val="none"/>
              </w:rPr>
            </w:pPr>
            <w:r>
              <w:rPr>
                <w:rFonts w:hint="eastAsia"/>
                <w:color w:val="auto"/>
                <w:highlight w:val="none"/>
              </w:rPr>
              <w:t>2</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E65F">
            <w:pPr>
              <w:rPr>
                <w:color w:val="auto"/>
                <w:highlight w:val="none"/>
              </w:rPr>
            </w:pPr>
          </w:p>
        </w:tc>
      </w:tr>
      <w:tr w14:paraId="7FA18775">
        <w:tblPrEx>
          <w:tblCellMar>
            <w:top w:w="0" w:type="dxa"/>
            <w:left w:w="108" w:type="dxa"/>
            <w:bottom w:w="0" w:type="dxa"/>
            <w:right w:w="108" w:type="dxa"/>
          </w:tblCellMar>
        </w:tblPrEx>
        <w:trPr>
          <w:trHeight w:val="432"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9289">
            <w:pPr>
              <w:widowControl/>
              <w:jc w:val="center"/>
              <w:textAlignment w:val="center"/>
              <w:rPr>
                <w:color w:val="auto"/>
                <w:highlight w:val="none"/>
              </w:rPr>
            </w:pPr>
            <w:r>
              <w:rPr>
                <w:rFonts w:hint="eastAsia"/>
                <w:color w:val="auto"/>
                <w:highlight w:val="none"/>
              </w:rPr>
              <w:t>14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D039">
            <w:pPr>
              <w:widowControl/>
              <w:jc w:val="center"/>
              <w:textAlignment w:val="center"/>
              <w:rPr>
                <w:color w:val="auto"/>
                <w:highlight w:val="none"/>
              </w:rPr>
            </w:pPr>
            <w:r>
              <w:rPr>
                <w:rFonts w:hint="eastAsia"/>
                <w:color w:val="auto"/>
                <w:highlight w:val="none"/>
              </w:rPr>
              <w:t>测速立杆基础</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3F8A">
            <w:pPr>
              <w:widowControl/>
              <w:jc w:val="center"/>
              <w:textAlignment w:val="center"/>
              <w:rPr>
                <w:color w:val="auto"/>
                <w:highlight w:val="none"/>
              </w:rPr>
            </w:pPr>
            <w:r>
              <w:rPr>
                <w:rFonts w:hint="eastAsia"/>
                <w:color w:val="auto"/>
                <w:highlight w:val="none"/>
              </w:rPr>
              <w:t>尺寸：1200*1200*1200，C25混凝土基础，土方开挖回填，基础地笼、法兰盘等构件所配钢筋符合行业及受风要求：预埋件地脚螺栓法兰盘以上螺纹包扎良好以防损坏螺纹。根据预埋件安装图正确放置监控立杆预埋件，保证支臂杆的伸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302B">
            <w:pPr>
              <w:widowControl/>
              <w:jc w:val="center"/>
              <w:textAlignment w:val="center"/>
              <w:rPr>
                <w:color w:val="auto"/>
                <w:highlight w:val="none"/>
              </w:rPr>
            </w:pPr>
            <w:r>
              <w:rPr>
                <w:rFonts w:hint="eastAsia"/>
                <w:color w:val="auto"/>
                <w:highlight w:val="none"/>
              </w:rPr>
              <w:t>套</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8388">
            <w:pPr>
              <w:widowControl/>
              <w:jc w:val="center"/>
              <w:textAlignment w:val="center"/>
              <w:rPr>
                <w:color w:val="auto"/>
                <w:highlight w:val="none"/>
              </w:rPr>
            </w:pPr>
            <w:r>
              <w:rPr>
                <w:rFonts w:hint="eastAsia"/>
                <w:color w:val="auto"/>
                <w:highlight w:val="none"/>
              </w:rPr>
              <w:t>2</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08587">
            <w:pPr>
              <w:rPr>
                <w:color w:val="auto"/>
                <w:highlight w:val="none"/>
              </w:rPr>
            </w:pPr>
          </w:p>
        </w:tc>
      </w:tr>
      <w:tr w14:paraId="1AE2487E">
        <w:tblPrEx>
          <w:tblCellMar>
            <w:top w:w="0" w:type="dxa"/>
            <w:left w:w="108" w:type="dxa"/>
            <w:bottom w:w="0" w:type="dxa"/>
            <w:right w:w="108" w:type="dxa"/>
          </w:tblCellMar>
        </w:tblPrEx>
        <w:trPr>
          <w:trHeight w:val="600"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23E1">
            <w:pPr>
              <w:widowControl/>
              <w:jc w:val="center"/>
              <w:textAlignment w:val="center"/>
              <w:rPr>
                <w:color w:val="auto"/>
                <w:highlight w:val="none"/>
              </w:rPr>
            </w:pPr>
            <w:r>
              <w:rPr>
                <w:rFonts w:hint="eastAsia"/>
                <w:color w:val="auto"/>
                <w:highlight w:val="none"/>
              </w:rPr>
              <w:t>15</w:t>
            </w:r>
          </w:p>
        </w:tc>
        <w:tc>
          <w:tcPr>
            <w:tcW w:w="1016" w:type="dxa"/>
            <w:tcBorders>
              <w:top w:val="single" w:color="000000" w:sz="4" w:space="0"/>
              <w:left w:val="single" w:color="000000" w:sz="4" w:space="0"/>
              <w:bottom w:val="nil"/>
              <w:right w:val="single" w:color="000000" w:sz="4" w:space="0"/>
            </w:tcBorders>
            <w:shd w:val="clear" w:color="auto" w:fill="auto"/>
            <w:noWrap/>
            <w:vAlign w:val="center"/>
          </w:tcPr>
          <w:p w14:paraId="34BDEB7A">
            <w:pPr>
              <w:widowControl/>
              <w:jc w:val="center"/>
              <w:textAlignment w:val="center"/>
              <w:rPr>
                <w:color w:val="auto"/>
                <w:highlight w:val="none"/>
              </w:rPr>
            </w:pPr>
            <w:r>
              <w:rPr>
                <w:rFonts w:hint="eastAsia"/>
                <w:color w:val="auto"/>
                <w:highlight w:val="none"/>
              </w:rPr>
              <w:t>设备箱</w:t>
            </w:r>
          </w:p>
        </w:tc>
        <w:tc>
          <w:tcPr>
            <w:tcW w:w="4422" w:type="dxa"/>
            <w:tcBorders>
              <w:top w:val="single" w:color="000000" w:sz="4" w:space="0"/>
              <w:left w:val="single" w:color="000000" w:sz="4" w:space="0"/>
              <w:bottom w:val="nil"/>
              <w:right w:val="single" w:color="000000" w:sz="4" w:space="0"/>
            </w:tcBorders>
            <w:shd w:val="clear" w:color="auto" w:fill="auto"/>
            <w:vAlign w:val="center"/>
          </w:tcPr>
          <w:p w14:paraId="1C32278A">
            <w:pPr>
              <w:widowControl/>
              <w:textAlignment w:val="center"/>
              <w:rPr>
                <w:color w:val="auto"/>
                <w:highlight w:val="none"/>
              </w:rPr>
            </w:pPr>
            <w:r>
              <w:rPr>
                <w:rFonts w:hint="eastAsia"/>
                <w:color w:val="auto"/>
                <w:highlight w:val="none"/>
              </w:rPr>
              <w:t>抱杆箱300*400*180mm壁厚0.6,结构：整体结构采用拼焊结构，牢固、钢性好、牢固可靠</w:t>
            </w:r>
            <w:r>
              <w:rPr>
                <w:rFonts w:hint="eastAsia"/>
                <w:color w:val="auto"/>
                <w:highlight w:val="none"/>
              </w:rPr>
              <w:br w:type="textWrapping"/>
            </w:r>
            <w:r>
              <w:rPr>
                <w:rFonts w:hint="eastAsia"/>
                <w:color w:val="auto"/>
                <w:highlight w:val="none"/>
              </w:rPr>
              <w:t xml:space="preserve"> 防护等级IP55，保护内部设备不受外界恶劣环境的干扰</w:t>
            </w:r>
            <w:r>
              <w:rPr>
                <w:rFonts w:hint="eastAsia"/>
                <w:color w:val="auto"/>
                <w:highlight w:val="none"/>
              </w:rPr>
              <w:br w:type="textWrapping"/>
            </w:r>
            <w:r>
              <w:rPr>
                <w:rFonts w:hint="eastAsia"/>
                <w:color w:val="auto"/>
                <w:highlight w:val="none"/>
              </w:rPr>
              <w:t>箱柜采用主体焊接、部分拼装的结构，保证了防护性</w:t>
            </w:r>
            <w:r>
              <w:rPr>
                <w:rFonts w:hint="eastAsia"/>
                <w:color w:val="auto"/>
                <w:highlight w:val="none"/>
              </w:rPr>
              <w:br w:type="textWrapping"/>
            </w:r>
            <w:r>
              <w:rPr>
                <w:rFonts w:hint="eastAsia"/>
                <w:color w:val="auto"/>
                <w:highlight w:val="none"/>
              </w:rPr>
              <w:t>采用的是专用户外柜锁，具有良好的防水、防盗性能</w:t>
            </w:r>
            <w:r>
              <w:rPr>
                <w:rFonts w:hint="eastAsia"/>
                <w:color w:val="auto"/>
                <w:highlight w:val="none"/>
              </w:rPr>
              <w:br w:type="textWrapping"/>
            </w:r>
            <w:r>
              <w:rPr>
                <w:rFonts w:hint="eastAsia"/>
                <w:color w:val="auto"/>
                <w:highlight w:val="none"/>
              </w:rPr>
              <w:t>环境适应性好，能最大限度地降低设备对环境的要求接地系统安全可靠</w:t>
            </w:r>
            <w:r>
              <w:rPr>
                <w:rFonts w:hint="eastAsia"/>
                <w:color w:val="auto"/>
                <w:highlight w:val="none"/>
              </w:rPr>
              <w:br w:type="textWrapping"/>
            </w:r>
            <w:r>
              <w:rPr>
                <w:rFonts w:hint="eastAsia"/>
                <w:color w:val="auto"/>
                <w:highlight w:val="none"/>
              </w:rPr>
              <w:t>箱柜底部进出线缆，有效实现防水、防尘</w:t>
            </w:r>
            <w:r>
              <w:rPr>
                <w:rFonts w:hint="eastAsia"/>
                <w:color w:val="auto"/>
                <w:highlight w:val="none"/>
              </w:rPr>
              <w:br w:type="textWrapping"/>
            </w:r>
            <w:r>
              <w:rPr>
                <w:rFonts w:hint="eastAsia"/>
                <w:color w:val="auto"/>
                <w:highlight w:val="none"/>
              </w:rPr>
              <w:t>箱柜采用抱杆安装方式，具有防虫、防鼠功效</w:t>
            </w:r>
          </w:p>
        </w:tc>
        <w:tc>
          <w:tcPr>
            <w:tcW w:w="997" w:type="dxa"/>
            <w:tcBorders>
              <w:top w:val="single" w:color="000000" w:sz="4" w:space="0"/>
              <w:left w:val="single" w:color="000000" w:sz="4" w:space="0"/>
              <w:bottom w:val="nil"/>
              <w:right w:val="single" w:color="000000" w:sz="4" w:space="0"/>
            </w:tcBorders>
            <w:shd w:val="clear" w:color="auto" w:fill="auto"/>
            <w:noWrap/>
            <w:vAlign w:val="center"/>
          </w:tcPr>
          <w:p w14:paraId="3DF094D5">
            <w:pPr>
              <w:widowControl/>
              <w:jc w:val="center"/>
              <w:textAlignment w:val="center"/>
              <w:rPr>
                <w:color w:val="auto"/>
                <w:highlight w:val="none"/>
              </w:rPr>
            </w:pPr>
            <w:r>
              <w:rPr>
                <w:rFonts w:hint="eastAsia"/>
                <w:color w:val="auto"/>
                <w:highlight w:val="none"/>
              </w:rPr>
              <w:t>个</w:t>
            </w:r>
          </w:p>
        </w:tc>
        <w:tc>
          <w:tcPr>
            <w:tcW w:w="1222" w:type="dxa"/>
            <w:tcBorders>
              <w:top w:val="single" w:color="000000" w:sz="4" w:space="0"/>
              <w:left w:val="single" w:color="000000" w:sz="4" w:space="0"/>
              <w:bottom w:val="nil"/>
              <w:right w:val="single" w:color="000000" w:sz="4" w:space="0"/>
            </w:tcBorders>
            <w:shd w:val="clear" w:color="auto" w:fill="auto"/>
            <w:noWrap/>
            <w:vAlign w:val="center"/>
          </w:tcPr>
          <w:p w14:paraId="5749A7A5">
            <w:pPr>
              <w:widowControl/>
              <w:jc w:val="center"/>
              <w:textAlignment w:val="center"/>
              <w:rPr>
                <w:color w:val="auto"/>
                <w:highlight w:val="none"/>
              </w:rPr>
            </w:pPr>
            <w:r>
              <w:rPr>
                <w:rFonts w:hint="eastAsia"/>
                <w:color w:val="auto"/>
                <w:highlight w:val="none"/>
              </w:rPr>
              <w:t xml:space="preserve">32 </w:t>
            </w:r>
          </w:p>
        </w:tc>
        <w:tc>
          <w:tcPr>
            <w:tcW w:w="877" w:type="dxa"/>
            <w:tcBorders>
              <w:top w:val="single" w:color="000000" w:sz="4" w:space="0"/>
              <w:left w:val="single" w:color="000000" w:sz="4" w:space="0"/>
              <w:bottom w:val="nil"/>
              <w:right w:val="single" w:color="000000" w:sz="4" w:space="0"/>
            </w:tcBorders>
            <w:shd w:val="clear" w:color="auto" w:fill="auto"/>
            <w:noWrap/>
            <w:vAlign w:val="center"/>
          </w:tcPr>
          <w:p w14:paraId="0AA401CC">
            <w:pPr>
              <w:jc w:val="center"/>
              <w:rPr>
                <w:color w:val="auto"/>
                <w:highlight w:val="none"/>
              </w:rPr>
            </w:pPr>
          </w:p>
        </w:tc>
      </w:tr>
      <w:tr w14:paraId="01FC0D66">
        <w:tblPrEx>
          <w:tblCellMar>
            <w:top w:w="0" w:type="dxa"/>
            <w:left w:w="108" w:type="dxa"/>
            <w:bottom w:w="0" w:type="dxa"/>
            <w:right w:w="108" w:type="dxa"/>
          </w:tblCellMar>
        </w:tblPrEx>
        <w:trPr>
          <w:trHeight w:val="600" w:hRule="atLeast"/>
          <w:jc w:val="center"/>
        </w:trPr>
        <w:tc>
          <w:tcPr>
            <w:tcW w:w="947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08E4">
            <w:pPr>
              <w:widowControl/>
              <w:textAlignment w:val="center"/>
              <w:rPr>
                <w:b/>
                <w:bCs/>
                <w:color w:val="auto"/>
                <w:highlight w:val="none"/>
              </w:rPr>
            </w:pPr>
            <w:r>
              <w:rPr>
                <w:rFonts w:hint="eastAsia"/>
                <w:b/>
                <w:bCs/>
                <w:color w:val="auto"/>
                <w:highlight w:val="none"/>
              </w:rPr>
              <w:t>二、传输部分</w:t>
            </w:r>
          </w:p>
        </w:tc>
      </w:tr>
      <w:tr w14:paraId="77303485">
        <w:tblPrEx>
          <w:tblCellMar>
            <w:top w:w="0" w:type="dxa"/>
            <w:left w:w="108" w:type="dxa"/>
            <w:bottom w:w="0" w:type="dxa"/>
            <w:right w:w="108" w:type="dxa"/>
          </w:tblCellMar>
        </w:tblPrEx>
        <w:trPr>
          <w:trHeight w:val="600" w:hRule="atLeast"/>
          <w:jc w:val="center"/>
        </w:trPr>
        <w:tc>
          <w:tcPr>
            <w:tcW w:w="943" w:type="dxa"/>
            <w:tcBorders>
              <w:top w:val="nil"/>
              <w:left w:val="single" w:color="000000" w:sz="4" w:space="0"/>
              <w:bottom w:val="single" w:color="000000" w:sz="4" w:space="0"/>
              <w:right w:val="single" w:color="000000" w:sz="4" w:space="0"/>
            </w:tcBorders>
            <w:shd w:val="clear" w:color="auto" w:fill="auto"/>
            <w:noWrap/>
            <w:vAlign w:val="center"/>
          </w:tcPr>
          <w:p w14:paraId="7948B17C">
            <w:pPr>
              <w:widowControl/>
              <w:jc w:val="center"/>
              <w:textAlignment w:val="center"/>
              <w:rPr>
                <w:color w:val="auto"/>
                <w:highlight w:val="none"/>
              </w:rPr>
            </w:pPr>
            <w:r>
              <w:rPr>
                <w:rFonts w:hint="eastAsia"/>
                <w:color w:val="auto"/>
                <w:highlight w:val="none"/>
              </w:rPr>
              <w:t>16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1A43">
            <w:pPr>
              <w:widowControl/>
              <w:jc w:val="center"/>
              <w:textAlignment w:val="center"/>
              <w:rPr>
                <w:color w:val="auto"/>
                <w:highlight w:val="none"/>
              </w:rPr>
            </w:pPr>
            <w:r>
              <w:rPr>
                <w:rFonts w:hint="eastAsia"/>
                <w:color w:val="auto"/>
                <w:highlight w:val="none"/>
              </w:rPr>
              <w:t>六类网线</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01A7">
            <w:pPr>
              <w:widowControl/>
              <w:textAlignment w:val="center"/>
              <w:rPr>
                <w:color w:val="auto"/>
                <w:highlight w:val="none"/>
              </w:rPr>
            </w:pPr>
            <w:r>
              <w:rPr>
                <w:rFonts w:hint="eastAsia"/>
                <w:color w:val="auto"/>
                <w:highlight w:val="none"/>
              </w:rPr>
              <w:t>6类室内网线,Cat6非屏蔽双绞线,CM防火等级,24AWG,工作温度为-20~60℃</w:t>
            </w:r>
            <w:r>
              <w:rPr>
                <w:rFonts w:hint="eastAsia"/>
                <w:color w:val="auto"/>
                <w:highlight w:val="none"/>
              </w:rPr>
              <w:br w:type="textWrapping"/>
            </w:r>
            <w:r>
              <w:rPr>
                <w:rFonts w:hint="eastAsia"/>
                <w:color w:val="auto"/>
                <w:highlight w:val="none"/>
              </w:rPr>
              <w:t>标准：符合ISO/IEC 11801、TIA-568-C.2、GB/T 18015.5要求,所用材料符合RoHS要求，性能指标优于现行6类线缆250MHz标准；</w:t>
            </w:r>
            <w:r>
              <w:rPr>
                <w:rFonts w:hint="eastAsia"/>
                <w:color w:val="auto"/>
                <w:highlight w:val="none"/>
              </w:rPr>
              <w:br w:type="textWrapping"/>
            </w:r>
            <w:r>
              <w:rPr>
                <w:rFonts w:hint="eastAsia"/>
                <w:color w:val="auto"/>
                <w:highlight w:val="none"/>
              </w:rPr>
              <w:t>标准装箱长度:305m±1.5m；</w:t>
            </w:r>
            <w:r>
              <w:rPr>
                <w:rFonts w:hint="eastAsia"/>
                <w:color w:val="auto"/>
                <w:highlight w:val="none"/>
              </w:rPr>
              <w:br w:type="textWrapping"/>
            </w:r>
            <w:r>
              <w:rPr>
                <w:rFonts w:hint="eastAsia"/>
                <w:color w:val="auto"/>
                <w:highlight w:val="none"/>
              </w:rPr>
              <w:t>线缆颜色:蓝色；</w:t>
            </w:r>
            <w:r>
              <w:rPr>
                <w:rFonts w:hint="eastAsia"/>
                <w:color w:val="auto"/>
                <w:highlight w:val="none"/>
              </w:rPr>
              <w:br w:type="textWrapping"/>
            </w:r>
            <w:r>
              <w:rPr>
                <w:rFonts w:hint="eastAsia"/>
                <w:color w:val="auto"/>
                <w:highlight w:val="none"/>
              </w:rPr>
              <w:t>芯线规格:24AWG,无氧铜；</w:t>
            </w:r>
            <w:r>
              <w:rPr>
                <w:rFonts w:hint="eastAsia"/>
                <w:color w:val="auto"/>
                <w:highlight w:val="none"/>
              </w:rPr>
              <w:br w:type="textWrapping"/>
            </w:r>
            <w:r>
              <w:rPr>
                <w:rFonts w:hint="eastAsia"/>
                <w:color w:val="auto"/>
                <w:highlight w:val="none"/>
              </w:rPr>
              <w:t>线缆结构：4对8芯双绞线,每对之间采用十字骨架隔离,每芯均有颜色区分,外皮印有厂商标识及电缆编码，有撕裂绳；</w:t>
            </w:r>
          </w:p>
        </w:tc>
        <w:tc>
          <w:tcPr>
            <w:tcW w:w="997" w:type="dxa"/>
            <w:tcBorders>
              <w:top w:val="nil"/>
              <w:left w:val="single" w:color="000000" w:sz="4" w:space="0"/>
              <w:bottom w:val="single" w:color="000000" w:sz="4" w:space="0"/>
              <w:right w:val="single" w:color="000000" w:sz="4" w:space="0"/>
            </w:tcBorders>
            <w:shd w:val="clear" w:color="auto" w:fill="auto"/>
            <w:noWrap/>
            <w:vAlign w:val="center"/>
          </w:tcPr>
          <w:p w14:paraId="18728192">
            <w:pPr>
              <w:widowControl/>
              <w:jc w:val="center"/>
              <w:textAlignment w:val="center"/>
              <w:rPr>
                <w:color w:val="auto"/>
                <w:highlight w:val="none"/>
              </w:rPr>
            </w:pPr>
            <w:r>
              <w:rPr>
                <w:rFonts w:hint="eastAsia"/>
                <w:color w:val="auto"/>
                <w:highlight w:val="none"/>
              </w:rPr>
              <w:t>箱</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D617">
            <w:pPr>
              <w:widowControl/>
              <w:jc w:val="center"/>
              <w:textAlignment w:val="center"/>
              <w:rPr>
                <w:color w:val="auto"/>
                <w:highlight w:val="none"/>
              </w:rPr>
            </w:pPr>
            <w:r>
              <w:rPr>
                <w:rFonts w:hint="eastAsia"/>
                <w:color w:val="auto"/>
                <w:highlight w:val="none"/>
              </w:rPr>
              <w:t>120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4C63">
            <w:pPr>
              <w:jc w:val="center"/>
              <w:rPr>
                <w:color w:val="auto"/>
                <w:highlight w:val="none"/>
              </w:rPr>
            </w:pPr>
          </w:p>
        </w:tc>
      </w:tr>
      <w:tr w14:paraId="4562DE26">
        <w:tblPrEx>
          <w:tblCellMar>
            <w:top w:w="0" w:type="dxa"/>
            <w:left w:w="108" w:type="dxa"/>
            <w:bottom w:w="0" w:type="dxa"/>
            <w:right w:w="108" w:type="dxa"/>
          </w:tblCellMar>
        </w:tblPrEx>
        <w:trPr>
          <w:trHeight w:val="600" w:hRule="atLeast"/>
          <w:jc w:val="center"/>
        </w:trPr>
        <w:tc>
          <w:tcPr>
            <w:tcW w:w="943" w:type="dxa"/>
            <w:tcBorders>
              <w:top w:val="nil"/>
              <w:left w:val="single" w:color="000000" w:sz="4" w:space="0"/>
              <w:bottom w:val="single" w:color="000000" w:sz="4" w:space="0"/>
              <w:right w:val="single" w:color="000000" w:sz="4" w:space="0"/>
            </w:tcBorders>
            <w:shd w:val="clear" w:color="auto" w:fill="auto"/>
            <w:noWrap/>
            <w:vAlign w:val="center"/>
          </w:tcPr>
          <w:p w14:paraId="2E82EB86">
            <w:pPr>
              <w:widowControl/>
              <w:jc w:val="center"/>
              <w:textAlignment w:val="center"/>
              <w:rPr>
                <w:color w:val="auto"/>
                <w:highlight w:val="none"/>
              </w:rPr>
            </w:pPr>
            <w:r>
              <w:rPr>
                <w:rFonts w:hint="eastAsia"/>
                <w:color w:val="auto"/>
                <w:highlight w:val="none"/>
              </w:rPr>
              <w:t>17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97E8">
            <w:pPr>
              <w:widowControl/>
              <w:jc w:val="center"/>
              <w:textAlignment w:val="center"/>
              <w:rPr>
                <w:color w:val="auto"/>
                <w:highlight w:val="none"/>
              </w:rPr>
            </w:pPr>
            <w:r>
              <w:rPr>
                <w:rFonts w:hint="eastAsia"/>
                <w:color w:val="auto"/>
                <w:highlight w:val="none"/>
              </w:rPr>
              <w:t>光纤</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9F13">
            <w:pPr>
              <w:widowControl/>
              <w:textAlignment w:val="center"/>
              <w:rPr>
                <w:color w:val="auto"/>
                <w:highlight w:val="none"/>
              </w:rPr>
            </w:pPr>
            <w:r>
              <w:rPr>
                <w:rFonts w:hint="eastAsia"/>
                <w:color w:val="auto"/>
                <w:highlight w:val="none"/>
              </w:rPr>
              <w:t>电信级，单模，12芯。</w:t>
            </w:r>
            <w:r>
              <w:rPr>
                <w:rFonts w:hint="eastAsia"/>
                <w:color w:val="auto"/>
                <w:highlight w:val="none"/>
              </w:rPr>
              <w:br w:type="textWrapping"/>
            </w:r>
            <w:r>
              <w:rPr>
                <w:rFonts w:hint="eastAsia"/>
                <w:color w:val="auto"/>
                <w:highlight w:val="none"/>
              </w:rPr>
              <w:t>1、单模光纤为G652.D标准光纤；</w:t>
            </w:r>
            <w:r>
              <w:rPr>
                <w:rFonts w:hint="eastAsia"/>
                <w:color w:val="auto"/>
                <w:highlight w:val="none"/>
              </w:rPr>
              <w:br w:type="textWrapping"/>
            </w:r>
            <w:r>
              <w:rPr>
                <w:rFonts w:hint="eastAsia"/>
                <w:color w:val="auto"/>
                <w:highlight w:val="none"/>
              </w:rPr>
              <w:t>2、★所选单模光纤工作窗口扩大到1260-1625nm全波段，能全面优化1260-1625nm全波段的衰减和色散特性，所选光纤采用PCVD工艺制造。</w:t>
            </w:r>
            <w:r>
              <w:rPr>
                <w:rFonts w:hint="eastAsia"/>
                <w:color w:val="auto"/>
                <w:highlight w:val="none"/>
              </w:rPr>
              <w:br w:type="textWrapping"/>
            </w:r>
            <w:r>
              <w:rPr>
                <w:rFonts w:hint="eastAsia"/>
                <w:color w:val="auto"/>
                <w:highlight w:val="none"/>
              </w:rPr>
              <w:t>3、单模光纤光学特性：衰减(+20℃)   @1310nm ≤0.35dB/km；  @1550nm ≤0.22dB/km；多模光纤光学特性：标准50 µm [ @ 850 nm≤ 2.3 dB/km、@ 1300 nm≤ 0.55 dB/km]；标准62.5 µm [ @ 850 nm≤ 2.7 dB/km、@ 1300 nm≤ 0.6 dB/km]</w:t>
            </w:r>
            <w:r>
              <w:rPr>
                <w:rFonts w:hint="eastAsia"/>
                <w:color w:val="auto"/>
                <w:highlight w:val="none"/>
              </w:rPr>
              <w:br w:type="textWrapping"/>
            </w:r>
            <w:r>
              <w:rPr>
                <w:rFonts w:hint="eastAsia"/>
                <w:color w:val="auto"/>
                <w:highlight w:val="none"/>
              </w:rPr>
              <w:t>4、所选光缆产品型号适合管道、架空，所选光缆结构具有良好的防水性能，防水措施材料有：金属中心加强芯、松套管内填充特种防水化合物、完全缆芯填充、双面涂塑钢带（PSP）抗透潮</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5EC9">
            <w:pPr>
              <w:widowControl/>
              <w:jc w:val="center"/>
              <w:textAlignment w:val="center"/>
              <w:rPr>
                <w:color w:val="auto"/>
                <w:highlight w:val="none"/>
              </w:rPr>
            </w:pPr>
            <w:r>
              <w:rPr>
                <w:rFonts w:hint="eastAsia"/>
                <w:color w:val="auto"/>
                <w:highlight w:val="none"/>
              </w:rPr>
              <w:t>米</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6CCC">
            <w:pPr>
              <w:widowControl/>
              <w:jc w:val="center"/>
              <w:textAlignment w:val="center"/>
              <w:rPr>
                <w:color w:val="auto"/>
                <w:highlight w:val="none"/>
              </w:rPr>
            </w:pPr>
            <w:r>
              <w:rPr>
                <w:rFonts w:hint="eastAsia"/>
                <w:color w:val="auto"/>
                <w:highlight w:val="none"/>
              </w:rPr>
              <w:t>4700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2567">
            <w:pPr>
              <w:jc w:val="center"/>
              <w:rPr>
                <w:color w:val="auto"/>
                <w:highlight w:val="none"/>
              </w:rPr>
            </w:pPr>
          </w:p>
        </w:tc>
      </w:tr>
      <w:tr w14:paraId="4F23D683">
        <w:tblPrEx>
          <w:tblCellMar>
            <w:top w:w="0" w:type="dxa"/>
            <w:left w:w="108" w:type="dxa"/>
            <w:bottom w:w="0" w:type="dxa"/>
            <w:right w:w="108" w:type="dxa"/>
          </w:tblCellMar>
        </w:tblPrEx>
        <w:trPr>
          <w:trHeight w:val="600" w:hRule="atLeast"/>
          <w:jc w:val="center"/>
        </w:trPr>
        <w:tc>
          <w:tcPr>
            <w:tcW w:w="943" w:type="dxa"/>
            <w:tcBorders>
              <w:top w:val="nil"/>
              <w:left w:val="single" w:color="000000" w:sz="4" w:space="0"/>
              <w:bottom w:val="single" w:color="000000" w:sz="4" w:space="0"/>
              <w:right w:val="single" w:color="000000" w:sz="4" w:space="0"/>
            </w:tcBorders>
            <w:shd w:val="clear" w:color="auto" w:fill="auto"/>
            <w:noWrap/>
            <w:vAlign w:val="center"/>
          </w:tcPr>
          <w:p w14:paraId="1F1DE88D">
            <w:pPr>
              <w:widowControl/>
              <w:jc w:val="center"/>
              <w:textAlignment w:val="center"/>
              <w:rPr>
                <w:color w:val="auto"/>
                <w:highlight w:val="none"/>
              </w:rPr>
            </w:pPr>
            <w:r>
              <w:rPr>
                <w:rFonts w:hint="eastAsia"/>
                <w:color w:val="auto"/>
                <w:highlight w:val="none"/>
              </w:rPr>
              <w:t>18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2A3C">
            <w:pPr>
              <w:widowControl/>
              <w:jc w:val="center"/>
              <w:textAlignment w:val="center"/>
              <w:rPr>
                <w:color w:val="auto"/>
                <w:highlight w:val="none"/>
              </w:rPr>
            </w:pPr>
            <w:r>
              <w:rPr>
                <w:rFonts w:hint="eastAsia"/>
                <w:color w:val="auto"/>
                <w:highlight w:val="none"/>
              </w:rPr>
              <w:t>主电源线</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46AE">
            <w:pPr>
              <w:widowControl/>
              <w:textAlignment w:val="center"/>
              <w:rPr>
                <w:color w:val="auto"/>
                <w:highlight w:val="none"/>
              </w:rPr>
            </w:pPr>
            <w:r>
              <w:rPr>
                <w:rFonts w:hint="eastAsia"/>
                <w:color w:val="auto"/>
                <w:highlight w:val="none"/>
              </w:rPr>
              <w:t>标称截面积：2.50mm2</w:t>
            </w:r>
            <w:r>
              <w:rPr>
                <w:rFonts w:hint="eastAsia"/>
                <w:color w:val="auto"/>
                <w:highlight w:val="none"/>
              </w:rPr>
              <w:br w:type="textWrapping"/>
            </w:r>
            <w:r>
              <w:rPr>
                <w:rFonts w:hint="eastAsia"/>
                <w:color w:val="auto"/>
                <w:highlight w:val="none"/>
              </w:rPr>
              <w:t>线缆芯数：3芯</w:t>
            </w:r>
            <w:r>
              <w:rPr>
                <w:rFonts w:hint="eastAsia"/>
                <w:color w:val="auto"/>
                <w:highlight w:val="none"/>
              </w:rPr>
              <w:br w:type="textWrapping"/>
            </w:r>
            <w:r>
              <w:rPr>
                <w:rFonts w:hint="eastAsia"/>
                <w:color w:val="auto"/>
                <w:highlight w:val="none"/>
              </w:rPr>
              <w:t>护套类型：PVC</w:t>
            </w:r>
            <w:r>
              <w:rPr>
                <w:rFonts w:hint="eastAsia"/>
                <w:color w:val="auto"/>
                <w:highlight w:val="none"/>
              </w:rPr>
              <w:br w:type="textWrapping"/>
            </w:r>
            <w:r>
              <w:rPr>
                <w:rFonts w:hint="eastAsia"/>
                <w:color w:val="auto"/>
                <w:highlight w:val="none"/>
              </w:rPr>
              <w:t>导体类型：无氧铜</w:t>
            </w:r>
            <w:r>
              <w:rPr>
                <w:rFonts w:hint="eastAsia"/>
                <w:color w:val="auto"/>
                <w:highlight w:val="none"/>
              </w:rPr>
              <w:br w:type="textWrapping"/>
            </w:r>
            <w:r>
              <w:rPr>
                <w:rFonts w:hint="eastAsia"/>
                <w:color w:val="auto"/>
                <w:highlight w:val="none"/>
              </w:rPr>
              <w:t>屏蔽性能：非屏蔽</w:t>
            </w:r>
            <w:r>
              <w:rPr>
                <w:rFonts w:hint="eastAsia"/>
                <w:color w:val="auto"/>
                <w:highlight w:val="none"/>
              </w:rPr>
              <w:br w:type="textWrapping"/>
            </w:r>
            <w:r>
              <w:rPr>
                <w:rFonts w:hint="eastAsia"/>
                <w:color w:val="auto"/>
                <w:highlight w:val="none"/>
              </w:rPr>
              <w:t>线缆类型（电源线）：RVV</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77EF">
            <w:pPr>
              <w:widowControl/>
              <w:jc w:val="center"/>
              <w:textAlignment w:val="center"/>
              <w:rPr>
                <w:color w:val="auto"/>
                <w:highlight w:val="none"/>
              </w:rPr>
            </w:pPr>
            <w:r>
              <w:rPr>
                <w:rFonts w:hint="eastAsia"/>
                <w:color w:val="auto"/>
                <w:highlight w:val="none"/>
              </w:rPr>
              <w:t>米</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700A">
            <w:pPr>
              <w:widowControl/>
              <w:jc w:val="center"/>
              <w:textAlignment w:val="center"/>
              <w:rPr>
                <w:color w:val="auto"/>
                <w:highlight w:val="none"/>
              </w:rPr>
            </w:pPr>
            <w:r>
              <w:rPr>
                <w:rFonts w:hint="eastAsia"/>
                <w:color w:val="auto"/>
                <w:highlight w:val="none"/>
              </w:rPr>
              <w:t>3000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5030">
            <w:pPr>
              <w:jc w:val="center"/>
              <w:rPr>
                <w:color w:val="auto"/>
                <w:highlight w:val="none"/>
              </w:rPr>
            </w:pPr>
          </w:p>
        </w:tc>
      </w:tr>
      <w:tr w14:paraId="1FFD2C64">
        <w:tblPrEx>
          <w:tblCellMar>
            <w:top w:w="0" w:type="dxa"/>
            <w:left w:w="108" w:type="dxa"/>
            <w:bottom w:w="0" w:type="dxa"/>
            <w:right w:w="108" w:type="dxa"/>
          </w:tblCellMar>
        </w:tblPrEx>
        <w:trPr>
          <w:trHeight w:val="600" w:hRule="atLeast"/>
          <w:jc w:val="center"/>
        </w:trPr>
        <w:tc>
          <w:tcPr>
            <w:tcW w:w="943" w:type="dxa"/>
            <w:tcBorders>
              <w:top w:val="nil"/>
              <w:left w:val="single" w:color="000000" w:sz="4" w:space="0"/>
              <w:bottom w:val="single" w:color="000000" w:sz="4" w:space="0"/>
              <w:right w:val="single" w:color="000000" w:sz="4" w:space="0"/>
            </w:tcBorders>
            <w:shd w:val="clear" w:color="auto" w:fill="auto"/>
            <w:noWrap/>
            <w:vAlign w:val="center"/>
          </w:tcPr>
          <w:p w14:paraId="6AB0FA56">
            <w:pPr>
              <w:widowControl/>
              <w:jc w:val="center"/>
              <w:textAlignment w:val="center"/>
              <w:rPr>
                <w:color w:val="auto"/>
                <w:highlight w:val="none"/>
              </w:rPr>
            </w:pPr>
            <w:r>
              <w:rPr>
                <w:rFonts w:hint="eastAsia"/>
                <w:color w:val="auto"/>
                <w:highlight w:val="none"/>
              </w:rPr>
              <w:t>19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86E1">
            <w:pPr>
              <w:widowControl/>
              <w:jc w:val="center"/>
              <w:textAlignment w:val="center"/>
              <w:rPr>
                <w:color w:val="auto"/>
                <w:highlight w:val="none"/>
              </w:rPr>
            </w:pPr>
            <w:r>
              <w:rPr>
                <w:rFonts w:hint="eastAsia"/>
                <w:color w:val="auto"/>
                <w:highlight w:val="none"/>
              </w:rPr>
              <w:t>分电源线</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6C24">
            <w:pPr>
              <w:widowControl/>
              <w:textAlignment w:val="center"/>
              <w:rPr>
                <w:color w:val="auto"/>
                <w:highlight w:val="none"/>
              </w:rPr>
            </w:pPr>
            <w:r>
              <w:rPr>
                <w:rFonts w:hint="eastAsia"/>
                <w:color w:val="auto"/>
                <w:highlight w:val="none"/>
              </w:rPr>
              <w:t>标称截面积：1.00mm2</w:t>
            </w:r>
            <w:r>
              <w:rPr>
                <w:rFonts w:hint="eastAsia"/>
                <w:color w:val="auto"/>
                <w:highlight w:val="none"/>
              </w:rPr>
              <w:br w:type="textWrapping"/>
            </w:r>
            <w:r>
              <w:rPr>
                <w:rFonts w:hint="eastAsia"/>
                <w:color w:val="auto"/>
                <w:highlight w:val="none"/>
              </w:rPr>
              <w:t>线缆芯数：3芯</w:t>
            </w:r>
            <w:r>
              <w:rPr>
                <w:rFonts w:hint="eastAsia"/>
                <w:color w:val="auto"/>
                <w:highlight w:val="none"/>
              </w:rPr>
              <w:br w:type="textWrapping"/>
            </w:r>
            <w:r>
              <w:rPr>
                <w:rFonts w:hint="eastAsia"/>
                <w:color w:val="auto"/>
                <w:highlight w:val="none"/>
              </w:rPr>
              <w:t>护套类型：PVC</w:t>
            </w:r>
            <w:r>
              <w:rPr>
                <w:rFonts w:hint="eastAsia"/>
                <w:color w:val="auto"/>
                <w:highlight w:val="none"/>
              </w:rPr>
              <w:br w:type="textWrapping"/>
            </w:r>
            <w:r>
              <w:rPr>
                <w:rFonts w:hint="eastAsia"/>
                <w:color w:val="auto"/>
                <w:highlight w:val="none"/>
              </w:rPr>
              <w:t>导体类型：无氧铜</w:t>
            </w:r>
            <w:r>
              <w:rPr>
                <w:rFonts w:hint="eastAsia"/>
                <w:color w:val="auto"/>
                <w:highlight w:val="none"/>
              </w:rPr>
              <w:br w:type="textWrapping"/>
            </w:r>
            <w:r>
              <w:rPr>
                <w:rFonts w:hint="eastAsia"/>
                <w:color w:val="auto"/>
                <w:highlight w:val="none"/>
              </w:rPr>
              <w:t>屏蔽性能：非屏蔽</w:t>
            </w:r>
            <w:r>
              <w:rPr>
                <w:rFonts w:hint="eastAsia"/>
                <w:color w:val="auto"/>
                <w:highlight w:val="none"/>
              </w:rPr>
              <w:br w:type="textWrapping"/>
            </w:r>
            <w:r>
              <w:rPr>
                <w:rFonts w:hint="eastAsia"/>
                <w:color w:val="auto"/>
                <w:highlight w:val="none"/>
              </w:rPr>
              <w:t>线缆类型（电源线）：RVV</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8AB7">
            <w:pPr>
              <w:widowControl/>
              <w:jc w:val="center"/>
              <w:textAlignment w:val="center"/>
              <w:rPr>
                <w:color w:val="auto"/>
                <w:highlight w:val="none"/>
              </w:rPr>
            </w:pPr>
            <w:r>
              <w:rPr>
                <w:rFonts w:hint="eastAsia"/>
                <w:color w:val="auto"/>
                <w:highlight w:val="none"/>
              </w:rPr>
              <w:t>米</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36F0">
            <w:pPr>
              <w:widowControl/>
              <w:jc w:val="center"/>
              <w:textAlignment w:val="center"/>
              <w:rPr>
                <w:color w:val="auto"/>
                <w:highlight w:val="none"/>
              </w:rPr>
            </w:pPr>
            <w:r>
              <w:rPr>
                <w:rFonts w:hint="eastAsia"/>
                <w:color w:val="auto"/>
                <w:highlight w:val="none"/>
              </w:rPr>
              <w:t>16260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E3B1">
            <w:pPr>
              <w:jc w:val="center"/>
              <w:rPr>
                <w:color w:val="auto"/>
                <w:highlight w:val="none"/>
              </w:rPr>
            </w:pPr>
          </w:p>
        </w:tc>
      </w:tr>
      <w:tr w14:paraId="1F2C5B50">
        <w:tblPrEx>
          <w:tblCellMar>
            <w:top w:w="0" w:type="dxa"/>
            <w:left w:w="108" w:type="dxa"/>
            <w:bottom w:w="0" w:type="dxa"/>
            <w:right w:w="108" w:type="dxa"/>
          </w:tblCellMar>
        </w:tblPrEx>
        <w:trPr>
          <w:trHeight w:val="600" w:hRule="atLeast"/>
          <w:jc w:val="center"/>
        </w:trPr>
        <w:tc>
          <w:tcPr>
            <w:tcW w:w="943" w:type="dxa"/>
            <w:tcBorders>
              <w:top w:val="nil"/>
              <w:left w:val="single" w:color="000000" w:sz="4" w:space="0"/>
              <w:bottom w:val="single" w:color="000000" w:sz="4" w:space="0"/>
              <w:right w:val="single" w:color="000000" w:sz="4" w:space="0"/>
            </w:tcBorders>
            <w:shd w:val="clear" w:color="auto" w:fill="auto"/>
            <w:noWrap/>
            <w:vAlign w:val="center"/>
          </w:tcPr>
          <w:p w14:paraId="43546C20">
            <w:pPr>
              <w:widowControl/>
              <w:jc w:val="center"/>
              <w:textAlignment w:val="center"/>
              <w:rPr>
                <w:color w:val="auto"/>
                <w:highlight w:val="none"/>
              </w:rPr>
            </w:pPr>
            <w:r>
              <w:rPr>
                <w:rFonts w:hint="eastAsia"/>
                <w:color w:val="auto"/>
                <w:highlight w:val="none"/>
              </w:rPr>
              <w:t>20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A1A9">
            <w:pPr>
              <w:widowControl/>
              <w:jc w:val="center"/>
              <w:textAlignment w:val="center"/>
              <w:rPr>
                <w:color w:val="auto"/>
                <w:highlight w:val="none"/>
              </w:rPr>
            </w:pPr>
            <w:r>
              <w:rPr>
                <w:rFonts w:hint="eastAsia"/>
                <w:color w:val="auto"/>
                <w:highlight w:val="none"/>
              </w:rPr>
              <w:t>交换机1</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B5E6">
            <w:pPr>
              <w:widowControl/>
              <w:textAlignment w:val="center"/>
              <w:rPr>
                <w:color w:val="auto"/>
                <w:highlight w:val="none"/>
              </w:rPr>
            </w:pPr>
            <w:r>
              <w:rPr>
                <w:rFonts w:hint="eastAsia"/>
                <w:color w:val="auto"/>
                <w:highlight w:val="none"/>
              </w:rPr>
              <w:t>配置：可用千兆PoE电接口数量≥8，千兆电口数量≥1，千兆光口数≥1</w:t>
            </w:r>
            <w:r>
              <w:rPr>
                <w:rFonts w:hint="eastAsia"/>
                <w:color w:val="auto"/>
                <w:highlight w:val="none"/>
              </w:rPr>
              <w:br w:type="textWrapping"/>
            </w:r>
            <w:r>
              <w:rPr>
                <w:rFonts w:hint="eastAsia"/>
                <w:color w:val="auto"/>
                <w:highlight w:val="none"/>
              </w:rPr>
              <w:t>交换容量≥20 Gbps</w:t>
            </w:r>
            <w:r>
              <w:rPr>
                <w:rFonts w:hint="eastAsia"/>
                <w:color w:val="auto"/>
                <w:highlight w:val="none"/>
              </w:rPr>
              <w:br w:type="textWrapping"/>
            </w:r>
            <w:r>
              <w:rPr>
                <w:rFonts w:hint="eastAsia"/>
                <w:color w:val="auto"/>
                <w:highlight w:val="none"/>
              </w:rPr>
              <w:t>转发性能≥14.88 Mpps</w:t>
            </w:r>
            <w:r>
              <w:rPr>
                <w:rFonts w:hint="eastAsia"/>
                <w:color w:val="auto"/>
                <w:highlight w:val="none"/>
              </w:rPr>
              <w:br w:type="textWrapping"/>
            </w:r>
            <w:r>
              <w:rPr>
                <w:rFonts w:hint="eastAsia"/>
                <w:color w:val="auto"/>
                <w:highlight w:val="none"/>
              </w:rPr>
              <w:t>支持自适应802.3af/at供电标准，支持PoE最大输出功率≥110 W</w:t>
            </w:r>
            <w:r>
              <w:rPr>
                <w:rFonts w:hint="eastAsia"/>
                <w:color w:val="auto"/>
                <w:highlight w:val="none"/>
              </w:rPr>
              <w:br w:type="textWrapping"/>
            </w:r>
            <w:r>
              <w:rPr>
                <w:rFonts w:hint="eastAsia"/>
                <w:color w:val="auto"/>
                <w:highlight w:val="none"/>
              </w:rPr>
              <w:t>支持6KV防浪涌（PoE口）</w:t>
            </w:r>
            <w:r>
              <w:rPr>
                <w:rFonts w:hint="eastAsia"/>
                <w:color w:val="auto"/>
                <w:highlight w:val="none"/>
              </w:rPr>
              <w:br w:type="textWrapping"/>
            </w:r>
            <w:r>
              <w:rPr>
                <w:rFonts w:hint="eastAsia"/>
                <w:color w:val="auto"/>
                <w:highlight w:val="none"/>
              </w:rPr>
              <w:t>支持IEEE 802.3，IEEE 802.3u，IEEE 802.3x，IEEE802.3ab，IEEE802.3z</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8F08">
            <w:pPr>
              <w:widowControl/>
              <w:jc w:val="center"/>
              <w:textAlignment w:val="center"/>
              <w:rPr>
                <w:color w:val="auto"/>
                <w:highlight w:val="none"/>
              </w:rPr>
            </w:pPr>
            <w:r>
              <w:rPr>
                <w:rFonts w:hint="eastAsia"/>
                <w:color w:val="auto"/>
                <w:highlight w:val="none"/>
              </w:rPr>
              <w:t>台</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4A1F">
            <w:pPr>
              <w:widowControl/>
              <w:jc w:val="center"/>
              <w:textAlignment w:val="center"/>
              <w:rPr>
                <w:color w:val="auto"/>
                <w:highlight w:val="none"/>
              </w:rPr>
            </w:pPr>
            <w:r>
              <w:rPr>
                <w:rFonts w:hint="eastAsia"/>
                <w:color w:val="auto"/>
                <w:highlight w:val="none"/>
              </w:rPr>
              <w:t>28</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0E54">
            <w:pPr>
              <w:jc w:val="center"/>
              <w:rPr>
                <w:color w:val="auto"/>
                <w:highlight w:val="none"/>
              </w:rPr>
            </w:pPr>
          </w:p>
        </w:tc>
      </w:tr>
      <w:tr w14:paraId="0FB93F5F">
        <w:tblPrEx>
          <w:tblCellMar>
            <w:top w:w="0" w:type="dxa"/>
            <w:left w:w="108" w:type="dxa"/>
            <w:bottom w:w="0" w:type="dxa"/>
            <w:right w:w="108" w:type="dxa"/>
          </w:tblCellMar>
        </w:tblPrEx>
        <w:trPr>
          <w:trHeight w:val="600" w:hRule="atLeast"/>
          <w:jc w:val="center"/>
        </w:trPr>
        <w:tc>
          <w:tcPr>
            <w:tcW w:w="943" w:type="dxa"/>
            <w:tcBorders>
              <w:top w:val="nil"/>
              <w:left w:val="single" w:color="000000" w:sz="4" w:space="0"/>
              <w:bottom w:val="single" w:color="000000" w:sz="4" w:space="0"/>
              <w:right w:val="single" w:color="000000" w:sz="4" w:space="0"/>
            </w:tcBorders>
            <w:shd w:val="clear" w:color="auto" w:fill="auto"/>
            <w:noWrap/>
            <w:vAlign w:val="center"/>
          </w:tcPr>
          <w:p w14:paraId="0DF4180C">
            <w:pPr>
              <w:widowControl/>
              <w:jc w:val="center"/>
              <w:textAlignment w:val="center"/>
              <w:rPr>
                <w:color w:val="auto"/>
                <w:highlight w:val="none"/>
              </w:rPr>
            </w:pPr>
            <w:r>
              <w:rPr>
                <w:rFonts w:hint="eastAsia"/>
                <w:color w:val="auto"/>
                <w:highlight w:val="none"/>
              </w:rPr>
              <w:t>21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FE89">
            <w:pPr>
              <w:widowControl/>
              <w:jc w:val="center"/>
              <w:textAlignment w:val="center"/>
              <w:rPr>
                <w:color w:val="auto"/>
                <w:highlight w:val="none"/>
              </w:rPr>
            </w:pPr>
            <w:r>
              <w:rPr>
                <w:rFonts w:hint="eastAsia"/>
                <w:color w:val="auto"/>
                <w:highlight w:val="none"/>
              </w:rPr>
              <w:t>交换机2</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243C">
            <w:pPr>
              <w:widowControl/>
              <w:textAlignment w:val="center"/>
              <w:rPr>
                <w:color w:val="auto"/>
                <w:highlight w:val="none"/>
              </w:rPr>
            </w:pPr>
            <w:r>
              <w:rPr>
                <w:rFonts w:hint="eastAsia"/>
                <w:color w:val="auto"/>
                <w:highlight w:val="none"/>
              </w:rPr>
              <w:t>提供16个千兆PoE电口，1个千兆电口，1个千兆光口</w:t>
            </w:r>
            <w:r>
              <w:rPr>
                <w:rFonts w:hint="eastAsia"/>
                <w:color w:val="auto"/>
                <w:highlight w:val="none"/>
              </w:rPr>
              <w:br w:type="textWrapping"/>
            </w:r>
            <w:r>
              <w:rPr>
                <w:rFonts w:hint="eastAsia"/>
                <w:color w:val="auto"/>
                <w:highlight w:val="none"/>
              </w:rPr>
              <w:t>交换容量 36 Gbps</w:t>
            </w:r>
            <w:r>
              <w:rPr>
                <w:rFonts w:hint="eastAsia"/>
                <w:color w:val="auto"/>
                <w:highlight w:val="none"/>
              </w:rPr>
              <w:br w:type="textWrapping"/>
            </w:r>
            <w:r>
              <w:rPr>
                <w:rFonts w:hint="eastAsia"/>
                <w:color w:val="auto"/>
                <w:highlight w:val="none"/>
              </w:rPr>
              <w:t>包转发率 26.78 Mpps</w:t>
            </w:r>
            <w:r>
              <w:rPr>
                <w:rFonts w:hint="eastAsia"/>
                <w:color w:val="auto"/>
                <w:highlight w:val="none"/>
              </w:rPr>
              <w:br w:type="textWrapping"/>
            </w:r>
            <w:r>
              <w:rPr>
                <w:rFonts w:hint="eastAsia"/>
                <w:color w:val="auto"/>
                <w:highlight w:val="none"/>
              </w:rPr>
              <w:t>支持IEEE 802.3at/af</w:t>
            </w:r>
            <w:r>
              <w:rPr>
                <w:rFonts w:hint="eastAsia"/>
                <w:color w:val="auto"/>
                <w:highlight w:val="none"/>
              </w:rPr>
              <w:br w:type="textWrapping"/>
            </w:r>
            <w:r>
              <w:rPr>
                <w:rFonts w:hint="eastAsia"/>
                <w:color w:val="auto"/>
                <w:highlight w:val="none"/>
              </w:rPr>
              <w:t>端口最大供电功率：30 W</w:t>
            </w:r>
            <w:r>
              <w:rPr>
                <w:rFonts w:hint="eastAsia"/>
                <w:color w:val="auto"/>
                <w:highlight w:val="none"/>
              </w:rPr>
              <w:br w:type="textWrapping"/>
            </w:r>
            <w:r>
              <w:rPr>
                <w:rFonts w:hint="eastAsia"/>
                <w:color w:val="auto"/>
                <w:highlight w:val="none"/>
              </w:rPr>
              <w:t>整机最大供电功率：230 W</w:t>
            </w:r>
            <w:r>
              <w:rPr>
                <w:rFonts w:hint="eastAsia"/>
                <w:color w:val="auto"/>
                <w:highlight w:val="none"/>
              </w:rPr>
              <w:br w:type="textWrapping"/>
            </w:r>
            <w:r>
              <w:rPr>
                <w:rFonts w:hint="eastAsia"/>
                <w:color w:val="auto"/>
                <w:highlight w:val="none"/>
              </w:rPr>
              <w:t>支持6 KV防浪涌（PoE口）</w:t>
            </w:r>
            <w:r>
              <w:rPr>
                <w:rFonts w:hint="eastAsia"/>
                <w:color w:val="auto"/>
                <w:highlight w:val="none"/>
              </w:rPr>
              <w:br w:type="textWrapping"/>
            </w:r>
            <w:r>
              <w:rPr>
                <w:rFonts w:hint="eastAsia"/>
                <w:color w:val="auto"/>
                <w:highlight w:val="none"/>
              </w:rPr>
              <w:t>支持PoE输出功率管理</w:t>
            </w:r>
            <w:r>
              <w:rPr>
                <w:rFonts w:hint="eastAsia"/>
                <w:color w:val="auto"/>
                <w:highlight w:val="none"/>
              </w:rPr>
              <w:br w:type="textWrapping"/>
            </w:r>
            <w:r>
              <w:rPr>
                <w:rFonts w:hint="eastAsia"/>
                <w:color w:val="auto"/>
                <w:highlight w:val="none"/>
              </w:rPr>
              <w:t>千兆网络接入设计</w:t>
            </w:r>
            <w:r>
              <w:rPr>
                <w:rFonts w:hint="eastAsia"/>
                <w:color w:val="auto"/>
                <w:highlight w:val="none"/>
              </w:rPr>
              <w:br w:type="textWrapping"/>
            </w:r>
            <w:r>
              <w:rPr>
                <w:rFonts w:hint="eastAsia"/>
                <w:color w:val="auto"/>
                <w:highlight w:val="none"/>
              </w:rPr>
              <w:t>线速转发、无阻塞设计</w:t>
            </w:r>
            <w:r>
              <w:rPr>
                <w:rFonts w:hint="eastAsia"/>
                <w:color w:val="auto"/>
                <w:highlight w:val="none"/>
              </w:rPr>
              <w:br w:type="textWrapping"/>
            </w:r>
            <w:r>
              <w:rPr>
                <w:rFonts w:hint="eastAsia"/>
                <w:color w:val="auto"/>
                <w:highlight w:val="none"/>
              </w:rPr>
              <w:t>存储转发交换方式</w:t>
            </w:r>
            <w:r>
              <w:rPr>
                <w:rFonts w:hint="eastAsia"/>
                <w:color w:val="auto"/>
                <w:highlight w:val="none"/>
              </w:rPr>
              <w:br w:type="textWrapping"/>
            </w:r>
            <w:r>
              <w:rPr>
                <w:rFonts w:hint="eastAsia"/>
                <w:color w:val="auto"/>
                <w:highlight w:val="none"/>
              </w:rPr>
              <w:t>坚固式高强度金属外壳</w:t>
            </w:r>
            <w:r>
              <w:rPr>
                <w:rFonts w:hint="eastAsia"/>
                <w:color w:val="auto"/>
                <w:highlight w:val="none"/>
              </w:rPr>
              <w:br w:type="textWrapping"/>
            </w:r>
            <w:r>
              <w:rPr>
                <w:rFonts w:hint="eastAsia"/>
                <w:color w:val="auto"/>
                <w:highlight w:val="none"/>
              </w:rPr>
              <w:t>工作温度：0 °C ~ 45 °C</w:t>
            </w:r>
            <w:r>
              <w:rPr>
                <w:rFonts w:hint="eastAsia"/>
                <w:color w:val="auto"/>
                <w:highlight w:val="none"/>
              </w:rPr>
              <w:br w:type="textWrapping"/>
            </w:r>
            <w:r>
              <w:rPr>
                <w:rFonts w:hint="eastAsia"/>
                <w:color w:val="auto"/>
                <w:highlight w:val="none"/>
              </w:rPr>
              <w:t>安装方式：机架式（1U高，19英寸宽）</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56CF">
            <w:pPr>
              <w:widowControl/>
              <w:jc w:val="center"/>
              <w:textAlignment w:val="center"/>
              <w:rPr>
                <w:color w:val="auto"/>
                <w:highlight w:val="none"/>
              </w:rPr>
            </w:pPr>
            <w:r>
              <w:rPr>
                <w:rFonts w:hint="eastAsia"/>
                <w:color w:val="auto"/>
                <w:highlight w:val="none"/>
              </w:rPr>
              <w:t>台</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32EE">
            <w:pPr>
              <w:widowControl/>
              <w:jc w:val="center"/>
              <w:textAlignment w:val="center"/>
              <w:rPr>
                <w:color w:val="auto"/>
                <w:highlight w:val="none"/>
              </w:rPr>
            </w:pPr>
            <w:r>
              <w:rPr>
                <w:rFonts w:hint="eastAsia"/>
                <w:color w:val="auto"/>
                <w:highlight w:val="none"/>
              </w:rPr>
              <w:t>6</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5D7F">
            <w:pPr>
              <w:jc w:val="center"/>
              <w:rPr>
                <w:color w:val="auto"/>
                <w:highlight w:val="none"/>
              </w:rPr>
            </w:pPr>
          </w:p>
        </w:tc>
      </w:tr>
      <w:tr w14:paraId="615ED032">
        <w:tblPrEx>
          <w:tblCellMar>
            <w:top w:w="0" w:type="dxa"/>
            <w:left w:w="108" w:type="dxa"/>
            <w:bottom w:w="0" w:type="dxa"/>
            <w:right w:w="108" w:type="dxa"/>
          </w:tblCellMar>
        </w:tblPrEx>
        <w:trPr>
          <w:trHeight w:val="600" w:hRule="atLeast"/>
          <w:jc w:val="center"/>
        </w:trPr>
        <w:tc>
          <w:tcPr>
            <w:tcW w:w="943" w:type="dxa"/>
            <w:tcBorders>
              <w:top w:val="nil"/>
              <w:left w:val="single" w:color="000000" w:sz="4" w:space="0"/>
              <w:bottom w:val="single" w:color="000000" w:sz="4" w:space="0"/>
              <w:right w:val="single" w:color="000000" w:sz="4" w:space="0"/>
            </w:tcBorders>
            <w:shd w:val="clear" w:color="auto" w:fill="auto"/>
            <w:noWrap/>
            <w:vAlign w:val="center"/>
          </w:tcPr>
          <w:p w14:paraId="1265F527">
            <w:pPr>
              <w:widowControl/>
              <w:jc w:val="center"/>
              <w:textAlignment w:val="center"/>
              <w:rPr>
                <w:color w:val="auto"/>
                <w:highlight w:val="none"/>
              </w:rPr>
            </w:pPr>
            <w:r>
              <w:rPr>
                <w:rFonts w:hint="eastAsia"/>
                <w:color w:val="auto"/>
                <w:highlight w:val="none"/>
              </w:rPr>
              <w:t>22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FAC9">
            <w:pPr>
              <w:widowControl/>
              <w:jc w:val="center"/>
              <w:textAlignment w:val="center"/>
              <w:rPr>
                <w:color w:val="auto"/>
                <w:highlight w:val="none"/>
              </w:rPr>
            </w:pPr>
            <w:r>
              <w:rPr>
                <w:rFonts w:hint="eastAsia"/>
                <w:color w:val="auto"/>
                <w:highlight w:val="none"/>
              </w:rPr>
              <w:t>汇聚交换机</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B0AF">
            <w:pPr>
              <w:widowControl/>
              <w:textAlignment w:val="center"/>
              <w:rPr>
                <w:color w:val="auto"/>
                <w:highlight w:val="none"/>
              </w:rPr>
            </w:pPr>
            <w:r>
              <w:rPr>
                <w:rStyle w:val="39"/>
                <w:rFonts w:hint="default"/>
                <w:color w:val="auto"/>
                <w:sz w:val="22"/>
                <w:szCs w:val="22"/>
                <w:highlight w:val="none"/>
              </w:rPr>
              <w:t>★交换容量≥336Gbps</w:t>
            </w:r>
            <w:r>
              <w:rPr>
                <w:rStyle w:val="39"/>
                <w:rFonts w:hint="default"/>
                <w:color w:val="auto"/>
                <w:sz w:val="22"/>
                <w:szCs w:val="22"/>
                <w:highlight w:val="none"/>
              </w:rPr>
              <w:br w:type="textWrapping"/>
            </w:r>
            <w:r>
              <w:rPr>
                <w:rStyle w:val="39"/>
                <w:rFonts w:hint="default"/>
                <w:color w:val="auto"/>
                <w:sz w:val="22"/>
                <w:szCs w:val="22"/>
                <w:highlight w:val="none"/>
              </w:rPr>
              <w:t>★包转发率≥50Mpps</w:t>
            </w:r>
            <w:r>
              <w:rPr>
                <w:rStyle w:val="39"/>
                <w:rFonts w:hint="default"/>
                <w:color w:val="auto"/>
                <w:sz w:val="22"/>
                <w:szCs w:val="22"/>
                <w:highlight w:val="none"/>
              </w:rPr>
              <w:br w:type="textWrapping"/>
            </w:r>
            <w:r>
              <w:rPr>
                <w:rStyle w:val="39"/>
                <w:rFonts w:hint="default"/>
                <w:color w:val="auto"/>
                <w:sz w:val="22"/>
                <w:szCs w:val="22"/>
                <w:highlight w:val="none"/>
              </w:rPr>
              <w:t>★24个千兆电口，4个千兆SFP</w:t>
            </w:r>
            <w:r>
              <w:rPr>
                <w:rStyle w:val="39"/>
                <w:rFonts w:hint="default"/>
                <w:color w:val="auto"/>
                <w:sz w:val="22"/>
                <w:szCs w:val="22"/>
                <w:highlight w:val="none"/>
              </w:rPr>
              <w:br w:type="textWrapping"/>
            </w:r>
            <w:r>
              <w:rPr>
                <w:rStyle w:val="39"/>
                <w:rFonts w:hint="default"/>
                <w:color w:val="auto"/>
                <w:sz w:val="22"/>
                <w:szCs w:val="22"/>
                <w:highlight w:val="none"/>
              </w:rPr>
              <w:t>★支持4K个VLAN，支持Voice VLAN，基于端口的VLAN，基于MAC的VLAN，基于协议的VLAN,支持Smart link</w:t>
            </w:r>
            <w:r>
              <w:rPr>
                <w:rStyle w:val="39"/>
                <w:rFonts w:hint="default"/>
                <w:color w:val="auto"/>
                <w:sz w:val="22"/>
                <w:szCs w:val="22"/>
                <w:highlight w:val="none"/>
              </w:rPr>
              <w:br w:type="textWrapping"/>
            </w:r>
            <w:r>
              <w:rPr>
                <w:rStyle w:val="39"/>
                <w:rFonts w:hint="default"/>
                <w:color w:val="auto"/>
                <w:sz w:val="22"/>
                <w:szCs w:val="22"/>
                <w:highlight w:val="none"/>
              </w:rPr>
              <w:t>支持 1:1 和 N:1 VLAN Mapping 功能</w:t>
            </w:r>
            <w:r>
              <w:rPr>
                <w:rStyle w:val="39"/>
                <w:rFonts w:hint="default"/>
                <w:color w:val="auto"/>
                <w:sz w:val="22"/>
                <w:szCs w:val="22"/>
                <w:highlight w:val="none"/>
              </w:rPr>
              <w:br w:type="textWrapping"/>
            </w:r>
            <w:r>
              <w:rPr>
                <w:rStyle w:val="39"/>
                <w:rFonts w:hint="default"/>
                <w:color w:val="auto"/>
                <w:sz w:val="22"/>
                <w:szCs w:val="22"/>
                <w:highlight w:val="none"/>
              </w:rPr>
              <w:t>三层功能支持RIP、RIPng、OSPF、OSPFv3路由协议</w:t>
            </w:r>
            <w:r>
              <w:rPr>
                <w:rStyle w:val="39"/>
                <w:rFonts w:hint="default"/>
                <w:color w:val="auto"/>
                <w:sz w:val="22"/>
                <w:szCs w:val="22"/>
                <w:highlight w:val="none"/>
              </w:rPr>
              <w:br w:type="textWrapping"/>
            </w:r>
            <w:r>
              <w:rPr>
                <w:rStyle w:val="39"/>
                <w:rFonts w:hint="default"/>
                <w:color w:val="auto"/>
                <w:sz w:val="22"/>
                <w:szCs w:val="22"/>
                <w:highlight w:val="none"/>
              </w:rPr>
              <w:t>安全支持防止DOS、ARP攻击功能、ICMP防攻击</w:t>
            </w:r>
            <w:r>
              <w:rPr>
                <w:rStyle w:val="39"/>
                <w:rFonts w:hint="default"/>
                <w:color w:val="auto"/>
                <w:sz w:val="22"/>
                <w:szCs w:val="22"/>
                <w:highlight w:val="none"/>
              </w:rPr>
              <w:br w:type="textWrapping"/>
            </w:r>
            <w:r>
              <w:rPr>
                <w:rStyle w:val="39"/>
                <w:rFonts w:hint="default"/>
                <w:color w:val="auto"/>
                <w:sz w:val="22"/>
                <w:szCs w:val="22"/>
                <w:highlight w:val="none"/>
              </w:rPr>
              <w:t>支持端口隔离、端口安全、Sticky MAC</w:t>
            </w:r>
            <w:r>
              <w:rPr>
                <w:rStyle w:val="39"/>
                <w:rFonts w:hint="default"/>
                <w:color w:val="auto"/>
                <w:sz w:val="22"/>
                <w:szCs w:val="22"/>
                <w:highlight w:val="none"/>
              </w:rPr>
              <w:br w:type="textWrapping"/>
            </w:r>
            <w:r>
              <w:rPr>
                <w:rStyle w:val="39"/>
                <w:rFonts w:hint="default"/>
                <w:color w:val="auto"/>
                <w:sz w:val="22"/>
                <w:szCs w:val="22"/>
                <w:highlight w:val="none"/>
              </w:rPr>
              <w:t>支持 IP、MAC、端口、VLAN的组合绑定</w:t>
            </w:r>
            <w:r>
              <w:rPr>
                <w:rStyle w:val="39"/>
                <w:rFonts w:hint="default"/>
                <w:color w:val="auto"/>
                <w:sz w:val="22"/>
                <w:szCs w:val="22"/>
                <w:highlight w:val="none"/>
              </w:rPr>
              <w:br w:type="textWrapping"/>
            </w:r>
            <w:r>
              <w:rPr>
                <w:rStyle w:val="39"/>
                <w:rFonts w:hint="default"/>
                <w:color w:val="auto"/>
                <w:sz w:val="22"/>
                <w:szCs w:val="22"/>
                <w:highlight w:val="none"/>
              </w:rPr>
              <w:t>虚拟化支持纵向虚拟化，作为纵向子节点零配置即插即用</w:t>
            </w:r>
            <w:r>
              <w:rPr>
                <w:rStyle w:val="39"/>
                <w:rFonts w:hint="default"/>
                <w:color w:val="auto"/>
                <w:sz w:val="22"/>
                <w:szCs w:val="22"/>
                <w:highlight w:val="none"/>
              </w:rPr>
              <w:br w:type="textWrapping"/>
            </w:r>
            <w:r>
              <w:rPr>
                <w:rStyle w:val="39"/>
                <w:rFonts w:hint="default"/>
                <w:color w:val="auto"/>
                <w:sz w:val="22"/>
                <w:szCs w:val="22"/>
                <w:highlight w:val="none"/>
              </w:rPr>
              <w:t>管理维护支持SNMP v1/v2/v3、Telnet、RMON</w:t>
            </w:r>
            <w:r>
              <w:rPr>
                <w:rStyle w:val="39"/>
                <w:rFonts w:hint="default"/>
                <w:color w:val="auto"/>
                <w:sz w:val="22"/>
                <w:szCs w:val="22"/>
                <w:highlight w:val="none"/>
              </w:rPr>
              <w:br w:type="textWrapping"/>
            </w:r>
            <w:r>
              <w:rPr>
                <w:rStyle w:val="39"/>
                <w:rFonts w:hint="default"/>
                <w:color w:val="auto"/>
                <w:sz w:val="22"/>
                <w:szCs w:val="22"/>
                <w:highlight w:val="none"/>
              </w:rPr>
              <w:t>支持通过命令行、Web、中文图形化配置软件等方式进行配置和管理</w:t>
            </w:r>
            <w:r>
              <w:rPr>
                <w:rStyle w:val="39"/>
                <w:rFonts w:hint="default"/>
                <w:color w:val="auto"/>
                <w:sz w:val="22"/>
                <w:szCs w:val="22"/>
                <w:highlight w:val="none"/>
              </w:rPr>
              <w:br w:type="textWrapping"/>
            </w:r>
            <w:r>
              <w:rPr>
                <w:rStyle w:val="39"/>
                <w:rFonts w:hint="default"/>
                <w:color w:val="auto"/>
                <w:sz w:val="22"/>
                <w:szCs w:val="22"/>
                <w:highlight w:val="none"/>
              </w:rPr>
              <w:t>业务口防雷业务口防雷可达10KV</w:t>
            </w:r>
            <w:r>
              <w:rPr>
                <w:rStyle w:val="39"/>
                <w:rFonts w:hint="default"/>
                <w:color w:val="auto"/>
                <w:sz w:val="22"/>
                <w:szCs w:val="22"/>
                <w:highlight w:val="none"/>
              </w:rPr>
              <w:br w:type="textWrapping"/>
            </w:r>
            <w:r>
              <w:rPr>
                <w:rStyle w:val="39"/>
                <w:rFonts w:hint="default"/>
                <w:color w:val="auto"/>
                <w:sz w:val="22"/>
                <w:szCs w:val="22"/>
                <w:highlight w:val="none"/>
              </w:rPr>
              <w:t>节能支持 802.3az 能效以太网 EEE，节能环保</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435C">
            <w:pPr>
              <w:widowControl/>
              <w:jc w:val="center"/>
              <w:textAlignment w:val="center"/>
              <w:rPr>
                <w:color w:val="auto"/>
                <w:highlight w:val="none"/>
              </w:rPr>
            </w:pPr>
            <w:r>
              <w:rPr>
                <w:rFonts w:hint="eastAsia"/>
                <w:color w:val="auto"/>
                <w:highlight w:val="none"/>
              </w:rPr>
              <w:t>台</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73A9">
            <w:pPr>
              <w:widowControl/>
              <w:jc w:val="center"/>
              <w:textAlignment w:val="center"/>
              <w:rPr>
                <w:color w:val="auto"/>
                <w:highlight w:val="none"/>
              </w:rPr>
            </w:pPr>
            <w:r>
              <w:rPr>
                <w:rFonts w:hint="eastAsia"/>
                <w:color w:val="auto"/>
                <w:highlight w:val="none"/>
              </w:rPr>
              <w:t>8</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98B7">
            <w:pPr>
              <w:jc w:val="center"/>
              <w:rPr>
                <w:color w:val="auto"/>
                <w:highlight w:val="none"/>
              </w:rPr>
            </w:pPr>
          </w:p>
        </w:tc>
      </w:tr>
      <w:tr w14:paraId="037430C3">
        <w:tblPrEx>
          <w:tblCellMar>
            <w:top w:w="0" w:type="dxa"/>
            <w:left w:w="108" w:type="dxa"/>
            <w:bottom w:w="0" w:type="dxa"/>
            <w:right w:w="108" w:type="dxa"/>
          </w:tblCellMar>
        </w:tblPrEx>
        <w:trPr>
          <w:trHeight w:val="580" w:hRule="atLeast"/>
          <w:jc w:val="center"/>
        </w:trPr>
        <w:tc>
          <w:tcPr>
            <w:tcW w:w="943" w:type="dxa"/>
            <w:tcBorders>
              <w:top w:val="nil"/>
              <w:left w:val="single" w:color="000000" w:sz="4" w:space="0"/>
              <w:bottom w:val="single" w:color="000000" w:sz="4" w:space="0"/>
              <w:right w:val="single" w:color="000000" w:sz="4" w:space="0"/>
            </w:tcBorders>
            <w:shd w:val="clear" w:color="auto" w:fill="auto"/>
            <w:noWrap/>
            <w:vAlign w:val="center"/>
          </w:tcPr>
          <w:p w14:paraId="732C58C9">
            <w:pPr>
              <w:widowControl/>
              <w:jc w:val="center"/>
              <w:textAlignment w:val="center"/>
              <w:rPr>
                <w:color w:val="auto"/>
                <w:highlight w:val="none"/>
              </w:rPr>
            </w:pPr>
            <w:r>
              <w:rPr>
                <w:rFonts w:hint="eastAsia"/>
                <w:color w:val="auto"/>
                <w:highlight w:val="none"/>
              </w:rPr>
              <w:t>23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8B73">
            <w:pPr>
              <w:widowControl/>
              <w:jc w:val="center"/>
              <w:textAlignment w:val="center"/>
              <w:rPr>
                <w:color w:val="auto"/>
                <w:highlight w:val="none"/>
              </w:rPr>
            </w:pPr>
            <w:r>
              <w:rPr>
                <w:rFonts w:hint="eastAsia"/>
                <w:color w:val="auto"/>
                <w:highlight w:val="none"/>
              </w:rPr>
              <w:t>42U网络机柜</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F290">
            <w:pPr>
              <w:widowControl/>
              <w:textAlignment w:val="center"/>
              <w:rPr>
                <w:color w:val="auto"/>
                <w:highlight w:val="none"/>
              </w:rPr>
            </w:pPr>
            <w:r>
              <w:rPr>
                <w:rFonts w:hint="eastAsia"/>
                <w:color w:val="auto"/>
                <w:highlight w:val="none"/>
              </w:rPr>
              <w:t>42U标准机柜</w:t>
            </w:r>
            <w:r>
              <w:rPr>
                <w:rFonts w:hint="eastAsia"/>
                <w:color w:val="auto"/>
                <w:highlight w:val="none"/>
              </w:rPr>
              <w:br w:type="textWrapping"/>
            </w:r>
            <w:r>
              <w:rPr>
                <w:rFonts w:hint="eastAsia"/>
                <w:color w:val="auto"/>
                <w:highlight w:val="none"/>
              </w:rPr>
              <w:t>符合 ANSUEIA RS -310- D 、IEC297-2,DIN41491:PART1,DIN41494:PART7.GB/T3047.2-921:兼容 ETSI 标准</w:t>
            </w:r>
            <w:r>
              <w:rPr>
                <w:rFonts w:hint="eastAsia"/>
                <w:color w:val="auto"/>
                <w:highlight w:val="none"/>
              </w:rPr>
              <w:br w:type="textWrapping"/>
            </w:r>
            <w:r>
              <w:rPr>
                <w:rFonts w:hint="eastAsia"/>
                <w:color w:val="auto"/>
                <w:highlight w:val="none"/>
              </w:rPr>
              <w:t>2055MM600MM600MM42U</w:t>
            </w:r>
            <w:r>
              <w:rPr>
                <w:rFonts w:hint="eastAsia"/>
                <w:color w:val="auto"/>
                <w:highlight w:val="none"/>
              </w:rPr>
              <w:br w:type="textWrapping"/>
            </w:r>
            <w:r>
              <w:rPr>
                <w:rFonts w:hint="eastAsia"/>
                <w:color w:val="auto"/>
                <w:highlight w:val="none"/>
              </w:rPr>
              <w:t>单开钣金后门</w:t>
            </w:r>
            <w:r>
              <w:rPr>
                <w:rFonts w:hint="eastAsia"/>
                <w:color w:val="auto"/>
                <w:highlight w:val="none"/>
              </w:rPr>
              <w:br w:type="textWrapping"/>
            </w:r>
            <w:r>
              <w:rPr>
                <w:rFonts w:hint="eastAsia"/>
                <w:color w:val="auto"/>
                <w:highlight w:val="none"/>
              </w:rPr>
              <w:t xml:space="preserve"> SPCC 优质冷礼纲板制作：厚度：方孔条2.0mm,安装梁1.5mm，其它1.2mm。</w:t>
            </w:r>
            <w:r>
              <w:rPr>
                <w:rFonts w:hint="eastAsia"/>
                <w:color w:val="auto"/>
                <w:highlight w:val="none"/>
              </w:rPr>
              <w:br w:type="textWrapping"/>
            </w:r>
            <w:r>
              <w:rPr>
                <w:rFonts w:hint="eastAsia"/>
                <w:color w:val="auto"/>
                <w:highlight w:val="none"/>
              </w:rPr>
              <w:t>方孔条数铝锌板：其余：脱脂、碘化、静电喷塑。前后为圆形通风孔的上下枪：</w:t>
            </w:r>
            <w:r>
              <w:rPr>
                <w:rFonts w:hint="eastAsia"/>
                <w:color w:val="auto"/>
                <w:highlight w:val="none"/>
              </w:rPr>
              <w:br w:type="textWrapping"/>
            </w:r>
            <w:r>
              <w:rPr>
                <w:rFonts w:hint="eastAsia"/>
                <w:color w:val="auto"/>
                <w:highlight w:val="none"/>
              </w:rPr>
              <w:t>高贵典雅，工艺精湛，尺寸精密，极富时代气息，为您的工程增添价值：可方便地安装面腾机拒集中配电单元（专利：结构望固，最大静载达800KG（带支部）：可关闭的上部下部多处走线通道，底部大走线孔尺寸可按需调整</w:t>
            </w:r>
            <w:r>
              <w:rPr>
                <w:rFonts w:hint="eastAsia"/>
                <w:color w:val="auto"/>
                <w:highlight w:val="none"/>
              </w:rPr>
              <w:br w:type="textWrapping"/>
            </w:r>
            <w:r>
              <w:rPr>
                <w:rFonts w:hint="eastAsia"/>
                <w:color w:val="auto"/>
                <w:highlight w:val="none"/>
              </w:rPr>
              <w:t>尺寸（高＊宽＊深）</w:t>
            </w:r>
            <w:r>
              <w:rPr>
                <w:rFonts w:hint="eastAsia"/>
                <w:color w:val="auto"/>
                <w:highlight w:val="none"/>
              </w:rPr>
              <w:br w:type="textWrapping"/>
            </w:r>
            <w:r>
              <w:rPr>
                <w:rFonts w:hint="eastAsia"/>
                <w:color w:val="auto"/>
                <w:highlight w:val="none"/>
              </w:rPr>
              <w:t>门及门锁</w:t>
            </w:r>
            <w:r>
              <w:rPr>
                <w:rFonts w:hint="eastAsia"/>
                <w:color w:val="auto"/>
                <w:highlight w:val="none"/>
              </w:rPr>
              <w:br w:type="textWrapping"/>
            </w:r>
            <w:r>
              <w:rPr>
                <w:rFonts w:hint="eastAsia"/>
                <w:color w:val="auto"/>
                <w:highlight w:val="none"/>
              </w:rPr>
              <w:t>材料及工艺</w:t>
            </w:r>
            <w:r>
              <w:rPr>
                <w:rFonts w:hint="eastAsia"/>
                <w:color w:val="auto"/>
                <w:highlight w:val="none"/>
              </w:rPr>
              <w:br w:type="textWrapping"/>
            </w:r>
            <w:r>
              <w:rPr>
                <w:rFonts w:hint="eastAsia"/>
                <w:color w:val="auto"/>
                <w:highlight w:val="none"/>
              </w:rPr>
              <w:t>表面处理</w:t>
            </w:r>
            <w:r>
              <w:rPr>
                <w:rFonts w:hint="eastAsia"/>
                <w:color w:val="auto"/>
                <w:highlight w:val="none"/>
              </w:rPr>
              <w:br w:type="textWrapping"/>
            </w:r>
            <w:r>
              <w:rPr>
                <w:rFonts w:hint="eastAsia"/>
                <w:color w:val="auto"/>
                <w:highlight w:val="none"/>
              </w:rPr>
              <w:t>可加功能</w:t>
            </w:r>
            <w:r>
              <w:rPr>
                <w:rFonts w:hint="eastAsia"/>
                <w:color w:val="auto"/>
                <w:highlight w:val="none"/>
              </w:rPr>
              <w:br w:type="textWrapping"/>
            </w:r>
            <w:r>
              <w:rPr>
                <w:rFonts w:hint="eastAsia"/>
                <w:color w:val="auto"/>
                <w:highlight w:val="none"/>
              </w:rPr>
              <w:t>外观设计（专利）</w:t>
            </w:r>
            <w:r>
              <w:rPr>
                <w:rFonts w:hint="eastAsia"/>
                <w:color w:val="auto"/>
                <w:highlight w:val="none"/>
              </w:rPr>
              <w:br w:type="textWrapping"/>
            </w:r>
            <w:r>
              <w:rPr>
                <w:rFonts w:hint="eastAsia"/>
                <w:color w:val="auto"/>
                <w:highlight w:val="none"/>
              </w:rPr>
              <w:t>可选配安装底座，达到固定机柜、底部过线、底部送冷风、防鼠的要求</w:t>
            </w:r>
            <w:r>
              <w:rPr>
                <w:rFonts w:hint="eastAsia"/>
                <w:color w:val="auto"/>
                <w:highlight w:val="none"/>
              </w:rPr>
              <w:br w:type="textWrapping"/>
            </w:r>
            <w:r>
              <w:rPr>
                <w:rFonts w:hint="eastAsia"/>
                <w:color w:val="auto"/>
                <w:highlight w:val="none"/>
              </w:rPr>
              <w:t>高效坚固的并挖连接（专利）;</w:t>
            </w:r>
            <w:r>
              <w:rPr>
                <w:rFonts w:hint="eastAsia"/>
                <w:color w:val="auto"/>
                <w:highlight w:val="none"/>
              </w:rPr>
              <w:br w:type="textWrapping"/>
            </w:r>
            <w:r>
              <w:rPr>
                <w:rFonts w:hint="eastAsia"/>
                <w:color w:val="auto"/>
                <w:highlight w:val="none"/>
              </w:rPr>
              <w:t>前后门配离级弹力镜</w:t>
            </w:r>
            <w:r>
              <w:rPr>
                <w:rFonts w:hint="eastAsia"/>
                <w:color w:val="auto"/>
                <w:highlight w:val="none"/>
              </w:rPr>
              <w:br w:type="textWrapping"/>
            </w:r>
            <w:r>
              <w:rPr>
                <w:rFonts w:hint="eastAsia"/>
                <w:color w:val="auto"/>
                <w:highlight w:val="none"/>
              </w:rPr>
              <w:t>齐全的可选配件。</w:t>
            </w:r>
            <w:r>
              <w:rPr>
                <w:rFonts w:hint="eastAsia"/>
                <w:color w:val="auto"/>
                <w:highlight w:val="none"/>
              </w:rPr>
              <w:br w:type="textWrapping"/>
            </w:r>
            <w:r>
              <w:rPr>
                <w:rFonts w:hint="eastAsia"/>
                <w:color w:val="auto"/>
                <w:highlight w:val="none"/>
              </w:rPr>
              <w:t>承载：静载800KG（带支架）</w:t>
            </w:r>
            <w:r>
              <w:rPr>
                <w:rFonts w:hint="eastAsia"/>
                <w:color w:val="auto"/>
                <w:highlight w:val="none"/>
              </w:rPr>
              <w:br w:type="textWrapping"/>
            </w:r>
            <w:r>
              <w:rPr>
                <w:rFonts w:hint="eastAsia"/>
                <w:color w:val="auto"/>
                <w:highlight w:val="none"/>
              </w:rPr>
              <w:t>防护等级：1P20</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F810">
            <w:pPr>
              <w:widowControl/>
              <w:jc w:val="center"/>
              <w:textAlignment w:val="center"/>
              <w:rPr>
                <w:color w:val="auto"/>
                <w:highlight w:val="none"/>
              </w:rPr>
            </w:pPr>
            <w:r>
              <w:rPr>
                <w:rFonts w:hint="eastAsia"/>
                <w:color w:val="auto"/>
                <w:highlight w:val="none"/>
              </w:rPr>
              <w:t>台</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C77A">
            <w:pPr>
              <w:widowControl/>
              <w:jc w:val="center"/>
              <w:textAlignment w:val="center"/>
              <w:rPr>
                <w:color w:val="auto"/>
                <w:highlight w:val="none"/>
              </w:rPr>
            </w:pPr>
            <w:r>
              <w:rPr>
                <w:rFonts w:hint="eastAsia"/>
                <w:color w:val="auto"/>
                <w:highlight w:val="none"/>
              </w:rPr>
              <w:t>8</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3F37">
            <w:pPr>
              <w:jc w:val="center"/>
              <w:rPr>
                <w:color w:val="auto"/>
                <w:highlight w:val="none"/>
              </w:rPr>
            </w:pPr>
          </w:p>
        </w:tc>
      </w:tr>
      <w:tr w14:paraId="420B4F2E">
        <w:tblPrEx>
          <w:tblCellMar>
            <w:top w:w="0" w:type="dxa"/>
            <w:left w:w="108" w:type="dxa"/>
            <w:bottom w:w="0" w:type="dxa"/>
            <w:right w:w="108" w:type="dxa"/>
          </w:tblCellMar>
        </w:tblPrEx>
        <w:trPr>
          <w:trHeight w:val="600" w:hRule="atLeast"/>
          <w:jc w:val="center"/>
        </w:trPr>
        <w:tc>
          <w:tcPr>
            <w:tcW w:w="943" w:type="dxa"/>
            <w:tcBorders>
              <w:top w:val="nil"/>
              <w:left w:val="single" w:color="000000" w:sz="4" w:space="0"/>
              <w:bottom w:val="single" w:color="000000" w:sz="4" w:space="0"/>
              <w:right w:val="single" w:color="000000" w:sz="4" w:space="0"/>
            </w:tcBorders>
            <w:shd w:val="clear" w:color="auto" w:fill="auto"/>
            <w:noWrap/>
            <w:vAlign w:val="center"/>
          </w:tcPr>
          <w:p w14:paraId="4A7288DF">
            <w:pPr>
              <w:widowControl/>
              <w:jc w:val="center"/>
              <w:textAlignment w:val="center"/>
              <w:rPr>
                <w:color w:val="auto"/>
                <w:highlight w:val="none"/>
              </w:rPr>
            </w:pPr>
            <w:r>
              <w:rPr>
                <w:rFonts w:hint="eastAsia"/>
                <w:color w:val="auto"/>
                <w:highlight w:val="none"/>
              </w:rPr>
              <w:t>24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6950">
            <w:pPr>
              <w:widowControl/>
              <w:jc w:val="center"/>
              <w:textAlignment w:val="center"/>
              <w:rPr>
                <w:color w:val="auto"/>
                <w:highlight w:val="none"/>
              </w:rPr>
            </w:pPr>
            <w:r>
              <w:rPr>
                <w:rFonts w:hint="eastAsia"/>
                <w:color w:val="auto"/>
                <w:highlight w:val="none"/>
              </w:rPr>
              <w:t>核心交换机</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31E8">
            <w:pPr>
              <w:widowControl/>
              <w:textAlignment w:val="center"/>
              <w:rPr>
                <w:rStyle w:val="39"/>
                <w:rFonts w:hint="default"/>
                <w:color w:val="auto"/>
                <w:sz w:val="22"/>
                <w:szCs w:val="22"/>
                <w:highlight w:val="none"/>
              </w:rPr>
            </w:pPr>
            <w:r>
              <w:rPr>
                <w:rStyle w:val="39"/>
                <w:rFonts w:hint="default"/>
                <w:color w:val="auto"/>
                <w:sz w:val="22"/>
                <w:szCs w:val="22"/>
                <w:highlight w:val="none"/>
              </w:rPr>
              <w:t>交换容量≥38Tbps，以最小值为准</w:t>
            </w:r>
            <w:r>
              <w:rPr>
                <w:rStyle w:val="39"/>
                <w:rFonts w:hint="default"/>
                <w:color w:val="auto"/>
                <w:sz w:val="22"/>
                <w:szCs w:val="22"/>
                <w:highlight w:val="none"/>
              </w:rPr>
              <w:br w:type="textWrapping"/>
            </w:r>
            <w:r>
              <w:rPr>
                <w:rStyle w:val="39"/>
                <w:rFonts w:hint="default"/>
                <w:color w:val="auto"/>
                <w:sz w:val="22"/>
                <w:szCs w:val="22"/>
                <w:highlight w:val="none"/>
              </w:rPr>
              <w:t>包转发率包转发率≥36000Mpps，以最小值为准</w:t>
            </w:r>
            <w:r>
              <w:rPr>
                <w:rStyle w:val="39"/>
                <w:rFonts w:hint="default"/>
                <w:color w:val="auto"/>
                <w:sz w:val="22"/>
                <w:szCs w:val="22"/>
                <w:highlight w:val="none"/>
              </w:rPr>
              <w:br w:type="textWrapping"/>
            </w:r>
            <w:r>
              <w:rPr>
                <w:rStyle w:val="39"/>
                <w:rFonts w:hint="default"/>
                <w:color w:val="auto"/>
                <w:sz w:val="22"/>
                <w:szCs w:val="22"/>
                <w:highlight w:val="none"/>
              </w:rPr>
              <w:t>机柜要求适用600mm深度机柜</w:t>
            </w:r>
            <w:r>
              <w:rPr>
                <w:rStyle w:val="39"/>
                <w:rFonts w:hint="default"/>
                <w:color w:val="auto"/>
                <w:sz w:val="22"/>
                <w:szCs w:val="22"/>
                <w:highlight w:val="none"/>
              </w:rPr>
              <w:br w:type="textWrapping"/>
            </w:r>
            <w:r>
              <w:rPr>
                <w:rStyle w:val="39"/>
                <w:rFonts w:hint="default"/>
                <w:color w:val="auto"/>
                <w:sz w:val="22"/>
                <w:szCs w:val="22"/>
                <w:highlight w:val="none"/>
              </w:rPr>
              <w:t>设备高度≤4U端口</w:t>
            </w:r>
          </w:p>
          <w:p w14:paraId="428C5EE3">
            <w:pPr>
              <w:widowControl/>
              <w:textAlignment w:val="center"/>
              <w:rPr>
                <w:color w:val="auto"/>
                <w:highlight w:val="none"/>
              </w:rPr>
            </w:pPr>
            <w:r>
              <w:rPr>
                <w:rStyle w:val="39"/>
                <w:rFonts w:hint="default"/>
                <w:color w:val="auto"/>
                <w:sz w:val="22"/>
                <w:szCs w:val="22"/>
                <w:highlight w:val="none"/>
              </w:rPr>
              <w:t>支持两层子节点，且子节点接入交换机支持堆叠</w:t>
            </w:r>
            <w:r>
              <w:rPr>
                <w:rStyle w:val="39"/>
                <w:rFonts w:hint="default"/>
                <w:color w:val="auto"/>
                <w:sz w:val="22"/>
                <w:szCs w:val="22"/>
                <w:highlight w:val="none"/>
              </w:rPr>
              <w:br w:type="textWrapping"/>
            </w:r>
            <w:r>
              <w:rPr>
                <w:rStyle w:val="39"/>
                <w:rFonts w:hint="default"/>
                <w:color w:val="auto"/>
                <w:sz w:val="22"/>
                <w:szCs w:val="22"/>
                <w:highlight w:val="none"/>
              </w:rPr>
              <w:t>用户管理支持802.1X、MAC、Portal等认证方式</w:t>
            </w:r>
            <w:r>
              <w:rPr>
                <w:rStyle w:val="39"/>
                <w:rFonts w:hint="default"/>
                <w:color w:val="auto"/>
                <w:sz w:val="22"/>
                <w:szCs w:val="22"/>
                <w:highlight w:val="none"/>
              </w:rPr>
              <w:br w:type="textWrapping"/>
            </w:r>
            <w:r>
              <w:rPr>
                <w:rStyle w:val="39"/>
                <w:rFonts w:hint="default"/>
                <w:color w:val="auto"/>
                <w:sz w:val="22"/>
                <w:szCs w:val="22"/>
                <w:highlight w:val="none"/>
              </w:rPr>
              <w:t>支持基于流量、DAA目的地址和时长计费方式</w:t>
            </w:r>
            <w:r>
              <w:rPr>
                <w:rStyle w:val="39"/>
                <w:rFonts w:hint="default"/>
                <w:color w:val="auto"/>
                <w:sz w:val="22"/>
                <w:szCs w:val="22"/>
                <w:highlight w:val="none"/>
              </w:rPr>
              <w:br w:type="textWrapping"/>
            </w:r>
            <w:r>
              <w:rPr>
                <w:rStyle w:val="39"/>
                <w:rFonts w:hint="default"/>
                <w:color w:val="auto"/>
                <w:sz w:val="22"/>
                <w:szCs w:val="22"/>
                <w:highlight w:val="none"/>
              </w:rPr>
              <w:t>VLAN支持4K VLAN</w:t>
            </w:r>
            <w:r>
              <w:rPr>
                <w:rStyle w:val="39"/>
                <w:rFonts w:hint="default"/>
                <w:color w:val="auto"/>
                <w:sz w:val="22"/>
                <w:szCs w:val="22"/>
                <w:highlight w:val="none"/>
              </w:rPr>
              <w:br w:type="textWrapping"/>
            </w:r>
            <w:r>
              <w:rPr>
                <w:rStyle w:val="39"/>
                <w:rFonts w:hint="default"/>
                <w:color w:val="auto"/>
                <w:sz w:val="22"/>
                <w:szCs w:val="22"/>
                <w:highlight w:val="none"/>
              </w:rPr>
              <w:t>支持1：1，N：1 VLAN mapping</w:t>
            </w:r>
            <w:r>
              <w:rPr>
                <w:rStyle w:val="39"/>
                <w:rFonts w:hint="default"/>
                <w:color w:val="auto"/>
                <w:sz w:val="22"/>
                <w:szCs w:val="22"/>
                <w:highlight w:val="none"/>
              </w:rPr>
              <w:br w:type="textWrapping"/>
            </w:r>
            <w:r>
              <w:rPr>
                <w:rStyle w:val="39"/>
                <w:rFonts w:hint="default"/>
                <w:color w:val="auto"/>
                <w:sz w:val="22"/>
                <w:szCs w:val="22"/>
                <w:highlight w:val="none"/>
              </w:rPr>
              <w:t>支持端口VLAN，协议VLAN，IP子网VLAN；</w:t>
            </w:r>
            <w:r>
              <w:rPr>
                <w:rStyle w:val="39"/>
                <w:rFonts w:hint="default"/>
                <w:color w:val="auto"/>
                <w:sz w:val="22"/>
                <w:szCs w:val="22"/>
                <w:highlight w:val="none"/>
              </w:rPr>
              <w:br w:type="textWrapping"/>
            </w:r>
            <w:r>
              <w:rPr>
                <w:rStyle w:val="39"/>
                <w:rFonts w:hint="default"/>
                <w:color w:val="auto"/>
                <w:sz w:val="22"/>
                <w:szCs w:val="22"/>
                <w:highlight w:val="none"/>
              </w:rPr>
              <w:t>支持Super VLAN;</w:t>
            </w:r>
            <w:r>
              <w:rPr>
                <w:rStyle w:val="39"/>
                <w:rFonts w:hint="default"/>
                <w:color w:val="auto"/>
                <w:sz w:val="22"/>
                <w:szCs w:val="22"/>
                <w:highlight w:val="none"/>
              </w:rPr>
              <w:br w:type="textWrapping"/>
            </w:r>
            <w:r>
              <w:rPr>
                <w:rStyle w:val="39"/>
                <w:rFonts w:hint="default"/>
                <w:color w:val="auto"/>
                <w:sz w:val="22"/>
                <w:szCs w:val="22"/>
                <w:highlight w:val="none"/>
              </w:rPr>
              <w:t xml:space="preserve">支持Voice VLAN; </w:t>
            </w:r>
            <w:r>
              <w:rPr>
                <w:rStyle w:val="39"/>
                <w:rFonts w:hint="default"/>
                <w:color w:val="auto"/>
                <w:sz w:val="22"/>
                <w:szCs w:val="22"/>
                <w:highlight w:val="none"/>
              </w:rPr>
              <w:br w:type="textWrapping"/>
            </w:r>
            <w:r>
              <w:rPr>
                <w:rStyle w:val="39"/>
                <w:rFonts w:hint="default"/>
                <w:color w:val="auto"/>
                <w:sz w:val="22"/>
                <w:szCs w:val="22"/>
                <w:highlight w:val="none"/>
              </w:rPr>
              <w:t>二层功能支持IEEE 802.1d(STP)、 802.w(RSTP)、 802.1s(MSTP)</w:t>
            </w:r>
            <w:r>
              <w:rPr>
                <w:rStyle w:val="39"/>
                <w:rFonts w:hint="default"/>
                <w:color w:val="auto"/>
                <w:sz w:val="22"/>
                <w:szCs w:val="22"/>
                <w:highlight w:val="none"/>
              </w:rPr>
              <w:br w:type="textWrapping"/>
            </w:r>
            <w:r>
              <w:rPr>
                <w:rStyle w:val="39"/>
                <w:rFonts w:hint="default"/>
                <w:color w:val="auto"/>
                <w:sz w:val="22"/>
                <w:szCs w:val="22"/>
                <w:highlight w:val="none"/>
              </w:rPr>
              <w:t>支持VLAN内端口隔离</w:t>
            </w:r>
            <w:r>
              <w:rPr>
                <w:rStyle w:val="39"/>
                <w:rFonts w:hint="default"/>
                <w:color w:val="auto"/>
                <w:sz w:val="22"/>
                <w:szCs w:val="22"/>
                <w:highlight w:val="none"/>
              </w:rPr>
              <w:br w:type="textWrapping"/>
            </w:r>
            <w:r>
              <w:rPr>
                <w:rStyle w:val="39"/>
                <w:rFonts w:hint="default"/>
                <w:color w:val="auto"/>
                <w:sz w:val="22"/>
                <w:szCs w:val="22"/>
                <w:highlight w:val="none"/>
              </w:rPr>
              <w:t>支持1:1, N:1端口镜像；</w:t>
            </w:r>
            <w:r>
              <w:rPr>
                <w:rStyle w:val="39"/>
                <w:rFonts w:hint="default"/>
                <w:color w:val="auto"/>
                <w:sz w:val="22"/>
                <w:szCs w:val="22"/>
                <w:highlight w:val="none"/>
              </w:rPr>
              <w:br w:type="textWrapping"/>
            </w:r>
            <w:r>
              <w:rPr>
                <w:rStyle w:val="39"/>
                <w:rFonts w:hint="default"/>
                <w:color w:val="auto"/>
                <w:sz w:val="22"/>
                <w:szCs w:val="22"/>
                <w:highlight w:val="none"/>
              </w:rPr>
              <w:t>支持流镜像；</w:t>
            </w:r>
            <w:r>
              <w:rPr>
                <w:rStyle w:val="39"/>
                <w:rFonts w:hint="default"/>
                <w:color w:val="auto"/>
                <w:sz w:val="22"/>
                <w:szCs w:val="22"/>
                <w:highlight w:val="none"/>
              </w:rPr>
              <w:br w:type="textWrapping"/>
            </w:r>
            <w:r>
              <w:rPr>
                <w:rStyle w:val="39"/>
                <w:rFonts w:hint="default"/>
                <w:color w:val="auto"/>
                <w:sz w:val="22"/>
                <w:szCs w:val="22"/>
                <w:highlight w:val="none"/>
              </w:rPr>
              <w:t>支持远程端口镜像（RSPAN）；</w:t>
            </w:r>
            <w:r>
              <w:rPr>
                <w:rStyle w:val="39"/>
                <w:rFonts w:hint="default"/>
                <w:color w:val="auto"/>
                <w:sz w:val="22"/>
                <w:szCs w:val="22"/>
                <w:highlight w:val="none"/>
              </w:rPr>
              <w:br w:type="textWrapping"/>
            </w:r>
            <w:r>
              <w:rPr>
                <w:rStyle w:val="39"/>
                <w:rFonts w:hint="default"/>
                <w:color w:val="auto"/>
                <w:sz w:val="22"/>
                <w:szCs w:val="22"/>
                <w:highlight w:val="none"/>
              </w:rPr>
              <w:t xml:space="preserve">支持ERSPAN, 通过GRE隧道实现跨域远程镜像； </w:t>
            </w:r>
            <w:r>
              <w:rPr>
                <w:rStyle w:val="39"/>
                <w:rFonts w:hint="default"/>
                <w:color w:val="auto"/>
                <w:sz w:val="22"/>
                <w:szCs w:val="22"/>
                <w:highlight w:val="none"/>
              </w:rPr>
              <w:br w:type="textWrapping"/>
            </w:r>
            <w:r>
              <w:rPr>
                <w:rStyle w:val="39"/>
                <w:rFonts w:hint="default"/>
                <w:color w:val="auto"/>
                <w:sz w:val="22"/>
                <w:szCs w:val="22"/>
                <w:highlight w:val="none"/>
              </w:rPr>
              <w:t>支持DHCP Client, DHCP Server，DHCP Relay；</w:t>
            </w:r>
            <w:r>
              <w:rPr>
                <w:rStyle w:val="39"/>
                <w:rFonts w:hint="default"/>
                <w:color w:val="auto"/>
                <w:sz w:val="22"/>
                <w:szCs w:val="22"/>
                <w:highlight w:val="none"/>
              </w:rPr>
              <w:br w:type="textWrapping"/>
            </w:r>
            <w:r>
              <w:rPr>
                <w:rStyle w:val="39"/>
                <w:rFonts w:hint="default"/>
                <w:color w:val="auto"/>
                <w:sz w:val="22"/>
                <w:szCs w:val="22"/>
                <w:highlight w:val="none"/>
              </w:rPr>
              <w:t>支持Option 82；</w:t>
            </w:r>
            <w:r>
              <w:rPr>
                <w:rStyle w:val="39"/>
                <w:rFonts w:hint="default"/>
                <w:color w:val="auto"/>
                <w:sz w:val="22"/>
                <w:szCs w:val="22"/>
                <w:highlight w:val="none"/>
              </w:rPr>
              <w:br w:type="textWrapping"/>
            </w:r>
            <w:r>
              <w:rPr>
                <w:rStyle w:val="39"/>
                <w:rFonts w:hint="default"/>
                <w:color w:val="auto"/>
                <w:sz w:val="22"/>
                <w:szCs w:val="22"/>
                <w:highlight w:val="none"/>
              </w:rPr>
              <w:t xml:space="preserve">支持路由协议多实例，支持GR for OSPF/IS-IS/BGP </w:t>
            </w:r>
            <w:r>
              <w:rPr>
                <w:rStyle w:val="39"/>
                <w:rFonts w:hint="default"/>
                <w:color w:val="auto"/>
                <w:sz w:val="22"/>
                <w:szCs w:val="22"/>
                <w:highlight w:val="none"/>
              </w:rPr>
              <w:br w:type="textWrapping"/>
            </w:r>
            <w:r>
              <w:rPr>
                <w:rStyle w:val="39"/>
                <w:rFonts w:hint="default"/>
                <w:color w:val="auto"/>
                <w:sz w:val="22"/>
                <w:szCs w:val="22"/>
                <w:highlight w:val="none"/>
              </w:rPr>
              <w:t>组播协议支持IGMP Snooping V1,V2,V3；</w:t>
            </w:r>
            <w:r>
              <w:rPr>
                <w:rStyle w:val="39"/>
                <w:rFonts w:hint="default"/>
                <w:color w:val="auto"/>
                <w:sz w:val="22"/>
                <w:szCs w:val="22"/>
                <w:highlight w:val="none"/>
              </w:rPr>
              <w:br w:type="textWrapping"/>
            </w:r>
            <w:r>
              <w:rPr>
                <w:rStyle w:val="39"/>
                <w:rFonts w:hint="default"/>
                <w:color w:val="auto"/>
                <w:sz w:val="22"/>
                <w:szCs w:val="22"/>
                <w:highlight w:val="none"/>
              </w:rPr>
              <w:t>支持PIM-SM/DM/SSM；</w:t>
            </w:r>
            <w:r>
              <w:rPr>
                <w:rStyle w:val="39"/>
                <w:rFonts w:hint="default"/>
                <w:color w:val="auto"/>
                <w:sz w:val="22"/>
                <w:szCs w:val="22"/>
                <w:highlight w:val="none"/>
              </w:rPr>
              <w:br w:type="textWrapping"/>
            </w:r>
            <w:r>
              <w:rPr>
                <w:rStyle w:val="39"/>
                <w:rFonts w:hint="default"/>
                <w:color w:val="auto"/>
                <w:sz w:val="22"/>
                <w:szCs w:val="22"/>
                <w:highlight w:val="none"/>
              </w:rPr>
              <w:t>支持MLD V1，V2；</w:t>
            </w:r>
            <w:r>
              <w:rPr>
                <w:rStyle w:val="39"/>
                <w:rFonts w:hint="default"/>
                <w:color w:val="auto"/>
                <w:sz w:val="22"/>
                <w:szCs w:val="22"/>
                <w:highlight w:val="none"/>
              </w:rPr>
              <w:br w:type="textWrapping"/>
            </w:r>
            <w:r>
              <w:rPr>
                <w:rStyle w:val="39"/>
                <w:rFonts w:hint="default"/>
                <w:color w:val="auto"/>
                <w:sz w:val="22"/>
                <w:szCs w:val="22"/>
                <w:highlight w:val="none"/>
              </w:rPr>
              <w:t xml:space="preserve">支持IGMP Proxy； </w:t>
            </w:r>
            <w:r>
              <w:rPr>
                <w:rStyle w:val="39"/>
                <w:rFonts w:hint="default"/>
                <w:color w:val="auto"/>
                <w:sz w:val="22"/>
                <w:szCs w:val="22"/>
                <w:highlight w:val="none"/>
              </w:rPr>
              <w:br w:type="textWrapping"/>
            </w:r>
            <w:r>
              <w:rPr>
                <w:rStyle w:val="39"/>
                <w:rFonts w:hint="default"/>
                <w:color w:val="auto"/>
                <w:sz w:val="22"/>
                <w:szCs w:val="22"/>
                <w:highlight w:val="none"/>
              </w:rPr>
              <w:t>IPV6支持IPv6过渡技术，IPv4/IPv6双栈、6over4隧道、4 over6隧道</w:t>
            </w:r>
            <w:r>
              <w:rPr>
                <w:rStyle w:val="39"/>
                <w:rFonts w:hint="default"/>
                <w:color w:val="auto"/>
                <w:sz w:val="22"/>
                <w:szCs w:val="22"/>
                <w:highlight w:val="none"/>
              </w:rPr>
              <w:br w:type="textWrapping"/>
            </w:r>
            <w:r>
              <w:rPr>
                <w:rStyle w:val="39"/>
                <w:rFonts w:hint="default"/>
                <w:color w:val="auto"/>
                <w:sz w:val="22"/>
                <w:szCs w:val="22"/>
                <w:highlight w:val="none"/>
              </w:rPr>
              <w:t>支持IPv6 DHCP SERVER, IPv6 DHCP Relay, DHCP Snooping，支持IPv6 Souce Guard</w:t>
            </w:r>
            <w:r>
              <w:rPr>
                <w:rStyle w:val="39"/>
                <w:rFonts w:hint="default"/>
                <w:color w:val="auto"/>
                <w:sz w:val="22"/>
                <w:szCs w:val="22"/>
                <w:highlight w:val="none"/>
              </w:rPr>
              <w:br w:type="textWrapping"/>
            </w:r>
            <w:r>
              <w:rPr>
                <w:rStyle w:val="39"/>
                <w:rFonts w:hint="default"/>
                <w:color w:val="auto"/>
                <w:sz w:val="22"/>
                <w:szCs w:val="22"/>
                <w:highlight w:val="none"/>
              </w:rPr>
              <w:t>MPLS★支持MPLS L3VPN、MPLS L2VPN(VPLS，VLL)、MPLS-TE、MPLS QoS</w:t>
            </w:r>
            <w:r>
              <w:rPr>
                <w:rStyle w:val="39"/>
                <w:rFonts w:hint="default"/>
                <w:color w:val="auto"/>
                <w:sz w:val="22"/>
                <w:szCs w:val="22"/>
                <w:highlight w:val="none"/>
              </w:rPr>
              <w:br w:type="textWrapping"/>
            </w:r>
            <w:r>
              <w:rPr>
                <w:rStyle w:val="39"/>
                <w:rFonts w:hint="default"/>
                <w:color w:val="auto"/>
                <w:sz w:val="22"/>
                <w:szCs w:val="22"/>
                <w:highlight w:val="none"/>
              </w:rPr>
              <w:t>访问控制支持基于第二层、第三层和第四层的ACL</w:t>
            </w:r>
            <w:r>
              <w:rPr>
                <w:rStyle w:val="39"/>
                <w:rFonts w:hint="default"/>
                <w:color w:val="auto"/>
                <w:sz w:val="22"/>
                <w:szCs w:val="22"/>
                <w:highlight w:val="none"/>
              </w:rPr>
              <w:br w:type="textWrapping"/>
            </w:r>
            <w:r>
              <w:rPr>
                <w:rStyle w:val="39"/>
                <w:rFonts w:hint="default"/>
                <w:color w:val="auto"/>
                <w:sz w:val="22"/>
                <w:szCs w:val="22"/>
                <w:highlight w:val="none"/>
              </w:rPr>
              <w:t>支持双向ACL；</w:t>
            </w:r>
            <w:r>
              <w:rPr>
                <w:rStyle w:val="39"/>
                <w:rFonts w:hint="default"/>
                <w:color w:val="auto"/>
                <w:sz w:val="22"/>
                <w:szCs w:val="22"/>
                <w:highlight w:val="none"/>
              </w:rPr>
              <w:br w:type="textWrapping"/>
            </w:r>
            <w:r>
              <w:rPr>
                <w:rStyle w:val="39"/>
                <w:rFonts w:hint="default"/>
                <w:color w:val="auto"/>
                <w:sz w:val="22"/>
                <w:szCs w:val="22"/>
                <w:highlight w:val="none"/>
              </w:rPr>
              <w:t>支持VLAN ACL和IPv6 ACL；</w:t>
            </w:r>
            <w:r>
              <w:rPr>
                <w:rStyle w:val="39"/>
                <w:rFonts w:hint="default"/>
                <w:color w:val="auto"/>
                <w:sz w:val="22"/>
                <w:szCs w:val="22"/>
                <w:highlight w:val="none"/>
              </w:rPr>
              <w:br w:type="textWrapping"/>
            </w:r>
            <w:r>
              <w:rPr>
                <w:rStyle w:val="39"/>
                <w:rFonts w:hint="default"/>
                <w:color w:val="auto"/>
                <w:sz w:val="22"/>
                <w:szCs w:val="22"/>
                <w:highlight w:val="none"/>
              </w:rPr>
              <w:t>支持IP/Port/MAC的绑定功能</w:t>
            </w:r>
            <w:r>
              <w:rPr>
                <w:rStyle w:val="39"/>
                <w:rFonts w:hint="default"/>
                <w:color w:val="auto"/>
                <w:sz w:val="22"/>
                <w:szCs w:val="22"/>
                <w:highlight w:val="none"/>
              </w:rPr>
              <w:br w:type="textWrapping"/>
            </w:r>
            <w:r>
              <w:rPr>
                <w:rStyle w:val="39"/>
                <w:rFonts w:hint="default"/>
                <w:color w:val="auto"/>
                <w:sz w:val="22"/>
                <w:szCs w:val="22"/>
                <w:highlight w:val="none"/>
              </w:rPr>
              <w:t>QoS支持SP, WRR,DWRR,SP+WRR, SP+DWRR调度方式；</w:t>
            </w:r>
            <w:r>
              <w:rPr>
                <w:rStyle w:val="39"/>
                <w:rFonts w:hint="default"/>
                <w:color w:val="auto"/>
                <w:sz w:val="22"/>
                <w:szCs w:val="22"/>
                <w:highlight w:val="none"/>
              </w:rPr>
              <w:br w:type="textWrapping"/>
            </w:r>
            <w:r>
              <w:rPr>
                <w:rStyle w:val="39"/>
                <w:rFonts w:hint="default"/>
                <w:color w:val="auto"/>
                <w:sz w:val="22"/>
                <w:szCs w:val="22"/>
                <w:highlight w:val="none"/>
              </w:rPr>
              <w:t>支持双向CAR；</w:t>
            </w:r>
            <w:r>
              <w:rPr>
                <w:rStyle w:val="39"/>
                <w:rFonts w:hint="default"/>
                <w:color w:val="auto"/>
                <w:sz w:val="22"/>
                <w:szCs w:val="22"/>
                <w:highlight w:val="none"/>
              </w:rPr>
              <w:br w:type="textWrapping"/>
            </w:r>
            <w:r>
              <w:rPr>
                <w:rStyle w:val="39"/>
                <w:rFonts w:hint="default"/>
                <w:color w:val="auto"/>
                <w:sz w:val="22"/>
                <w:szCs w:val="22"/>
                <w:highlight w:val="none"/>
              </w:rPr>
              <w:t>提供广播风暴抑制功能；</w:t>
            </w:r>
            <w:r>
              <w:rPr>
                <w:rStyle w:val="39"/>
                <w:rFonts w:hint="default"/>
                <w:color w:val="auto"/>
                <w:sz w:val="22"/>
                <w:szCs w:val="22"/>
                <w:highlight w:val="none"/>
              </w:rPr>
              <w:br w:type="textWrapping"/>
            </w:r>
            <w:r>
              <w:rPr>
                <w:rStyle w:val="39"/>
                <w:rFonts w:hint="default"/>
                <w:color w:val="auto"/>
                <w:sz w:val="22"/>
                <w:szCs w:val="22"/>
                <w:highlight w:val="none"/>
              </w:rPr>
              <w:t>风暴控制支持shutdown端口或拒绝转发的安全策略下发；</w:t>
            </w:r>
            <w:r>
              <w:rPr>
                <w:rStyle w:val="39"/>
                <w:rFonts w:hint="default"/>
                <w:color w:val="auto"/>
                <w:sz w:val="22"/>
                <w:szCs w:val="22"/>
                <w:highlight w:val="none"/>
              </w:rPr>
              <w:br w:type="textWrapping"/>
            </w:r>
            <w:r>
              <w:rPr>
                <w:rStyle w:val="39"/>
                <w:rFonts w:hint="default"/>
                <w:color w:val="auto"/>
                <w:sz w:val="22"/>
                <w:szCs w:val="22"/>
                <w:highlight w:val="none"/>
              </w:rPr>
              <w:t>支持WRED；</w:t>
            </w:r>
            <w:r>
              <w:rPr>
                <w:rStyle w:val="39"/>
                <w:rFonts w:hint="default"/>
                <w:color w:val="auto"/>
                <w:sz w:val="22"/>
                <w:szCs w:val="22"/>
                <w:highlight w:val="none"/>
              </w:rPr>
              <w:br w:type="textWrapping"/>
            </w:r>
            <w:r>
              <w:rPr>
                <w:rStyle w:val="39"/>
                <w:rFonts w:hint="default"/>
                <w:color w:val="auto"/>
                <w:sz w:val="22"/>
                <w:szCs w:val="22"/>
                <w:highlight w:val="none"/>
              </w:rPr>
              <w:t>支持BPDU guard， Root guard</w:t>
            </w:r>
            <w:r>
              <w:rPr>
                <w:rStyle w:val="39"/>
                <w:rFonts w:hint="default"/>
                <w:color w:val="auto"/>
                <w:sz w:val="22"/>
                <w:szCs w:val="22"/>
                <w:highlight w:val="none"/>
              </w:rPr>
              <w:br w:type="textWrapping"/>
            </w:r>
            <w:r>
              <w:rPr>
                <w:rStyle w:val="39"/>
                <w:rFonts w:hint="default"/>
                <w:color w:val="auto"/>
                <w:sz w:val="22"/>
                <w:szCs w:val="22"/>
                <w:highlight w:val="none"/>
              </w:rPr>
              <w:t>支持802.1X、MAC、Portal等认证方式</w:t>
            </w:r>
            <w:r>
              <w:rPr>
                <w:rStyle w:val="39"/>
                <w:rFonts w:hint="default"/>
                <w:color w:val="auto"/>
                <w:sz w:val="22"/>
                <w:szCs w:val="22"/>
                <w:highlight w:val="none"/>
              </w:rPr>
              <w:br w:type="textWrapping"/>
            </w:r>
            <w:r>
              <w:rPr>
                <w:rStyle w:val="39"/>
                <w:rFonts w:hint="default"/>
                <w:color w:val="auto"/>
                <w:sz w:val="22"/>
                <w:szCs w:val="22"/>
                <w:highlight w:val="none"/>
              </w:rPr>
              <w:t>可靠性支持真实业务流的实时检测技术，秒级快速故障定位</w:t>
            </w:r>
            <w:r>
              <w:rPr>
                <w:rStyle w:val="39"/>
                <w:rFonts w:hint="default"/>
                <w:color w:val="auto"/>
                <w:sz w:val="22"/>
                <w:szCs w:val="22"/>
                <w:highlight w:val="none"/>
              </w:rPr>
              <w:br w:type="textWrapping"/>
            </w:r>
            <w:r>
              <w:rPr>
                <w:rStyle w:val="39"/>
                <w:rFonts w:hint="default"/>
                <w:color w:val="auto"/>
                <w:sz w:val="22"/>
                <w:szCs w:val="22"/>
                <w:highlight w:val="none"/>
              </w:rPr>
              <w:t>支持G.8032标准环网协议</w:t>
            </w:r>
            <w:r>
              <w:rPr>
                <w:rStyle w:val="39"/>
                <w:rFonts w:hint="default"/>
                <w:color w:val="auto"/>
                <w:sz w:val="22"/>
                <w:szCs w:val="22"/>
                <w:highlight w:val="none"/>
              </w:rPr>
              <w:br w:type="textWrapping"/>
            </w:r>
            <w:r>
              <w:rPr>
                <w:rStyle w:val="39"/>
                <w:rFonts w:hint="default"/>
                <w:color w:val="auto"/>
                <w:sz w:val="22"/>
                <w:szCs w:val="22"/>
                <w:highlight w:val="none"/>
              </w:rPr>
              <w:t>管理特性支持SNMP V1/V2/V3、Telnet、RMON、SSHV2</w:t>
            </w:r>
            <w:r>
              <w:rPr>
                <w:rStyle w:val="39"/>
                <w:rFonts w:hint="default"/>
                <w:color w:val="auto"/>
                <w:sz w:val="22"/>
                <w:szCs w:val="22"/>
                <w:highlight w:val="none"/>
              </w:rPr>
              <w:br w:type="textWrapping"/>
            </w:r>
            <w:r>
              <w:rPr>
                <w:rStyle w:val="39"/>
                <w:rFonts w:hint="default"/>
                <w:color w:val="auto"/>
                <w:sz w:val="22"/>
                <w:szCs w:val="22"/>
                <w:highlight w:val="none"/>
              </w:rPr>
              <w:t>支持通过命令行、中文图形化配置软件等方式进行配置和管理</w:t>
            </w:r>
            <w:r>
              <w:rPr>
                <w:rStyle w:val="39"/>
                <w:rFonts w:hint="default"/>
                <w:color w:val="auto"/>
                <w:sz w:val="22"/>
                <w:szCs w:val="22"/>
                <w:highlight w:val="none"/>
              </w:rPr>
              <w:br w:type="textWrapping"/>
            </w:r>
            <w:r>
              <w:rPr>
                <w:rStyle w:val="39"/>
                <w:rFonts w:hint="default"/>
                <w:color w:val="auto"/>
                <w:sz w:val="22"/>
                <w:szCs w:val="22"/>
                <w:highlight w:val="none"/>
              </w:rPr>
              <w:t>支持WEB网管</w:t>
            </w:r>
            <w:r>
              <w:rPr>
                <w:rStyle w:val="39"/>
                <w:rFonts w:hint="default"/>
                <w:color w:val="auto"/>
                <w:sz w:val="22"/>
                <w:szCs w:val="22"/>
                <w:highlight w:val="none"/>
              </w:rPr>
              <w:br w:type="textWrapping"/>
            </w:r>
            <w:r>
              <w:rPr>
                <w:rStyle w:val="39"/>
                <w:rFonts w:hint="default"/>
                <w:color w:val="auto"/>
                <w:sz w:val="22"/>
                <w:szCs w:val="22"/>
                <w:highlight w:val="none"/>
              </w:rPr>
              <w:t>时钟为了提高网络的时钟精确性，需支持1588v2时钟功能</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0A86">
            <w:pPr>
              <w:widowControl/>
              <w:jc w:val="center"/>
              <w:textAlignment w:val="center"/>
              <w:rPr>
                <w:color w:val="auto"/>
                <w:highlight w:val="none"/>
              </w:rPr>
            </w:pPr>
            <w:r>
              <w:rPr>
                <w:rFonts w:hint="eastAsia"/>
                <w:color w:val="auto"/>
                <w:highlight w:val="none"/>
              </w:rPr>
              <w:t>台</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7F92">
            <w:pPr>
              <w:widowControl/>
              <w:jc w:val="center"/>
              <w:textAlignment w:val="center"/>
              <w:rPr>
                <w:color w:val="auto"/>
                <w:highlight w:val="none"/>
              </w:rPr>
            </w:pPr>
            <w:r>
              <w:rPr>
                <w:rFonts w:hint="eastAsia"/>
                <w:color w:val="auto"/>
                <w:highlight w:val="none"/>
              </w:rPr>
              <w:t>1</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B1D0">
            <w:pPr>
              <w:jc w:val="center"/>
              <w:rPr>
                <w:color w:val="auto"/>
                <w:highlight w:val="none"/>
              </w:rPr>
            </w:pPr>
          </w:p>
        </w:tc>
      </w:tr>
      <w:tr w14:paraId="5A7C57C8">
        <w:tblPrEx>
          <w:tblCellMar>
            <w:top w:w="0" w:type="dxa"/>
            <w:left w:w="108" w:type="dxa"/>
            <w:bottom w:w="0" w:type="dxa"/>
            <w:right w:w="108" w:type="dxa"/>
          </w:tblCellMar>
        </w:tblPrEx>
        <w:trPr>
          <w:trHeight w:val="600" w:hRule="atLeast"/>
          <w:jc w:val="center"/>
        </w:trPr>
        <w:tc>
          <w:tcPr>
            <w:tcW w:w="943" w:type="dxa"/>
            <w:tcBorders>
              <w:top w:val="nil"/>
              <w:left w:val="single" w:color="000000" w:sz="4" w:space="0"/>
              <w:bottom w:val="single" w:color="000000" w:sz="4" w:space="0"/>
              <w:right w:val="single" w:color="000000" w:sz="4" w:space="0"/>
            </w:tcBorders>
            <w:shd w:val="clear" w:color="auto" w:fill="auto"/>
            <w:noWrap/>
            <w:vAlign w:val="center"/>
          </w:tcPr>
          <w:p w14:paraId="1462C57F">
            <w:pPr>
              <w:widowControl/>
              <w:jc w:val="center"/>
              <w:textAlignment w:val="center"/>
              <w:rPr>
                <w:color w:val="auto"/>
                <w:highlight w:val="none"/>
              </w:rPr>
            </w:pPr>
            <w:r>
              <w:rPr>
                <w:rFonts w:hint="eastAsia"/>
                <w:color w:val="auto"/>
                <w:highlight w:val="none"/>
              </w:rPr>
              <w:t>25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6A16">
            <w:pPr>
              <w:widowControl/>
              <w:jc w:val="center"/>
              <w:textAlignment w:val="center"/>
              <w:rPr>
                <w:color w:val="auto"/>
                <w:highlight w:val="none"/>
              </w:rPr>
            </w:pPr>
            <w:r>
              <w:rPr>
                <w:rFonts w:hint="eastAsia"/>
                <w:color w:val="auto"/>
                <w:highlight w:val="none"/>
              </w:rPr>
              <w:t>千兆光模块</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E633">
            <w:pPr>
              <w:widowControl/>
              <w:textAlignment w:val="center"/>
              <w:rPr>
                <w:color w:val="auto"/>
                <w:highlight w:val="none"/>
              </w:rPr>
            </w:pPr>
            <w:r>
              <w:rPr>
                <w:rFonts w:hint="eastAsia"/>
                <w:color w:val="auto"/>
                <w:highlight w:val="none"/>
              </w:rPr>
              <w:t>千兆20公里单模单纤接收端模块</w:t>
            </w:r>
            <w:r>
              <w:rPr>
                <w:rFonts w:hint="eastAsia"/>
                <w:color w:val="auto"/>
                <w:highlight w:val="none"/>
              </w:rPr>
              <w:br w:type="textWrapping"/>
            </w:r>
            <w:r>
              <w:rPr>
                <w:rFonts w:hint="eastAsia"/>
                <w:color w:val="auto"/>
                <w:highlight w:val="none"/>
              </w:rPr>
              <w:t>TX1550nm/1.25G</w:t>
            </w:r>
            <w:r>
              <w:rPr>
                <w:rFonts w:hint="eastAsia"/>
                <w:color w:val="auto"/>
                <w:highlight w:val="none"/>
              </w:rPr>
              <w:br w:type="textWrapping"/>
            </w:r>
            <w:r>
              <w:rPr>
                <w:rFonts w:hint="eastAsia"/>
                <w:color w:val="auto"/>
                <w:highlight w:val="none"/>
              </w:rPr>
              <w:t>RX1310nm/1.25G</w:t>
            </w:r>
            <w:r>
              <w:rPr>
                <w:rFonts w:hint="eastAsia"/>
                <w:color w:val="auto"/>
                <w:highlight w:val="none"/>
              </w:rPr>
              <w:br w:type="textWrapping"/>
            </w:r>
            <w:r>
              <w:rPr>
                <w:rFonts w:hint="eastAsia"/>
                <w:color w:val="auto"/>
                <w:highlight w:val="none"/>
              </w:rPr>
              <w:t>LC</w:t>
            </w:r>
            <w:r>
              <w:rPr>
                <w:rFonts w:hint="eastAsia"/>
                <w:color w:val="auto"/>
                <w:highlight w:val="none"/>
              </w:rPr>
              <w:br w:type="textWrapping"/>
            </w:r>
            <w:r>
              <w:rPr>
                <w:rFonts w:hint="eastAsia"/>
                <w:color w:val="auto"/>
                <w:highlight w:val="none"/>
              </w:rPr>
              <w:t>20km</w:t>
            </w:r>
            <w:r>
              <w:rPr>
                <w:rFonts w:hint="eastAsia"/>
                <w:color w:val="auto"/>
                <w:highlight w:val="none"/>
              </w:rPr>
              <w:br w:type="textWrapping"/>
            </w:r>
            <w:r>
              <w:rPr>
                <w:rFonts w:hint="eastAsia"/>
                <w:color w:val="auto"/>
                <w:highlight w:val="none"/>
              </w:rPr>
              <w:t>0～70℃</w:t>
            </w:r>
            <w:r>
              <w:rPr>
                <w:rFonts w:hint="eastAsia"/>
                <w:color w:val="auto"/>
                <w:highlight w:val="none"/>
              </w:rPr>
              <w:br w:type="textWrapping"/>
            </w:r>
            <w:r>
              <w:rPr>
                <w:rFonts w:hint="eastAsia"/>
                <w:color w:val="auto"/>
                <w:highlight w:val="none"/>
              </w:rPr>
              <w:t>SFP</w:t>
            </w:r>
            <w:r>
              <w:rPr>
                <w:rFonts w:hint="eastAsia"/>
                <w:color w:val="auto"/>
                <w:highlight w:val="none"/>
              </w:rPr>
              <w:br w:type="textWrapping"/>
            </w:r>
            <w:r>
              <w:rPr>
                <w:rFonts w:hint="eastAsia"/>
                <w:color w:val="auto"/>
                <w:highlight w:val="none"/>
              </w:rPr>
              <w:t>发射光功率:-9～-1dBm</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80E3">
            <w:pPr>
              <w:widowControl/>
              <w:jc w:val="center"/>
              <w:textAlignment w:val="center"/>
              <w:rPr>
                <w:color w:val="auto"/>
                <w:highlight w:val="none"/>
              </w:rPr>
            </w:pPr>
            <w:r>
              <w:rPr>
                <w:rFonts w:hint="eastAsia"/>
                <w:color w:val="auto"/>
                <w:highlight w:val="none"/>
              </w:rPr>
              <w:t>对</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02CD1">
            <w:pPr>
              <w:widowControl/>
              <w:jc w:val="center"/>
              <w:textAlignment w:val="center"/>
              <w:rPr>
                <w:color w:val="auto"/>
                <w:highlight w:val="none"/>
              </w:rPr>
            </w:pPr>
            <w:r>
              <w:rPr>
                <w:rFonts w:hint="eastAsia"/>
                <w:color w:val="auto"/>
                <w:highlight w:val="none"/>
              </w:rPr>
              <w:t>16</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92E4">
            <w:pPr>
              <w:jc w:val="center"/>
              <w:rPr>
                <w:color w:val="auto"/>
                <w:highlight w:val="none"/>
              </w:rPr>
            </w:pPr>
          </w:p>
        </w:tc>
      </w:tr>
      <w:tr w14:paraId="7B5CBBD9">
        <w:tblPrEx>
          <w:tblCellMar>
            <w:top w:w="0" w:type="dxa"/>
            <w:left w:w="108" w:type="dxa"/>
            <w:bottom w:w="0" w:type="dxa"/>
            <w:right w:w="108" w:type="dxa"/>
          </w:tblCellMar>
        </w:tblPrEx>
        <w:trPr>
          <w:trHeight w:val="600" w:hRule="atLeast"/>
          <w:jc w:val="center"/>
        </w:trPr>
        <w:tc>
          <w:tcPr>
            <w:tcW w:w="943" w:type="dxa"/>
            <w:tcBorders>
              <w:top w:val="nil"/>
              <w:left w:val="single" w:color="000000" w:sz="4" w:space="0"/>
              <w:bottom w:val="single" w:color="000000" w:sz="4" w:space="0"/>
              <w:right w:val="single" w:color="000000" w:sz="4" w:space="0"/>
            </w:tcBorders>
            <w:shd w:val="clear" w:color="auto" w:fill="auto"/>
            <w:noWrap/>
            <w:vAlign w:val="center"/>
          </w:tcPr>
          <w:p w14:paraId="1FBD7CA8">
            <w:pPr>
              <w:widowControl/>
              <w:jc w:val="center"/>
              <w:textAlignment w:val="center"/>
              <w:rPr>
                <w:color w:val="auto"/>
                <w:highlight w:val="none"/>
              </w:rPr>
            </w:pPr>
            <w:r>
              <w:rPr>
                <w:rFonts w:hint="eastAsia"/>
                <w:color w:val="auto"/>
                <w:highlight w:val="none"/>
              </w:rPr>
              <w:t>26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0558">
            <w:pPr>
              <w:widowControl/>
              <w:jc w:val="center"/>
              <w:textAlignment w:val="center"/>
              <w:rPr>
                <w:color w:val="auto"/>
                <w:highlight w:val="none"/>
              </w:rPr>
            </w:pPr>
            <w:r>
              <w:rPr>
                <w:rFonts w:hint="eastAsia"/>
                <w:color w:val="auto"/>
                <w:highlight w:val="none"/>
              </w:rPr>
              <w:t>万兆光模块</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317E">
            <w:pPr>
              <w:widowControl/>
              <w:textAlignment w:val="center"/>
              <w:rPr>
                <w:color w:val="auto"/>
                <w:highlight w:val="none"/>
              </w:rPr>
            </w:pPr>
            <w:r>
              <w:rPr>
                <w:rFonts w:hint="eastAsia"/>
                <w:color w:val="auto"/>
                <w:highlight w:val="none"/>
              </w:rPr>
              <w:t>万兆多模双纤光模块</w:t>
            </w:r>
            <w:r>
              <w:rPr>
                <w:rFonts w:hint="eastAsia"/>
                <w:color w:val="auto"/>
                <w:highlight w:val="none"/>
              </w:rPr>
              <w:br w:type="textWrapping"/>
            </w:r>
            <w:r>
              <w:rPr>
                <w:rFonts w:hint="eastAsia"/>
                <w:color w:val="auto"/>
                <w:highlight w:val="none"/>
              </w:rPr>
              <w:t>TX850nm/10G</w:t>
            </w:r>
            <w:r>
              <w:rPr>
                <w:rFonts w:hint="eastAsia"/>
                <w:color w:val="auto"/>
                <w:highlight w:val="none"/>
              </w:rPr>
              <w:br w:type="textWrapping"/>
            </w:r>
            <w:r>
              <w:rPr>
                <w:rFonts w:hint="eastAsia"/>
                <w:color w:val="auto"/>
                <w:highlight w:val="none"/>
              </w:rPr>
              <w:t>RX850nm/10G</w:t>
            </w:r>
            <w:r>
              <w:rPr>
                <w:rFonts w:hint="eastAsia"/>
                <w:color w:val="auto"/>
                <w:highlight w:val="none"/>
              </w:rPr>
              <w:br w:type="textWrapping"/>
            </w:r>
            <w:r>
              <w:rPr>
                <w:rFonts w:hint="eastAsia"/>
                <w:color w:val="auto"/>
                <w:highlight w:val="none"/>
              </w:rPr>
              <w:t>LC</w:t>
            </w:r>
            <w:r>
              <w:rPr>
                <w:rFonts w:hint="eastAsia"/>
                <w:color w:val="auto"/>
                <w:highlight w:val="none"/>
              </w:rPr>
              <w:br w:type="textWrapping"/>
            </w:r>
            <w:r>
              <w:rPr>
                <w:rFonts w:hint="eastAsia"/>
                <w:color w:val="auto"/>
                <w:highlight w:val="none"/>
              </w:rPr>
              <w:t>多模双纤双向</w:t>
            </w:r>
            <w:r>
              <w:rPr>
                <w:rFonts w:hint="eastAsia"/>
                <w:color w:val="auto"/>
                <w:highlight w:val="none"/>
              </w:rPr>
              <w:br w:type="textWrapping"/>
            </w:r>
            <w:r>
              <w:rPr>
                <w:rFonts w:hint="eastAsia"/>
                <w:color w:val="auto"/>
                <w:highlight w:val="none"/>
              </w:rPr>
              <w:t>距离300m</w:t>
            </w:r>
            <w:r>
              <w:rPr>
                <w:rFonts w:hint="eastAsia"/>
                <w:color w:val="auto"/>
                <w:highlight w:val="none"/>
              </w:rPr>
              <w:br w:type="textWrapping"/>
            </w:r>
            <w:r>
              <w:rPr>
                <w:rFonts w:hint="eastAsia"/>
                <w:color w:val="auto"/>
                <w:highlight w:val="none"/>
              </w:rPr>
              <w:t>0～70℃</w:t>
            </w:r>
            <w:r>
              <w:rPr>
                <w:rFonts w:hint="eastAsia"/>
                <w:color w:val="auto"/>
                <w:highlight w:val="none"/>
              </w:rPr>
              <w:br w:type="textWrapping"/>
            </w:r>
            <w:r>
              <w:rPr>
                <w:rFonts w:hint="eastAsia"/>
                <w:color w:val="auto"/>
                <w:highlight w:val="none"/>
              </w:rPr>
              <w:t>SFP</w:t>
            </w:r>
            <w:r>
              <w:rPr>
                <w:rFonts w:hint="eastAsia"/>
                <w:color w:val="auto"/>
                <w:highlight w:val="none"/>
              </w:rPr>
              <w:br w:type="textWrapping"/>
            </w:r>
            <w:r>
              <w:rPr>
                <w:rFonts w:hint="eastAsia"/>
                <w:color w:val="auto"/>
                <w:highlight w:val="none"/>
              </w:rPr>
              <w:t>发射光功率:-6.5～-1dBm</w:t>
            </w:r>
            <w:r>
              <w:rPr>
                <w:rFonts w:hint="eastAsia"/>
                <w:color w:val="auto"/>
                <w:highlight w:val="none"/>
              </w:rPr>
              <w:br w:type="textWrapping"/>
            </w:r>
            <w:r>
              <w:rPr>
                <w:rFonts w:hint="eastAsia"/>
                <w:color w:val="auto"/>
                <w:highlight w:val="none"/>
              </w:rPr>
              <w:t>接收灵敏度（低值）:-11dBm</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4617">
            <w:pPr>
              <w:widowControl/>
              <w:jc w:val="center"/>
              <w:textAlignment w:val="center"/>
              <w:rPr>
                <w:color w:val="auto"/>
                <w:highlight w:val="none"/>
              </w:rPr>
            </w:pPr>
            <w:r>
              <w:rPr>
                <w:rFonts w:hint="eastAsia"/>
                <w:color w:val="auto"/>
                <w:highlight w:val="none"/>
              </w:rPr>
              <w:t>对</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9AB4">
            <w:pPr>
              <w:widowControl/>
              <w:jc w:val="center"/>
              <w:textAlignment w:val="center"/>
              <w:rPr>
                <w:color w:val="auto"/>
                <w:highlight w:val="none"/>
              </w:rPr>
            </w:pPr>
            <w:r>
              <w:rPr>
                <w:rFonts w:hint="eastAsia"/>
                <w:color w:val="auto"/>
                <w:highlight w:val="none"/>
              </w:rPr>
              <w:t>2</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33FA">
            <w:pPr>
              <w:jc w:val="center"/>
              <w:rPr>
                <w:color w:val="auto"/>
                <w:highlight w:val="none"/>
              </w:rPr>
            </w:pPr>
          </w:p>
        </w:tc>
      </w:tr>
      <w:tr w14:paraId="7D652C85">
        <w:tblPrEx>
          <w:tblCellMar>
            <w:top w:w="0" w:type="dxa"/>
            <w:left w:w="108" w:type="dxa"/>
            <w:bottom w:w="0" w:type="dxa"/>
            <w:right w:w="108" w:type="dxa"/>
          </w:tblCellMar>
        </w:tblPrEx>
        <w:trPr>
          <w:trHeight w:val="600" w:hRule="atLeast"/>
          <w:jc w:val="center"/>
        </w:trPr>
        <w:tc>
          <w:tcPr>
            <w:tcW w:w="943" w:type="dxa"/>
            <w:tcBorders>
              <w:top w:val="nil"/>
              <w:left w:val="single" w:color="000000" w:sz="4" w:space="0"/>
              <w:bottom w:val="single" w:color="000000" w:sz="4" w:space="0"/>
              <w:right w:val="single" w:color="000000" w:sz="4" w:space="0"/>
            </w:tcBorders>
            <w:shd w:val="clear" w:color="auto" w:fill="auto"/>
            <w:noWrap/>
            <w:vAlign w:val="center"/>
          </w:tcPr>
          <w:p w14:paraId="73A4A4BE">
            <w:pPr>
              <w:widowControl/>
              <w:jc w:val="center"/>
              <w:textAlignment w:val="center"/>
              <w:rPr>
                <w:color w:val="auto"/>
                <w:highlight w:val="none"/>
              </w:rPr>
            </w:pPr>
            <w:r>
              <w:rPr>
                <w:rFonts w:hint="eastAsia"/>
                <w:color w:val="auto"/>
                <w:highlight w:val="none"/>
              </w:rPr>
              <w:t>27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961D">
            <w:pPr>
              <w:widowControl/>
              <w:jc w:val="center"/>
              <w:textAlignment w:val="center"/>
              <w:rPr>
                <w:color w:val="auto"/>
                <w:highlight w:val="none"/>
              </w:rPr>
            </w:pPr>
            <w:r>
              <w:rPr>
                <w:rFonts w:hint="eastAsia"/>
                <w:color w:val="auto"/>
                <w:highlight w:val="none"/>
              </w:rPr>
              <w:t>千兆单口收发器</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1CCF">
            <w:pPr>
              <w:widowControl/>
              <w:textAlignment w:val="center"/>
              <w:rPr>
                <w:color w:val="auto"/>
                <w:highlight w:val="none"/>
              </w:rPr>
            </w:pPr>
            <w:r>
              <w:rPr>
                <w:rFonts w:hint="eastAsia"/>
                <w:color w:val="auto"/>
                <w:highlight w:val="none"/>
              </w:rPr>
              <w:t>1口千兆光纤收发器工业导轨式发送机</w:t>
            </w:r>
            <w:r>
              <w:rPr>
                <w:rFonts w:hint="eastAsia"/>
                <w:color w:val="auto"/>
                <w:highlight w:val="none"/>
              </w:rPr>
              <w:br w:type="textWrapping"/>
            </w:r>
            <w:r>
              <w:rPr>
                <w:rFonts w:hint="eastAsia"/>
                <w:color w:val="auto"/>
                <w:highlight w:val="none"/>
              </w:rPr>
              <w:t>光口：1个千兆光口</w:t>
            </w:r>
            <w:r>
              <w:rPr>
                <w:rFonts w:hint="eastAsia"/>
                <w:color w:val="auto"/>
                <w:highlight w:val="none"/>
              </w:rPr>
              <w:br w:type="textWrapping"/>
            </w:r>
            <w:r>
              <w:rPr>
                <w:rFonts w:hint="eastAsia"/>
                <w:color w:val="auto"/>
                <w:highlight w:val="none"/>
              </w:rPr>
              <w:t>距离20公里</w:t>
            </w:r>
            <w:r>
              <w:rPr>
                <w:rFonts w:hint="eastAsia"/>
                <w:color w:val="auto"/>
                <w:highlight w:val="none"/>
              </w:rPr>
              <w:br w:type="textWrapping"/>
            </w:r>
            <w:r>
              <w:rPr>
                <w:rFonts w:hint="eastAsia"/>
                <w:color w:val="auto"/>
                <w:highlight w:val="none"/>
              </w:rPr>
              <w:t>SC口</w:t>
            </w:r>
            <w:r>
              <w:rPr>
                <w:rFonts w:hint="eastAsia"/>
                <w:color w:val="auto"/>
                <w:highlight w:val="none"/>
              </w:rPr>
              <w:br w:type="textWrapping"/>
            </w:r>
            <w:r>
              <w:rPr>
                <w:rFonts w:hint="eastAsia"/>
                <w:color w:val="auto"/>
                <w:highlight w:val="none"/>
              </w:rPr>
              <w:t>单模单纤；电口：1个千兆网口；安装方式：工业导轨式；</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AF8B">
            <w:pPr>
              <w:widowControl/>
              <w:jc w:val="center"/>
              <w:textAlignment w:val="center"/>
              <w:rPr>
                <w:color w:val="auto"/>
                <w:highlight w:val="none"/>
              </w:rPr>
            </w:pPr>
            <w:r>
              <w:rPr>
                <w:rFonts w:hint="eastAsia"/>
                <w:color w:val="auto"/>
                <w:highlight w:val="none"/>
              </w:rPr>
              <w:t>台</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8922">
            <w:pPr>
              <w:widowControl/>
              <w:jc w:val="center"/>
              <w:textAlignment w:val="center"/>
              <w:rPr>
                <w:color w:val="auto"/>
                <w:highlight w:val="none"/>
              </w:rPr>
            </w:pPr>
            <w:r>
              <w:rPr>
                <w:rFonts w:hint="eastAsia"/>
                <w:color w:val="auto"/>
                <w:highlight w:val="none"/>
              </w:rPr>
              <w:t>42</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7995">
            <w:pPr>
              <w:jc w:val="center"/>
              <w:rPr>
                <w:color w:val="auto"/>
                <w:highlight w:val="none"/>
              </w:rPr>
            </w:pPr>
          </w:p>
        </w:tc>
      </w:tr>
      <w:tr w14:paraId="5946EAAE">
        <w:tblPrEx>
          <w:tblCellMar>
            <w:top w:w="0" w:type="dxa"/>
            <w:left w:w="108" w:type="dxa"/>
            <w:bottom w:w="0" w:type="dxa"/>
            <w:right w:w="108" w:type="dxa"/>
          </w:tblCellMar>
        </w:tblPrEx>
        <w:trPr>
          <w:trHeight w:val="600" w:hRule="atLeast"/>
          <w:jc w:val="center"/>
        </w:trPr>
        <w:tc>
          <w:tcPr>
            <w:tcW w:w="943" w:type="dxa"/>
            <w:tcBorders>
              <w:top w:val="nil"/>
              <w:left w:val="single" w:color="000000" w:sz="4" w:space="0"/>
              <w:bottom w:val="single" w:color="000000" w:sz="4" w:space="0"/>
              <w:right w:val="single" w:color="000000" w:sz="4" w:space="0"/>
            </w:tcBorders>
            <w:shd w:val="clear" w:color="auto" w:fill="auto"/>
            <w:noWrap/>
            <w:vAlign w:val="center"/>
          </w:tcPr>
          <w:p w14:paraId="0F32A0CC">
            <w:pPr>
              <w:widowControl/>
              <w:jc w:val="center"/>
              <w:textAlignment w:val="center"/>
              <w:rPr>
                <w:color w:val="auto"/>
                <w:highlight w:val="none"/>
              </w:rPr>
            </w:pPr>
            <w:r>
              <w:rPr>
                <w:rFonts w:hint="eastAsia"/>
                <w:color w:val="auto"/>
                <w:highlight w:val="none"/>
              </w:rPr>
              <w:t>28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1C7C">
            <w:pPr>
              <w:widowControl/>
              <w:jc w:val="center"/>
              <w:textAlignment w:val="center"/>
              <w:rPr>
                <w:color w:val="auto"/>
                <w:highlight w:val="none"/>
              </w:rPr>
            </w:pPr>
            <w:r>
              <w:rPr>
                <w:rFonts w:hint="eastAsia"/>
                <w:color w:val="auto"/>
                <w:highlight w:val="none"/>
              </w:rPr>
              <w:t>千兆四口收发器</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BD8B">
            <w:pPr>
              <w:widowControl/>
              <w:textAlignment w:val="center"/>
              <w:rPr>
                <w:color w:val="auto"/>
                <w:highlight w:val="none"/>
              </w:rPr>
            </w:pPr>
            <w:r>
              <w:rPr>
                <w:rFonts w:hint="eastAsia"/>
                <w:color w:val="auto"/>
                <w:highlight w:val="none"/>
              </w:rPr>
              <w:t>4口千兆光纤收发器工业导轨式发送机</w:t>
            </w:r>
            <w:r>
              <w:rPr>
                <w:rFonts w:hint="eastAsia"/>
                <w:color w:val="auto"/>
                <w:highlight w:val="none"/>
              </w:rPr>
              <w:br w:type="textWrapping"/>
            </w:r>
            <w:r>
              <w:rPr>
                <w:rFonts w:hint="eastAsia"/>
                <w:color w:val="auto"/>
                <w:highlight w:val="none"/>
              </w:rPr>
              <w:t>光口：1个千兆光口</w:t>
            </w:r>
            <w:r>
              <w:rPr>
                <w:rFonts w:hint="eastAsia"/>
                <w:color w:val="auto"/>
                <w:highlight w:val="none"/>
              </w:rPr>
              <w:br w:type="textWrapping"/>
            </w:r>
            <w:r>
              <w:rPr>
                <w:rFonts w:hint="eastAsia"/>
                <w:color w:val="auto"/>
                <w:highlight w:val="none"/>
              </w:rPr>
              <w:t>距离20公里</w:t>
            </w:r>
            <w:r>
              <w:rPr>
                <w:rFonts w:hint="eastAsia"/>
                <w:color w:val="auto"/>
                <w:highlight w:val="none"/>
              </w:rPr>
              <w:br w:type="textWrapping"/>
            </w:r>
            <w:r>
              <w:rPr>
                <w:rFonts w:hint="eastAsia"/>
                <w:color w:val="auto"/>
                <w:highlight w:val="none"/>
              </w:rPr>
              <w:t>SC口</w:t>
            </w:r>
            <w:r>
              <w:rPr>
                <w:rFonts w:hint="eastAsia"/>
                <w:color w:val="auto"/>
                <w:highlight w:val="none"/>
              </w:rPr>
              <w:br w:type="textWrapping"/>
            </w:r>
            <w:r>
              <w:rPr>
                <w:rFonts w:hint="eastAsia"/>
                <w:color w:val="auto"/>
                <w:highlight w:val="none"/>
              </w:rPr>
              <w:t>单模单纤；电口：1个千兆网口</w:t>
            </w:r>
            <w:r>
              <w:rPr>
                <w:rFonts w:hint="eastAsia"/>
                <w:color w:val="auto"/>
                <w:highlight w:val="none"/>
              </w:rPr>
              <w:br w:type="textWrapping"/>
            </w:r>
            <w:r>
              <w:rPr>
                <w:rFonts w:hint="eastAsia"/>
                <w:color w:val="auto"/>
                <w:highlight w:val="none"/>
              </w:rPr>
              <w:t>3个百兆电口；安装方式：工业导轨式；</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6264">
            <w:pPr>
              <w:widowControl/>
              <w:jc w:val="center"/>
              <w:textAlignment w:val="center"/>
              <w:rPr>
                <w:color w:val="auto"/>
                <w:highlight w:val="none"/>
              </w:rPr>
            </w:pPr>
            <w:r>
              <w:rPr>
                <w:rFonts w:hint="eastAsia"/>
                <w:color w:val="auto"/>
                <w:highlight w:val="none"/>
              </w:rPr>
              <w:t>台</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5480">
            <w:pPr>
              <w:widowControl/>
              <w:jc w:val="center"/>
              <w:textAlignment w:val="center"/>
              <w:rPr>
                <w:color w:val="auto"/>
                <w:highlight w:val="none"/>
              </w:rPr>
            </w:pPr>
            <w:r>
              <w:rPr>
                <w:rFonts w:hint="eastAsia"/>
                <w:color w:val="auto"/>
                <w:highlight w:val="none"/>
              </w:rPr>
              <w:t>22</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02A5">
            <w:pPr>
              <w:jc w:val="center"/>
              <w:rPr>
                <w:color w:val="auto"/>
                <w:highlight w:val="none"/>
              </w:rPr>
            </w:pPr>
          </w:p>
        </w:tc>
      </w:tr>
      <w:tr w14:paraId="0ACFA91F">
        <w:tblPrEx>
          <w:tblCellMar>
            <w:top w:w="0" w:type="dxa"/>
            <w:left w:w="108" w:type="dxa"/>
            <w:bottom w:w="0" w:type="dxa"/>
            <w:right w:w="108" w:type="dxa"/>
          </w:tblCellMar>
        </w:tblPrEx>
        <w:trPr>
          <w:trHeight w:val="600" w:hRule="atLeast"/>
          <w:jc w:val="center"/>
        </w:trPr>
        <w:tc>
          <w:tcPr>
            <w:tcW w:w="943" w:type="dxa"/>
            <w:tcBorders>
              <w:top w:val="nil"/>
              <w:left w:val="single" w:color="000000" w:sz="4" w:space="0"/>
              <w:bottom w:val="single" w:color="000000" w:sz="4" w:space="0"/>
              <w:right w:val="single" w:color="000000" w:sz="4" w:space="0"/>
            </w:tcBorders>
            <w:shd w:val="clear" w:color="auto" w:fill="auto"/>
            <w:noWrap/>
            <w:vAlign w:val="center"/>
          </w:tcPr>
          <w:p w14:paraId="702B2FCB">
            <w:pPr>
              <w:widowControl/>
              <w:jc w:val="center"/>
              <w:textAlignment w:val="center"/>
              <w:rPr>
                <w:color w:val="auto"/>
                <w:highlight w:val="none"/>
              </w:rPr>
            </w:pPr>
            <w:r>
              <w:rPr>
                <w:rFonts w:hint="eastAsia"/>
                <w:color w:val="auto"/>
                <w:highlight w:val="none"/>
              </w:rPr>
              <w:t>29</w:t>
            </w:r>
          </w:p>
        </w:tc>
        <w:tc>
          <w:tcPr>
            <w:tcW w:w="1016" w:type="dxa"/>
            <w:tcBorders>
              <w:top w:val="single" w:color="000000" w:sz="4" w:space="0"/>
              <w:left w:val="single" w:color="000000" w:sz="4" w:space="0"/>
              <w:bottom w:val="nil"/>
              <w:right w:val="single" w:color="000000" w:sz="4" w:space="0"/>
            </w:tcBorders>
            <w:shd w:val="clear" w:color="auto" w:fill="auto"/>
            <w:noWrap/>
            <w:vAlign w:val="center"/>
          </w:tcPr>
          <w:p w14:paraId="79883126">
            <w:pPr>
              <w:widowControl/>
              <w:jc w:val="center"/>
              <w:textAlignment w:val="center"/>
              <w:rPr>
                <w:color w:val="auto"/>
                <w:highlight w:val="none"/>
              </w:rPr>
            </w:pPr>
            <w:r>
              <w:rPr>
                <w:rFonts w:hint="eastAsia"/>
                <w:color w:val="auto"/>
                <w:highlight w:val="none"/>
                <w:lang w:val="en-US"/>
              </w:rPr>
              <w:t>穿线管材</w:t>
            </w:r>
          </w:p>
        </w:tc>
        <w:tc>
          <w:tcPr>
            <w:tcW w:w="4422" w:type="dxa"/>
            <w:tcBorders>
              <w:top w:val="single" w:color="000000" w:sz="4" w:space="0"/>
              <w:left w:val="single" w:color="000000" w:sz="4" w:space="0"/>
              <w:bottom w:val="nil"/>
              <w:right w:val="single" w:color="000000" w:sz="4" w:space="0"/>
            </w:tcBorders>
            <w:shd w:val="clear" w:color="auto" w:fill="auto"/>
            <w:vAlign w:val="center"/>
          </w:tcPr>
          <w:p w14:paraId="4981518D">
            <w:pPr>
              <w:widowControl/>
              <w:textAlignment w:val="center"/>
              <w:rPr>
                <w:color w:val="auto"/>
                <w:highlight w:val="none"/>
              </w:rPr>
            </w:pPr>
            <w:r>
              <w:rPr>
                <w:rFonts w:hint="eastAsia"/>
                <w:color w:val="auto"/>
                <w:highlight w:val="none"/>
                <w:lang w:val="en-US"/>
              </w:rPr>
              <w:t>PVC 25*30</w:t>
            </w:r>
          </w:p>
        </w:tc>
        <w:tc>
          <w:tcPr>
            <w:tcW w:w="997" w:type="dxa"/>
            <w:tcBorders>
              <w:top w:val="single" w:color="000000" w:sz="4" w:space="0"/>
              <w:left w:val="single" w:color="000000" w:sz="4" w:space="0"/>
              <w:bottom w:val="nil"/>
              <w:right w:val="single" w:color="000000" w:sz="4" w:space="0"/>
            </w:tcBorders>
            <w:shd w:val="clear" w:color="auto" w:fill="auto"/>
            <w:noWrap/>
            <w:vAlign w:val="center"/>
          </w:tcPr>
          <w:p w14:paraId="631206A5">
            <w:pPr>
              <w:widowControl/>
              <w:jc w:val="center"/>
              <w:textAlignment w:val="center"/>
              <w:rPr>
                <w:color w:val="auto"/>
                <w:highlight w:val="none"/>
              </w:rPr>
            </w:pPr>
            <w:r>
              <w:rPr>
                <w:rFonts w:hint="eastAsia"/>
                <w:color w:val="auto"/>
                <w:highlight w:val="none"/>
                <w:lang w:val="en-US"/>
              </w:rPr>
              <w:t>米</w:t>
            </w:r>
          </w:p>
        </w:tc>
        <w:tc>
          <w:tcPr>
            <w:tcW w:w="1222" w:type="dxa"/>
            <w:tcBorders>
              <w:top w:val="single" w:color="000000" w:sz="4" w:space="0"/>
              <w:left w:val="single" w:color="000000" w:sz="4" w:space="0"/>
              <w:bottom w:val="nil"/>
              <w:right w:val="single" w:color="000000" w:sz="4" w:space="0"/>
            </w:tcBorders>
            <w:shd w:val="clear" w:color="auto" w:fill="auto"/>
            <w:vAlign w:val="center"/>
          </w:tcPr>
          <w:p w14:paraId="609B9696">
            <w:pPr>
              <w:widowControl/>
              <w:jc w:val="center"/>
              <w:textAlignment w:val="center"/>
              <w:rPr>
                <w:color w:val="auto"/>
                <w:highlight w:val="none"/>
              </w:rPr>
            </w:pPr>
            <w:r>
              <w:rPr>
                <w:rFonts w:hint="eastAsia"/>
                <w:color w:val="auto"/>
                <w:highlight w:val="none"/>
              </w:rPr>
              <w:t>200</w:t>
            </w:r>
          </w:p>
        </w:tc>
        <w:tc>
          <w:tcPr>
            <w:tcW w:w="877" w:type="dxa"/>
            <w:tcBorders>
              <w:top w:val="single" w:color="000000" w:sz="4" w:space="0"/>
              <w:left w:val="single" w:color="000000" w:sz="4" w:space="0"/>
              <w:bottom w:val="nil"/>
              <w:right w:val="single" w:color="000000" w:sz="4" w:space="0"/>
            </w:tcBorders>
            <w:shd w:val="clear" w:color="auto" w:fill="auto"/>
            <w:noWrap/>
            <w:vAlign w:val="center"/>
          </w:tcPr>
          <w:p w14:paraId="034E5F1C">
            <w:pPr>
              <w:jc w:val="center"/>
              <w:rPr>
                <w:color w:val="auto"/>
                <w:highlight w:val="none"/>
              </w:rPr>
            </w:pPr>
          </w:p>
          <w:p w14:paraId="392B5D65">
            <w:pPr>
              <w:rPr>
                <w:color w:val="auto"/>
                <w:highlight w:val="none"/>
              </w:rPr>
            </w:pPr>
          </w:p>
        </w:tc>
      </w:tr>
      <w:tr w14:paraId="5E9AD855">
        <w:tblPrEx>
          <w:tblCellMar>
            <w:top w:w="0" w:type="dxa"/>
            <w:left w:w="108" w:type="dxa"/>
            <w:bottom w:w="0" w:type="dxa"/>
            <w:right w:w="108" w:type="dxa"/>
          </w:tblCellMar>
        </w:tblPrEx>
        <w:trPr>
          <w:trHeight w:val="600" w:hRule="atLeast"/>
          <w:jc w:val="center"/>
        </w:trPr>
        <w:tc>
          <w:tcPr>
            <w:tcW w:w="943" w:type="dxa"/>
            <w:tcBorders>
              <w:top w:val="nil"/>
              <w:left w:val="single" w:color="000000" w:sz="4" w:space="0"/>
              <w:bottom w:val="single" w:color="000000" w:sz="4" w:space="0"/>
              <w:right w:val="single" w:color="000000" w:sz="4" w:space="0"/>
            </w:tcBorders>
            <w:shd w:val="clear" w:color="auto" w:fill="auto"/>
            <w:noWrap/>
            <w:vAlign w:val="center"/>
          </w:tcPr>
          <w:p w14:paraId="62162DA7">
            <w:pPr>
              <w:widowControl/>
              <w:jc w:val="center"/>
              <w:textAlignment w:val="center"/>
              <w:rPr>
                <w:color w:val="auto"/>
                <w:highlight w:val="none"/>
              </w:rPr>
            </w:pPr>
            <w:r>
              <w:rPr>
                <w:rFonts w:hint="eastAsia"/>
                <w:color w:val="auto"/>
                <w:highlight w:val="none"/>
              </w:rPr>
              <w:t>30</w:t>
            </w:r>
          </w:p>
        </w:tc>
        <w:tc>
          <w:tcPr>
            <w:tcW w:w="1016" w:type="dxa"/>
            <w:tcBorders>
              <w:top w:val="single" w:color="000000" w:sz="4" w:space="0"/>
              <w:left w:val="single" w:color="000000" w:sz="4" w:space="0"/>
              <w:bottom w:val="nil"/>
              <w:right w:val="single" w:color="000000" w:sz="4" w:space="0"/>
            </w:tcBorders>
            <w:shd w:val="clear" w:color="auto" w:fill="auto"/>
            <w:noWrap/>
            <w:vAlign w:val="center"/>
          </w:tcPr>
          <w:p w14:paraId="793B6920">
            <w:pPr>
              <w:widowControl/>
              <w:jc w:val="center"/>
              <w:textAlignment w:val="center"/>
              <w:rPr>
                <w:color w:val="auto"/>
                <w:highlight w:val="none"/>
              </w:rPr>
            </w:pPr>
            <w:r>
              <w:rPr>
                <w:rFonts w:hint="eastAsia"/>
                <w:color w:val="auto"/>
                <w:highlight w:val="none"/>
                <w:lang w:val="en-US"/>
              </w:rPr>
              <w:t>扎带</w:t>
            </w:r>
          </w:p>
        </w:tc>
        <w:tc>
          <w:tcPr>
            <w:tcW w:w="4422" w:type="dxa"/>
            <w:tcBorders>
              <w:top w:val="single" w:color="000000" w:sz="4" w:space="0"/>
              <w:left w:val="single" w:color="000000" w:sz="4" w:space="0"/>
              <w:bottom w:val="nil"/>
              <w:right w:val="single" w:color="000000" w:sz="4" w:space="0"/>
            </w:tcBorders>
            <w:shd w:val="clear" w:color="auto" w:fill="auto"/>
            <w:vAlign w:val="center"/>
          </w:tcPr>
          <w:p w14:paraId="3A8448BA">
            <w:pPr>
              <w:widowControl/>
              <w:textAlignment w:val="center"/>
              <w:rPr>
                <w:color w:val="auto"/>
                <w:highlight w:val="none"/>
                <w:lang w:val="en-US"/>
              </w:rPr>
            </w:pPr>
            <w:r>
              <w:rPr>
                <w:rFonts w:hint="eastAsia"/>
                <w:color w:val="auto"/>
                <w:highlight w:val="none"/>
                <w:lang w:val="en-US"/>
              </w:rPr>
              <w:t>尼龙8.8mm*500mm</w:t>
            </w:r>
          </w:p>
        </w:tc>
        <w:tc>
          <w:tcPr>
            <w:tcW w:w="997" w:type="dxa"/>
            <w:tcBorders>
              <w:top w:val="single" w:color="000000" w:sz="4" w:space="0"/>
              <w:left w:val="single" w:color="000000" w:sz="4" w:space="0"/>
              <w:bottom w:val="nil"/>
              <w:right w:val="single" w:color="000000" w:sz="4" w:space="0"/>
            </w:tcBorders>
            <w:shd w:val="clear" w:color="auto" w:fill="auto"/>
            <w:noWrap/>
            <w:vAlign w:val="center"/>
          </w:tcPr>
          <w:p w14:paraId="5AE6A26D">
            <w:pPr>
              <w:widowControl/>
              <w:jc w:val="center"/>
              <w:textAlignment w:val="center"/>
              <w:rPr>
                <w:color w:val="auto"/>
                <w:highlight w:val="none"/>
              </w:rPr>
            </w:pPr>
            <w:r>
              <w:rPr>
                <w:rFonts w:hint="eastAsia"/>
                <w:color w:val="auto"/>
                <w:highlight w:val="none"/>
              </w:rPr>
              <w:t>包</w:t>
            </w:r>
          </w:p>
        </w:tc>
        <w:tc>
          <w:tcPr>
            <w:tcW w:w="1222" w:type="dxa"/>
            <w:tcBorders>
              <w:top w:val="single" w:color="000000" w:sz="4" w:space="0"/>
              <w:left w:val="single" w:color="000000" w:sz="4" w:space="0"/>
              <w:bottom w:val="nil"/>
              <w:right w:val="single" w:color="000000" w:sz="4" w:space="0"/>
            </w:tcBorders>
            <w:shd w:val="clear" w:color="auto" w:fill="auto"/>
            <w:vAlign w:val="center"/>
          </w:tcPr>
          <w:p w14:paraId="0B9DFFAB">
            <w:pPr>
              <w:widowControl/>
              <w:jc w:val="center"/>
              <w:textAlignment w:val="center"/>
              <w:rPr>
                <w:color w:val="auto"/>
                <w:highlight w:val="none"/>
              </w:rPr>
            </w:pPr>
            <w:r>
              <w:rPr>
                <w:rFonts w:hint="eastAsia"/>
                <w:color w:val="auto"/>
                <w:highlight w:val="none"/>
              </w:rPr>
              <w:t>10</w:t>
            </w:r>
          </w:p>
        </w:tc>
        <w:tc>
          <w:tcPr>
            <w:tcW w:w="877" w:type="dxa"/>
            <w:tcBorders>
              <w:top w:val="single" w:color="000000" w:sz="4" w:space="0"/>
              <w:left w:val="single" w:color="000000" w:sz="4" w:space="0"/>
              <w:bottom w:val="nil"/>
              <w:right w:val="single" w:color="000000" w:sz="4" w:space="0"/>
            </w:tcBorders>
            <w:shd w:val="clear" w:color="auto" w:fill="auto"/>
            <w:noWrap/>
            <w:vAlign w:val="center"/>
          </w:tcPr>
          <w:p w14:paraId="66FB027C">
            <w:pPr>
              <w:jc w:val="center"/>
              <w:rPr>
                <w:color w:val="auto"/>
                <w:highlight w:val="none"/>
              </w:rPr>
            </w:pPr>
          </w:p>
        </w:tc>
      </w:tr>
      <w:tr w14:paraId="7A5DBAA0">
        <w:tblPrEx>
          <w:tblCellMar>
            <w:top w:w="0" w:type="dxa"/>
            <w:left w:w="108" w:type="dxa"/>
            <w:bottom w:w="0" w:type="dxa"/>
            <w:right w:w="108" w:type="dxa"/>
          </w:tblCellMar>
        </w:tblPrEx>
        <w:trPr>
          <w:trHeight w:val="600" w:hRule="atLeast"/>
          <w:jc w:val="center"/>
        </w:trPr>
        <w:tc>
          <w:tcPr>
            <w:tcW w:w="943" w:type="dxa"/>
            <w:tcBorders>
              <w:top w:val="nil"/>
              <w:left w:val="single" w:color="000000" w:sz="4" w:space="0"/>
              <w:bottom w:val="single" w:color="000000" w:sz="4" w:space="0"/>
              <w:right w:val="single" w:color="000000" w:sz="4" w:space="0"/>
            </w:tcBorders>
            <w:shd w:val="clear" w:color="auto" w:fill="auto"/>
            <w:noWrap/>
            <w:vAlign w:val="center"/>
          </w:tcPr>
          <w:p w14:paraId="17B26F44">
            <w:pPr>
              <w:widowControl/>
              <w:jc w:val="center"/>
              <w:textAlignment w:val="center"/>
              <w:rPr>
                <w:color w:val="auto"/>
                <w:highlight w:val="none"/>
              </w:rPr>
            </w:pPr>
            <w:r>
              <w:rPr>
                <w:rFonts w:hint="eastAsia"/>
                <w:color w:val="auto"/>
                <w:highlight w:val="none"/>
              </w:rPr>
              <w:t>31</w:t>
            </w:r>
          </w:p>
        </w:tc>
        <w:tc>
          <w:tcPr>
            <w:tcW w:w="1016" w:type="dxa"/>
            <w:tcBorders>
              <w:top w:val="single" w:color="000000" w:sz="4" w:space="0"/>
              <w:left w:val="single" w:color="000000" w:sz="4" w:space="0"/>
              <w:bottom w:val="nil"/>
              <w:right w:val="single" w:color="000000" w:sz="4" w:space="0"/>
            </w:tcBorders>
            <w:shd w:val="clear" w:color="auto" w:fill="auto"/>
            <w:noWrap/>
            <w:vAlign w:val="center"/>
          </w:tcPr>
          <w:p w14:paraId="03A237E5">
            <w:pPr>
              <w:widowControl/>
              <w:jc w:val="center"/>
              <w:textAlignment w:val="center"/>
              <w:rPr>
                <w:color w:val="auto"/>
                <w:highlight w:val="none"/>
              </w:rPr>
            </w:pPr>
            <w:r>
              <w:rPr>
                <w:rFonts w:hint="eastAsia"/>
                <w:color w:val="auto"/>
                <w:highlight w:val="none"/>
                <w:lang w:val="en-US"/>
              </w:rPr>
              <w:t>胶带</w:t>
            </w:r>
          </w:p>
        </w:tc>
        <w:tc>
          <w:tcPr>
            <w:tcW w:w="4422" w:type="dxa"/>
            <w:tcBorders>
              <w:top w:val="single" w:color="000000" w:sz="4" w:space="0"/>
              <w:left w:val="single" w:color="000000" w:sz="4" w:space="0"/>
              <w:bottom w:val="nil"/>
              <w:right w:val="single" w:color="000000" w:sz="4" w:space="0"/>
            </w:tcBorders>
            <w:shd w:val="clear" w:color="auto" w:fill="auto"/>
            <w:vAlign w:val="center"/>
          </w:tcPr>
          <w:p w14:paraId="55CAEC8F">
            <w:pPr>
              <w:widowControl/>
              <w:textAlignment w:val="center"/>
              <w:rPr>
                <w:color w:val="auto"/>
                <w:highlight w:val="none"/>
                <w:lang w:val="en-US"/>
              </w:rPr>
            </w:pPr>
            <w:r>
              <w:rPr>
                <w:rFonts w:hint="eastAsia"/>
                <w:color w:val="auto"/>
                <w:highlight w:val="none"/>
                <w:lang w:val="en-US"/>
              </w:rPr>
              <w:t>绝缘、防潮耐酸碱、阻燃</w:t>
            </w:r>
          </w:p>
        </w:tc>
        <w:tc>
          <w:tcPr>
            <w:tcW w:w="997" w:type="dxa"/>
            <w:tcBorders>
              <w:top w:val="single" w:color="000000" w:sz="4" w:space="0"/>
              <w:left w:val="single" w:color="000000" w:sz="4" w:space="0"/>
              <w:bottom w:val="nil"/>
              <w:right w:val="single" w:color="000000" w:sz="4" w:space="0"/>
            </w:tcBorders>
            <w:shd w:val="clear" w:color="auto" w:fill="auto"/>
            <w:noWrap/>
            <w:vAlign w:val="center"/>
          </w:tcPr>
          <w:p w14:paraId="21A1D2FA">
            <w:pPr>
              <w:widowControl/>
              <w:jc w:val="center"/>
              <w:textAlignment w:val="center"/>
              <w:rPr>
                <w:color w:val="auto"/>
                <w:highlight w:val="none"/>
              </w:rPr>
            </w:pPr>
            <w:r>
              <w:rPr>
                <w:rFonts w:hint="eastAsia"/>
                <w:color w:val="auto"/>
                <w:highlight w:val="none"/>
              </w:rPr>
              <w:t>卷</w:t>
            </w:r>
          </w:p>
        </w:tc>
        <w:tc>
          <w:tcPr>
            <w:tcW w:w="1222" w:type="dxa"/>
            <w:tcBorders>
              <w:top w:val="single" w:color="000000" w:sz="4" w:space="0"/>
              <w:left w:val="single" w:color="000000" w:sz="4" w:space="0"/>
              <w:bottom w:val="nil"/>
              <w:right w:val="single" w:color="000000" w:sz="4" w:space="0"/>
            </w:tcBorders>
            <w:shd w:val="clear" w:color="auto" w:fill="auto"/>
            <w:vAlign w:val="center"/>
          </w:tcPr>
          <w:p w14:paraId="6C3CFC1D">
            <w:pPr>
              <w:widowControl/>
              <w:jc w:val="center"/>
              <w:textAlignment w:val="center"/>
              <w:rPr>
                <w:color w:val="auto"/>
                <w:highlight w:val="none"/>
              </w:rPr>
            </w:pPr>
            <w:r>
              <w:rPr>
                <w:rFonts w:hint="eastAsia"/>
                <w:color w:val="auto"/>
                <w:highlight w:val="none"/>
              </w:rPr>
              <w:t>100</w:t>
            </w:r>
          </w:p>
        </w:tc>
        <w:tc>
          <w:tcPr>
            <w:tcW w:w="877" w:type="dxa"/>
            <w:tcBorders>
              <w:top w:val="single" w:color="000000" w:sz="4" w:space="0"/>
              <w:left w:val="single" w:color="000000" w:sz="4" w:space="0"/>
              <w:bottom w:val="nil"/>
              <w:right w:val="single" w:color="000000" w:sz="4" w:space="0"/>
            </w:tcBorders>
            <w:shd w:val="clear" w:color="auto" w:fill="auto"/>
            <w:noWrap/>
            <w:vAlign w:val="center"/>
          </w:tcPr>
          <w:p w14:paraId="74C2EF16">
            <w:pPr>
              <w:jc w:val="center"/>
              <w:rPr>
                <w:color w:val="auto"/>
                <w:highlight w:val="none"/>
              </w:rPr>
            </w:pPr>
          </w:p>
        </w:tc>
      </w:tr>
      <w:tr w14:paraId="5F0E0C31">
        <w:tblPrEx>
          <w:tblCellMar>
            <w:top w:w="0" w:type="dxa"/>
            <w:left w:w="108" w:type="dxa"/>
            <w:bottom w:w="0" w:type="dxa"/>
            <w:right w:w="108" w:type="dxa"/>
          </w:tblCellMar>
        </w:tblPrEx>
        <w:trPr>
          <w:trHeight w:val="1519" w:hRule="atLeast"/>
          <w:jc w:val="center"/>
        </w:trPr>
        <w:tc>
          <w:tcPr>
            <w:tcW w:w="943" w:type="dxa"/>
            <w:tcBorders>
              <w:top w:val="nil"/>
              <w:left w:val="single" w:color="000000" w:sz="4" w:space="0"/>
              <w:bottom w:val="single" w:color="000000" w:sz="4" w:space="0"/>
              <w:right w:val="single" w:color="000000" w:sz="4" w:space="0"/>
            </w:tcBorders>
            <w:shd w:val="clear" w:color="auto" w:fill="auto"/>
            <w:noWrap/>
            <w:vAlign w:val="center"/>
          </w:tcPr>
          <w:p w14:paraId="63A43363">
            <w:pPr>
              <w:widowControl/>
              <w:jc w:val="center"/>
              <w:textAlignment w:val="center"/>
              <w:rPr>
                <w:color w:val="auto"/>
                <w:highlight w:val="none"/>
              </w:rPr>
            </w:pPr>
            <w:r>
              <w:rPr>
                <w:rFonts w:hint="eastAsia"/>
                <w:color w:val="auto"/>
                <w:highlight w:val="none"/>
              </w:rPr>
              <w:t>32</w:t>
            </w:r>
          </w:p>
        </w:tc>
        <w:tc>
          <w:tcPr>
            <w:tcW w:w="1016" w:type="dxa"/>
            <w:tcBorders>
              <w:top w:val="single" w:color="000000" w:sz="4" w:space="0"/>
              <w:left w:val="single" w:color="000000" w:sz="4" w:space="0"/>
              <w:bottom w:val="nil"/>
              <w:right w:val="single" w:color="000000" w:sz="4" w:space="0"/>
            </w:tcBorders>
            <w:shd w:val="clear" w:color="auto" w:fill="auto"/>
            <w:noWrap/>
            <w:vAlign w:val="center"/>
          </w:tcPr>
          <w:p w14:paraId="2120ACE5">
            <w:pPr>
              <w:widowControl/>
              <w:jc w:val="center"/>
              <w:textAlignment w:val="center"/>
              <w:rPr>
                <w:color w:val="auto"/>
                <w:highlight w:val="none"/>
              </w:rPr>
            </w:pPr>
            <w:r>
              <w:rPr>
                <w:rFonts w:hint="eastAsia"/>
                <w:color w:val="auto"/>
                <w:highlight w:val="none"/>
                <w:lang w:val="en-US"/>
              </w:rPr>
              <w:t>水晶头</w:t>
            </w:r>
          </w:p>
        </w:tc>
        <w:tc>
          <w:tcPr>
            <w:tcW w:w="4422" w:type="dxa"/>
            <w:tcBorders>
              <w:top w:val="single" w:color="000000" w:sz="4" w:space="0"/>
              <w:left w:val="single" w:color="000000" w:sz="4" w:space="0"/>
              <w:bottom w:val="nil"/>
              <w:right w:val="single" w:color="000000" w:sz="4" w:space="0"/>
            </w:tcBorders>
            <w:shd w:val="clear" w:color="auto" w:fill="auto"/>
            <w:vAlign w:val="center"/>
          </w:tcPr>
          <w:p w14:paraId="2B448DAA">
            <w:pPr>
              <w:widowControl/>
              <w:textAlignment w:val="center"/>
              <w:rPr>
                <w:color w:val="auto"/>
                <w:highlight w:val="none"/>
                <w:lang w:val="en-US"/>
              </w:rPr>
            </w:pPr>
            <w:r>
              <w:rPr>
                <w:color w:val="auto"/>
                <w:highlight w:val="none"/>
                <w:lang w:val="en-US"/>
              </w:rPr>
              <w:t>材质：PC外壳</w:t>
            </w:r>
          </w:p>
          <w:p w14:paraId="366BB3E5">
            <w:pPr>
              <w:widowControl/>
              <w:textAlignment w:val="center"/>
              <w:rPr>
                <w:color w:val="auto"/>
                <w:highlight w:val="none"/>
                <w:lang w:val="en-US"/>
              </w:rPr>
            </w:pPr>
            <w:r>
              <w:rPr>
                <w:color w:val="auto"/>
                <w:highlight w:val="none"/>
                <w:lang w:val="en-US"/>
              </w:rPr>
              <w:t>接触铜片：三叉</w:t>
            </w:r>
          </w:p>
          <w:p w14:paraId="3D4A7F09">
            <w:pPr>
              <w:widowControl/>
              <w:textAlignment w:val="center"/>
              <w:rPr>
                <w:color w:val="auto"/>
                <w:highlight w:val="none"/>
                <w:lang w:val="en-US"/>
              </w:rPr>
            </w:pPr>
            <w:r>
              <w:rPr>
                <w:color w:val="auto"/>
                <w:highlight w:val="none"/>
                <w:lang w:val="en-US"/>
              </w:rPr>
              <w:t>镀金厚度：50U</w:t>
            </w:r>
          </w:p>
          <w:p w14:paraId="53AD0B16">
            <w:pPr>
              <w:widowControl/>
              <w:textAlignment w:val="center"/>
              <w:rPr>
                <w:color w:val="auto"/>
                <w:highlight w:val="none"/>
                <w:lang w:val="en-US"/>
              </w:rPr>
            </w:pPr>
            <w:r>
              <w:rPr>
                <w:color w:val="auto"/>
                <w:highlight w:val="none"/>
                <w:lang w:val="en-US"/>
              </w:rPr>
              <w:t>网络标准：千兆网络</w:t>
            </w:r>
          </w:p>
          <w:p w14:paraId="2A2B23EA">
            <w:pPr>
              <w:widowControl/>
              <w:textAlignment w:val="center"/>
              <w:rPr>
                <w:color w:val="auto"/>
                <w:highlight w:val="none"/>
                <w:lang w:val="en-US"/>
              </w:rPr>
            </w:pPr>
            <w:r>
              <w:rPr>
                <w:color w:val="auto"/>
                <w:highlight w:val="none"/>
                <w:lang w:val="en-US"/>
              </w:rPr>
              <w:t>接口类型：RJ45</w:t>
            </w:r>
          </w:p>
          <w:p w14:paraId="3491D29F">
            <w:pPr>
              <w:widowControl/>
              <w:textAlignment w:val="center"/>
              <w:rPr>
                <w:color w:val="auto"/>
                <w:highlight w:val="none"/>
                <w:lang w:val="en-US"/>
              </w:rPr>
            </w:pPr>
            <w:r>
              <w:rPr>
                <w:color w:val="auto"/>
                <w:highlight w:val="none"/>
                <w:lang w:val="en-US"/>
              </w:rPr>
              <w:t>尺寸：23*11.55*8(mm)</w:t>
            </w:r>
          </w:p>
        </w:tc>
        <w:tc>
          <w:tcPr>
            <w:tcW w:w="997" w:type="dxa"/>
            <w:tcBorders>
              <w:top w:val="single" w:color="000000" w:sz="4" w:space="0"/>
              <w:left w:val="single" w:color="000000" w:sz="4" w:space="0"/>
              <w:bottom w:val="nil"/>
              <w:right w:val="single" w:color="000000" w:sz="4" w:space="0"/>
            </w:tcBorders>
            <w:shd w:val="clear" w:color="auto" w:fill="auto"/>
            <w:noWrap/>
            <w:vAlign w:val="center"/>
          </w:tcPr>
          <w:p w14:paraId="78A4BE0C">
            <w:pPr>
              <w:widowControl/>
              <w:jc w:val="center"/>
              <w:textAlignment w:val="center"/>
              <w:rPr>
                <w:color w:val="auto"/>
                <w:highlight w:val="none"/>
              </w:rPr>
            </w:pPr>
            <w:r>
              <w:rPr>
                <w:rFonts w:hint="eastAsia"/>
                <w:color w:val="auto"/>
                <w:highlight w:val="none"/>
              </w:rPr>
              <w:t>盒</w:t>
            </w:r>
          </w:p>
        </w:tc>
        <w:tc>
          <w:tcPr>
            <w:tcW w:w="1222" w:type="dxa"/>
            <w:tcBorders>
              <w:top w:val="single" w:color="000000" w:sz="4" w:space="0"/>
              <w:left w:val="single" w:color="000000" w:sz="4" w:space="0"/>
              <w:bottom w:val="nil"/>
              <w:right w:val="single" w:color="000000" w:sz="4" w:space="0"/>
            </w:tcBorders>
            <w:shd w:val="clear" w:color="auto" w:fill="auto"/>
            <w:vAlign w:val="center"/>
          </w:tcPr>
          <w:p w14:paraId="14939E5E">
            <w:pPr>
              <w:widowControl/>
              <w:jc w:val="center"/>
              <w:textAlignment w:val="center"/>
              <w:rPr>
                <w:color w:val="auto"/>
                <w:highlight w:val="none"/>
              </w:rPr>
            </w:pPr>
            <w:r>
              <w:rPr>
                <w:rFonts w:hint="eastAsia"/>
                <w:color w:val="auto"/>
                <w:highlight w:val="none"/>
              </w:rPr>
              <w:t>5</w:t>
            </w:r>
          </w:p>
        </w:tc>
        <w:tc>
          <w:tcPr>
            <w:tcW w:w="877" w:type="dxa"/>
            <w:tcBorders>
              <w:top w:val="single" w:color="000000" w:sz="4" w:space="0"/>
              <w:left w:val="single" w:color="000000" w:sz="4" w:space="0"/>
              <w:bottom w:val="nil"/>
              <w:right w:val="single" w:color="000000" w:sz="4" w:space="0"/>
            </w:tcBorders>
            <w:shd w:val="clear" w:color="auto" w:fill="auto"/>
            <w:noWrap/>
            <w:vAlign w:val="center"/>
          </w:tcPr>
          <w:p w14:paraId="6AF8BF91">
            <w:pPr>
              <w:jc w:val="center"/>
              <w:rPr>
                <w:color w:val="auto"/>
                <w:highlight w:val="none"/>
              </w:rPr>
            </w:pPr>
          </w:p>
        </w:tc>
      </w:tr>
      <w:tr w14:paraId="0FD8BC41">
        <w:tblPrEx>
          <w:tblCellMar>
            <w:top w:w="0" w:type="dxa"/>
            <w:left w:w="108" w:type="dxa"/>
            <w:bottom w:w="0" w:type="dxa"/>
            <w:right w:w="108" w:type="dxa"/>
          </w:tblCellMar>
        </w:tblPrEx>
        <w:trPr>
          <w:trHeight w:val="600" w:hRule="atLeast"/>
          <w:jc w:val="center"/>
        </w:trPr>
        <w:tc>
          <w:tcPr>
            <w:tcW w:w="943" w:type="dxa"/>
            <w:tcBorders>
              <w:top w:val="nil"/>
              <w:left w:val="single" w:color="000000" w:sz="4" w:space="0"/>
              <w:bottom w:val="single" w:color="000000" w:sz="4" w:space="0"/>
              <w:right w:val="single" w:color="000000" w:sz="4" w:space="0"/>
            </w:tcBorders>
            <w:shd w:val="clear" w:color="auto" w:fill="auto"/>
            <w:noWrap/>
            <w:vAlign w:val="center"/>
          </w:tcPr>
          <w:p w14:paraId="1D677D94">
            <w:pPr>
              <w:widowControl/>
              <w:jc w:val="center"/>
              <w:textAlignment w:val="center"/>
              <w:rPr>
                <w:color w:val="auto"/>
                <w:highlight w:val="none"/>
              </w:rPr>
            </w:pPr>
            <w:r>
              <w:rPr>
                <w:rFonts w:hint="eastAsia"/>
                <w:color w:val="auto"/>
                <w:highlight w:val="none"/>
              </w:rPr>
              <w:t>33</w:t>
            </w:r>
          </w:p>
        </w:tc>
        <w:tc>
          <w:tcPr>
            <w:tcW w:w="1016" w:type="dxa"/>
            <w:tcBorders>
              <w:top w:val="single" w:color="000000" w:sz="4" w:space="0"/>
              <w:left w:val="single" w:color="000000" w:sz="4" w:space="0"/>
              <w:bottom w:val="nil"/>
              <w:right w:val="single" w:color="000000" w:sz="4" w:space="0"/>
            </w:tcBorders>
            <w:shd w:val="clear" w:color="auto" w:fill="auto"/>
            <w:noWrap/>
            <w:vAlign w:val="center"/>
          </w:tcPr>
          <w:p w14:paraId="0208E666">
            <w:pPr>
              <w:widowControl/>
              <w:jc w:val="center"/>
              <w:textAlignment w:val="center"/>
              <w:rPr>
                <w:color w:val="auto"/>
                <w:highlight w:val="none"/>
              </w:rPr>
            </w:pPr>
            <w:r>
              <w:rPr>
                <w:rFonts w:hint="eastAsia"/>
                <w:color w:val="auto"/>
                <w:highlight w:val="none"/>
                <w:lang w:val="en-US"/>
              </w:rPr>
              <w:t>软管</w:t>
            </w:r>
          </w:p>
        </w:tc>
        <w:tc>
          <w:tcPr>
            <w:tcW w:w="4422" w:type="dxa"/>
            <w:tcBorders>
              <w:top w:val="single" w:color="000000" w:sz="4" w:space="0"/>
              <w:left w:val="single" w:color="000000" w:sz="4" w:space="0"/>
              <w:bottom w:val="nil"/>
              <w:right w:val="single" w:color="000000" w:sz="4" w:space="0"/>
            </w:tcBorders>
            <w:shd w:val="clear" w:color="auto" w:fill="auto"/>
            <w:vAlign w:val="center"/>
          </w:tcPr>
          <w:p w14:paraId="697E0346">
            <w:pPr>
              <w:widowControl/>
              <w:textAlignment w:val="center"/>
              <w:rPr>
                <w:color w:val="auto"/>
                <w:highlight w:val="none"/>
                <w:lang w:val="en-US"/>
              </w:rPr>
            </w:pPr>
            <w:r>
              <w:rPr>
                <w:color w:val="auto"/>
                <w:highlight w:val="none"/>
                <w:lang w:val="en-US"/>
              </w:rPr>
              <w:t>柔韧性好、抗扭曲、弯曲性能好，耐酸</w:t>
            </w:r>
            <w:r>
              <w:rPr>
                <w:rFonts w:hint="eastAsia"/>
                <w:color w:val="auto"/>
                <w:highlight w:val="none"/>
                <w:lang w:val="en-US"/>
              </w:rPr>
              <w:t>、</w:t>
            </w:r>
            <w:r>
              <w:rPr>
                <w:color w:val="auto"/>
                <w:highlight w:val="none"/>
                <w:lang w:val="en-US"/>
              </w:rPr>
              <w:t>耐摩擦</w:t>
            </w:r>
          </w:p>
        </w:tc>
        <w:tc>
          <w:tcPr>
            <w:tcW w:w="997" w:type="dxa"/>
            <w:tcBorders>
              <w:top w:val="single" w:color="000000" w:sz="4" w:space="0"/>
              <w:left w:val="single" w:color="000000" w:sz="4" w:space="0"/>
              <w:bottom w:val="nil"/>
              <w:right w:val="single" w:color="000000" w:sz="4" w:space="0"/>
            </w:tcBorders>
            <w:shd w:val="clear" w:color="auto" w:fill="auto"/>
            <w:noWrap/>
            <w:vAlign w:val="center"/>
          </w:tcPr>
          <w:p w14:paraId="17AEE508">
            <w:pPr>
              <w:widowControl/>
              <w:jc w:val="center"/>
              <w:textAlignment w:val="center"/>
              <w:rPr>
                <w:color w:val="auto"/>
                <w:highlight w:val="none"/>
              </w:rPr>
            </w:pPr>
            <w:r>
              <w:rPr>
                <w:rFonts w:hint="eastAsia"/>
                <w:color w:val="auto"/>
                <w:highlight w:val="none"/>
              </w:rPr>
              <w:t>米</w:t>
            </w:r>
          </w:p>
        </w:tc>
        <w:tc>
          <w:tcPr>
            <w:tcW w:w="1222" w:type="dxa"/>
            <w:tcBorders>
              <w:top w:val="single" w:color="000000" w:sz="4" w:space="0"/>
              <w:left w:val="single" w:color="000000" w:sz="4" w:space="0"/>
              <w:bottom w:val="nil"/>
              <w:right w:val="single" w:color="000000" w:sz="4" w:space="0"/>
            </w:tcBorders>
            <w:shd w:val="clear" w:color="auto" w:fill="auto"/>
            <w:vAlign w:val="center"/>
          </w:tcPr>
          <w:p w14:paraId="2CFB1BB1">
            <w:pPr>
              <w:widowControl/>
              <w:jc w:val="center"/>
              <w:textAlignment w:val="center"/>
              <w:rPr>
                <w:color w:val="auto"/>
                <w:highlight w:val="none"/>
              </w:rPr>
            </w:pPr>
            <w:r>
              <w:rPr>
                <w:rFonts w:hint="eastAsia"/>
                <w:color w:val="auto"/>
                <w:highlight w:val="none"/>
              </w:rPr>
              <w:t>260</w:t>
            </w:r>
          </w:p>
        </w:tc>
        <w:tc>
          <w:tcPr>
            <w:tcW w:w="877" w:type="dxa"/>
            <w:tcBorders>
              <w:top w:val="single" w:color="000000" w:sz="4" w:space="0"/>
              <w:left w:val="single" w:color="000000" w:sz="4" w:space="0"/>
              <w:bottom w:val="nil"/>
              <w:right w:val="single" w:color="000000" w:sz="4" w:space="0"/>
            </w:tcBorders>
            <w:shd w:val="clear" w:color="auto" w:fill="auto"/>
            <w:noWrap/>
            <w:vAlign w:val="center"/>
          </w:tcPr>
          <w:p w14:paraId="1B31AE07">
            <w:pPr>
              <w:jc w:val="center"/>
              <w:rPr>
                <w:color w:val="auto"/>
                <w:highlight w:val="none"/>
              </w:rPr>
            </w:pPr>
          </w:p>
        </w:tc>
      </w:tr>
      <w:tr w14:paraId="46F15127">
        <w:tblPrEx>
          <w:tblCellMar>
            <w:top w:w="0" w:type="dxa"/>
            <w:left w:w="108" w:type="dxa"/>
            <w:bottom w:w="0" w:type="dxa"/>
            <w:right w:w="108" w:type="dxa"/>
          </w:tblCellMar>
        </w:tblPrEx>
        <w:trPr>
          <w:trHeight w:val="600" w:hRule="atLeast"/>
          <w:jc w:val="center"/>
        </w:trPr>
        <w:tc>
          <w:tcPr>
            <w:tcW w:w="943" w:type="dxa"/>
            <w:tcBorders>
              <w:top w:val="nil"/>
              <w:left w:val="single" w:color="000000" w:sz="4" w:space="0"/>
              <w:bottom w:val="single" w:color="000000" w:sz="4" w:space="0"/>
              <w:right w:val="single" w:color="000000" w:sz="4" w:space="0"/>
            </w:tcBorders>
            <w:shd w:val="clear" w:color="auto" w:fill="auto"/>
            <w:noWrap/>
            <w:vAlign w:val="center"/>
          </w:tcPr>
          <w:p w14:paraId="04CFE00B">
            <w:pPr>
              <w:widowControl/>
              <w:jc w:val="center"/>
              <w:textAlignment w:val="center"/>
              <w:rPr>
                <w:color w:val="auto"/>
                <w:highlight w:val="none"/>
              </w:rPr>
            </w:pPr>
            <w:r>
              <w:rPr>
                <w:rFonts w:hint="eastAsia"/>
                <w:color w:val="auto"/>
                <w:highlight w:val="none"/>
              </w:rPr>
              <w:t>34</w:t>
            </w:r>
          </w:p>
        </w:tc>
        <w:tc>
          <w:tcPr>
            <w:tcW w:w="1016" w:type="dxa"/>
            <w:tcBorders>
              <w:top w:val="single" w:color="000000" w:sz="4" w:space="0"/>
              <w:left w:val="single" w:color="000000" w:sz="4" w:space="0"/>
              <w:bottom w:val="nil"/>
              <w:right w:val="single" w:color="000000" w:sz="4" w:space="0"/>
            </w:tcBorders>
            <w:shd w:val="clear" w:color="auto" w:fill="auto"/>
            <w:noWrap/>
            <w:vAlign w:val="center"/>
          </w:tcPr>
          <w:p w14:paraId="58EDE973">
            <w:pPr>
              <w:widowControl/>
              <w:jc w:val="center"/>
              <w:textAlignment w:val="center"/>
              <w:rPr>
                <w:color w:val="auto"/>
                <w:highlight w:val="none"/>
              </w:rPr>
            </w:pPr>
            <w:r>
              <w:rPr>
                <w:rFonts w:hint="eastAsia"/>
                <w:color w:val="auto"/>
                <w:highlight w:val="none"/>
                <w:lang w:val="en-US"/>
              </w:rPr>
              <w:t>空开</w:t>
            </w:r>
          </w:p>
        </w:tc>
        <w:tc>
          <w:tcPr>
            <w:tcW w:w="4422" w:type="dxa"/>
            <w:tcBorders>
              <w:top w:val="single" w:color="000000" w:sz="4" w:space="0"/>
              <w:left w:val="single" w:color="000000" w:sz="4" w:space="0"/>
              <w:bottom w:val="nil"/>
              <w:right w:val="single" w:color="000000" w:sz="4" w:space="0"/>
            </w:tcBorders>
            <w:shd w:val="clear" w:color="auto" w:fill="auto"/>
            <w:vAlign w:val="center"/>
          </w:tcPr>
          <w:p w14:paraId="5F2095B7">
            <w:pPr>
              <w:widowControl/>
              <w:textAlignment w:val="center"/>
              <w:rPr>
                <w:color w:val="auto"/>
                <w:highlight w:val="none"/>
                <w:lang w:val="en-US"/>
              </w:rPr>
            </w:pPr>
            <w:r>
              <w:rPr>
                <w:rFonts w:hint="eastAsia"/>
                <w:color w:val="auto"/>
                <w:highlight w:val="none"/>
                <w:lang w:val="en-US"/>
              </w:rPr>
              <w:t>国标、1P 32A</w:t>
            </w:r>
          </w:p>
        </w:tc>
        <w:tc>
          <w:tcPr>
            <w:tcW w:w="997" w:type="dxa"/>
            <w:tcBorders>
              <w:top w:val="single" w:color="000000" w:sz="4" w:space="0"/>
              <w:left w:val="single" w:color="000000" w:sz="4" w:space="0"/>
              <w:bottom w:val="nil"/>
              <w:right w:val="single" w:color="000000" w:sz="4" w:space="0"/>
            </w:tcBorders>
            <w:shd w:val="clear" w:color="auto" w:fill="auto"/>
            <w:noWrap/>
            <w:vAlign w:val="center"/>
          </w:tcPr>
          <w:p w14:paraId="5A5A2CE7">
            <w:pPr>
              <w:widowControl/>
              <w:jc w:val="center"/>
              <w:textAlignment w:val="center"/>
              <w:rPr>
                <w:color w:val="auto"/>
                <w:highlight w:val="none"/>
              </w:rPr>
            </w:pPr>
            <w:r>
              <w:rPr>
                <w:rFonts w:hint="eastAsia"/>
                <w:color w:val="auto"/>
                <w:highlight w:val="none"/>
                <w:lang w:val="en-US"/>
              </w:rPr>
              <w:t>个</w:t>
            </w:r>
          </w:p>
        </w:tc>
        <w:tc>
          <w:tcPr>
            <w:tcW w:w="1222" w:type="dxa"/>
            <w:tcBorders>
              <w:top w:val="single" w:color="000000" w:sz="4" w:space="0"/>
              <w:left w:val="single" w:color="000000" w:sz="4" w:space="0"/>
              <w:bottom w:val="nil"/>
              <w:right w:val="single" w:color="000000" w:sz="4" w:space="0"/>
            </w:tcBorders>
            <w:shd w:val="clear" w:color="auto" w:fill="auto"/>
            <w:vAlign w:val="center"/>
          </w:tcPr>
          <w:p w14:paraId="373EF8C9">
            <w:pPr>
              <w:widowControl/>
              <w:jc w:val="center"/>
              <w:textAlignment w:val="center"/>
              <w:rPr>
                <w:color w:val="auto"/>
                <w:highlight w:val="none"/>
              </w:rPr>
            </w:pPr>
            <w:r>
              <w:rPr>
                <w:rFonts w:hint="eastAsia"/>
                <w:color w:val="auto"/>
                <w:highlight w:val="none"/>
              </w:rPr>
              <w:t>30</w:t>
            </w:r>
          </w:p>
        </w:tc>
        <w:tc>
          <w:tcPr>
            <w:tcW w:w="877" w:type="dxa"/>
            <w:tcBorders>
              <w:top w:val="single" w:color="000000" w:sz="4" w:space="0"/>
              <w:left w:val="single" w:color="000000" w:sz="4" w:space="0"/>
              <w:bottom w:val="nil"/>
              <w:right w:val="single" w:color="000000" w:sz="4" w:space="0"/>
            </w:tcBorders>
            <w:shd w:val="clear" w:color="auto" w:fill="auto"/>
            <w:noWrap/>
            <w:vAlign w:val="center"/>
          </w:tcPr>
          <w:p w14:paraId="6166351D">
            <w:pPr>
              <w:jc w:val="center"/>
              <w:rPr>
                <w:color w:val="auto"/>
                <w:highlight w:val="none"/>
              </w:rPr>
            </w:pPr>
          </w:p>
        </w:tc>
      </w:tr>
      <w:tr w14:paraId="6930B041">
        <w:tblPrEx>
          <w:tblCellMar>
            <w:top w:w="0" w:type="dxa"/>
            <w:left w:w="108" w:type="dxa"/>
            <w:bottom w:w="0" w:type="dxa"/>
            <w:right w:w="108" w:type="dxa"/>
          </w:tblCellMar>
        </w:tblPrEx>
        <w:trPr>
          <w:trHeight w:val="600" w:hRule="atLeast"/>
          <w:jc w:val="center"/>
        </w:trPr>
        <w:tc>
          <w:tcPr>
            <w:tcW w:w="943" w:type="dxa"/>
            <w:tcBorders>
              <w:top w:val="nil"/>
              <w:left w:val="single" w:color="000000" w:sz="4" w:space="0"/>
              <w:bottom w:val="single" w:color="000000" w:sz="4" w:space="0"/>
              <w:right w:val="single" w:color="000000" w:sz="4" w:space="0"/>
            </w:tcBorders>
            <w:shd w:val="clear" w:color="auto" w:fill="auto"/>
            <w:noWrap/>
            <w:vAlign w:val="center"/>
          </w:tcPr>
          <w:p w14:paraId="25EBB4FC">
            <w:pPr>
              <w:widowControl/>
              <w:jc w:val="center"/>
              <w:textAlignment w:val="center"/>
              <w:rPr>
                <w:color w:val="auto"/>
                <w:highlight w:val="none"/>
              </w:rPr>
            </w:pPr>
            <w:r>
              <w:rPr>
                <w:rFonts w:hint="eastAsia"/>
                <w:color w:val="auto"/>
                <w:highlight w:val="none"/>
              </w:rPr>
              <w:t>35</w:t>
            </w:r>
          </w:p>
        </w:tc>
        <w:tc>
          <w:tcPr>
            <w:tcW w:w="1016" w:type="dxa"/>
            <w:tcBorders>
              <w:top w:val="single" w:color="000000" w:sz="4" w:space="0"/>
              <w:left w:val="single" w:color="000000" w:sz="4" w:space="0"/>
              <w:bottom w:val="nil"/>
              <w:right w:val="single" w:color="000000" w:sz="4" w:space="0"/>
            </w:tcBorders>
            <w:shd w:val="clear" w:color="auto" w:fill="auto"/>
            <w:noWrap/>
            <w:vAlign w:val="center"/>
          </w:tcPr>
          <w:p w14:paraId="4C4EA2E1">
            <w:pPr>
              <w:widowControl/>
              <w:jc w:val="center"/>
              <w:textAlignment w:val="center"/>
              <w:rPr>
                <w:color w:val="auto"/>
                <w:highlight w:val="none"/>
              </w:rPr>
            </w:pPr>
            <w:r>
              <w:rPr>
                <w:rFonts w:hint="eastAsia"/>
                <w:color w:val="auto"/>
                <w:highlight w:val="none"/>
                <w:lang w:val="en-US"/>
              </w:rPr>
              <w:t>插排</w:t>
            </w:r>
          </w:p>
        </w:tc>
        <w:tc>
          <w:tcPr>
            <w:tcW w:w="4422" w:type="dxa"/>
            <w:tcBorders>
              <w:top w:val="single" w:color="000000" w:sz="4" w:space="0"/>
              <w:left w:val="single" w:color="000000" w:sz="4" w:space="0"/>
              <w:bottom w:val="nil"/>
              <w:right w:val="single" w:color="000000" w:sz="4" w:space="0"/>
            </w:tcBorders>
            <w:shd w:val="clear" w:color="auto" w:fill="auto"/>
            <w:vAlign w:val="center"/>
          </w:tcPr>
          <w:p w14:paraId="6C7429A7">
            <w:pPr>
              <w:widowControl/>
              <w:textAlignment w:val="center"/>
              <w:rPr>
                <w:color w:val="auto"/>
                <w:highlight w:val="none"/>
                <w:lang w:val="en-US"/>
              </w:rPr>
            </w:pPr>
            <w:r>
              <w:rPr>
                <w:rFonts w:hint="eastAsia"/>
                <w:color w:val="auto"/>
                <w:highlight w:val="none"/>
                <w:lang w:val="en-US"/>
              </w:rPr>
              <w:t>国标  3位无线插排</w:t>
            </w:r>
          </w:p>
        </w:tc>
        <w:tc>
          <w:tcPr>
            <w:tcW w:w="997" w:type="dxa"/>
            <w:tcBorders>
              <w:top w:val="single" w:color="000000" w:sz="4" w:space="0"/>
              <w:left w:val="single" w:color="000000" w:sz="4" w:space="0"/>
              <w:bottom w:val="nil"/>
              <w:right w:val="single" w:color="000000" w:sz="4" w:space="0"/>
            </w:tcBorders>
            <w:shd w:val="clear" w:color="auto" w:fill="auto"/>
            <w:noWrap/>
            <w:vAlign w:val="center"/>
          </w:tcPr>
          <w:p w14:paraId="5DFFFAF4">
            <w:pPr>
              <w:widowControl/>
              <w:jc w:val="center"/>
              <w:textAlignment w:val="center"/>
              <w:rPr>
                <w:color w:val="auto"/>
                <w:highlight w:val="none"/>
              </w:rPr>
            </w:pPr>
            <w:r>
              <w:rPr>
                <w:rFonts w:hint="eastAsia"/>
                <w:color w:val="auto"/>
                <w:highlight w:val="none"/>
                <w:lang w:val="en-US"/>
              </w:rPr>
              <w:t>个</w:t>
            </w:r>
          </w:p>
        </w:tc>
        <w:tc>
          <w:tcPr>
            <w:tcW w:w="1222" w:type="dxa"/>
            <w:tcBorders>
              <w:top w:val="single" w:color="000000" w:sz="4" w:space="0"/>
              <w:left w:val="single" w:color="000000" w:sz="4" w:space="0"/>
              <w:bottom w:val="nil"/>
              <w:right w:val="single" w:color="000000" w:sz="4" w:space="0"/>
            </w:tcBorders>
            <w:shd w:val="clear" w:color="auto" w:fill="auto"/>
            <w:vAlign w:val="center"/>
          </w:tcPr>
          <w:p w14:paraId="10398393">
            <w:pPr>
              <w:widowControl/>
              <w:jc w:val="center"/>
              <w:textAlignment w:val="center"/>
              <w:rPr>
                <w:color w:val="auto"/>
                <w:highlight w:val="none"/>
              </w:rPr>
            </w:pPr>
            <w:r>
              <w:rPr>
                <w:rFonts w:hint="eastAsia"/>
                <w:color w:val="auto"/>
                <w:highlight w:val="none"/>
              </w:rPr>
              <w:t>20</w:t>
            </w:r>
          </w:p>
        </w:tc>
        <w:tc>
          <w:tcPr>
            <w:tcW w:w="877" w:type="dxa"/>
            <w:tcBorders>
              <w:top w:val="single" w:color="000000" w:sz="4" w:space="0"/>
              <w:left w:val="single" w:color="000000" w:sz="4" w:space="0"/>
              <w:bottom w:val="nil"/>
              <w:right w:val="single" w:color="000000" w:sz="4" w:space="0"/>
            </w:tcBorders>
            <w:shd w:val="clear" w:color="auto" w:fill="auto"/>
            <w:noWrap/>
            <w:vAlign w:val="center"/>
          </w:tcPr>
          <w:p w14:paraId="558E13AB">
            <w:pPr>
              <w:jc w:val="center"/>
              <w:rPr>
                <w:color w:val="auto"/>
                <w:highlight w:val="none"/>
              </w:rPr>
            </w:pPr>
          </w:p>
        </w:tc>
      </w:tr>
      <w:tr w14:paraId="639DD419">
        <w:tblPrEx>
          <w:tblCellMar>
            <w:top w:w="0" w:type="dxa"/>
            <w:left w:w="108" w:type="dxa"/>
            <w:bottom w:w="0" w:type="dxa"/>
            <w:right w:w="108" w:type="dxa"/>
          </w:tblCellMar>
        </w:tblPrEx>
        <w:trPr>
          <w:trHeight w:val="600" w:hRule="atLeast"/>
          <w:jc w:val="center"/>
        </w:trPr>
        <w:tc>
          <w:tcPr>
            <w:tcW w:w="943" w:type="dxa"/>
            <w:tcBorders>
              <w:top w:val="nil"/>
              <w:left w:val="single" w:color="000000" w:sz="4" w:space="0"/>
              <w:bottom w:val="single" w:color="000000" w:sz="4" w:space="0"/>
              <w:right w:val="single" w:color="000000" w:sz="4" w:space="0"/>
            </w:tcBorders>
            <w:shd w:val="clear" w:color="auto" w:fill="auto"/>
            <w:noWrap/>
            <w:vAlign w:val="center"/>
          </w:tcPr>
          <w:p w14:paraId="6364641C">
            <w:pPr>
              <w:widowControl/>
              <w:jc w:val="center"/>
              <w:textAlignment w:val="center"/>
              <w:rPr>
                <w:color w:val="auto"/>
                <w:highlight w:val="none"/>
              </w:rPr>
            </w:pPr>
            <w:r>
              <w:rPr>
                <w:rFonts w:hint="eastAsia"/>
                <w:color w:val="auto"/>
                <w:highlight w:val="none"/>
              </w:rPr>
              <w:t>36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1676">
            <w:pPr>
              <w:widowControl/>
              <w:jc w:val="center"/>
              <w:textAlignment w:val="center"/>
              <w:rPr>
                <w:color w:val="auto"/>
                <w:highlight w:val="none"/>
              </w:rPr>
            </w:pPr>
            <w:r>
              <w:rPr>
                <w:rFonts w:hint="eastAsia"/>
                <w:color w:val="auto"/>
                <w:highlight w:val="none"/>
              </w:rPr>
              <w:t>挖沟</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2A51">
            <w:pPr>
              <w:widowControl/>
              <w:textAlignment w:val="center"/>
              <w:rPr>
                <w:color w:val="auto"/>
                <w:highlight w:val="none"/>
              </w:rPr>
            </w:pPr>
            <w:r>
              <w:rPr>
                <w:rFonts w:hint="eastAsia"/>
                <w:color w:val="auto"/>
                <w:highlight w:val="none"/>
                <w:lang w:val="en-US"/>
              </w:rPr>
              <w:t>根据现场情况，开挖线缆沟，进行敷设、恢复</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7063">
            <w:pPr>
              <w:widowControl/>
              <w:jc w:val="center"/>
              <w:textAlignment w:val="center"/>
              <w:rPr>
                <w:color w:val="auto"/>
                <w:highlight w:val="none"/>
              </w:rPr>
            </w:pPr>
            <w:r>
              <w:rPr>
                <w:rFonts w:hint="eastAsia"/>
                <w:color w:val="auto"/>
                <w:highlight w:val="none"/>
              </w:rPr>
              <w:t>米</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7DEB">
            <w:pPr>
              <w:widowControl/>
              <w:jc w:val="center"/>
              <w:textAlignment w:val="center"/>
              <w:rPr>
                <w:color w:val="auto"/>
                <w:highlight w:val="none"/>
              </w:rPr>
            </w:pPr>
            <w:r>
              <w:rPr>
                <w:rFonts w:hint="eastAsia"/>
                <w:color w:val="auto"/>
                <w:highlight w:val="none"/>
              </w:rPr>
              <w:t>1000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5A03">
            <w:pPr>
              <w:jc w:val="center"/>
              <w:rPr>
                <w:color w:val="auto"/>
                <w:highlight w:val="none"/>
              </w:rPr>
            </w:pPr>
          </w:p>
        </w:tc>
      </w:tr>
      <w:tr w14:paraId="7B81A179">
        <w:tblPrEx>
          <w:tblCellMar>
            <w:top w:w="0" w:type="dxa"/>
            <w:left w:w="108" w:type="dxa"/>
            <w:bottom w:w="0" w:type="dxa"/>
            <w:right w:w="108" w:type="dxa"/>
          </w:tblCellMar>
        </w:tblPrEx>
        <w:trPr>
          <w:trHeight w:val="600" w:hRule="atLeast"/>
          <w:jc w:val="center"/>
        </w:trPr>
        <w:tc>
          <w:tcPr>
            <w:tcW w:w="943" w:type="dxa"/>
            <w:tcBorders>
              <w:top w:val="nil"/>
              <w:left w:val="single" w:color="000000" w:sz="4" w:space="0"/>
              <w:bottom w:val="single" w:color="000000" w:sz="4" w:space="0"/>
              <w:right w:val="single" w:color="000000" w:sz="4" w:space="0"/>
            </w:tcBorders>
            <w:shd w:val="clear" w:color="auto" w:fill="auto"/>
            <w:noWrap/>
            <w:vAlign w:val="center"/>
          </w:tcPr>
          <w:p w14:paraId="27A15FFA">
            <w:pPr>
              <w:widowControl/>
              <w:jc w:val="center"/>
              <w:textAlignment w:val="center"/>
              <w:rPr>
                <w:color w:val="auto"/>
                <w:highlight w:val="none"/>
              </w:rPr>
            </w:pPr>
            <w:r>
              <w:rPr>
                <w:rFonts w:hint="eastAsia"/>
                <w:color w:val="auto"/>
                <w:highlight w:val="none"/>
              </w:rPr>
              <w:t>37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57AE">
            <w:pPr>
              <w:widowControl/>
              <w:jc w:val="center"/>
              <w:textAlignment w:val="center"/>
              <w:rPr>
                <w:color w:val="auto"/>
                <w:highlight w:val="none"/>
              </w:rPr>
            </w:pPr>
            <w:r>
              <w:rPr>
                <w:rFonts w:hint="eastAsia"/>
                <w:color w:val="auto"/>
                <w:highlight w:val="none"/>
              </w:rPr>
              <w:t>系统调试</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BF4F">
            <w:pPr>
              <w:widowControl/>
              <w:textAlignment w:val="center"/>
              <w:rPr>
                <w:color w:val="auto"/>
                <w:highlight w:val="none"/>
              </w:rPr>
            </w:pPr>
            <w:r>
              <w:rPr>
                <w:color w:val="auto"/>
                <w:highlight w:val="none"/>
                <w:lang w:val="en-US"/>
              </w:rPr>
              <w:t>★</w:t>
            </w:r>
            <w:r>
              <w:rPr>
                <w:rFonts w:hint="eastAsia"/>
                <w:color w:val="auto"/>
                <w:highlight w:val="none"/>
                <w:lang w:val="en-US"/>
              </w:rPr>
              <w:t>整体系统设备调试接入，为保证系统的稳定性及兼容性，本次建设的项目需与原系统平台无缝对接。</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FDA3">
            <w:pPr>
              <w:widowControl/>
              <w:jc w:val="center"/>
              <w:textAlignment w:val="center"/>
              <w:rPr>
                <w:color w:val="auto"/>
                <w:highlight w:val="none"/>
              </w:rPr>
            </w:pPr>
            <w:r>
              <w:rPr>
                <w:rFonts w:hint="eastAsia"/>
                <w:color w:val="auto"/>
                <w:highlight w:val="none"/>
              </w:rPr>
              <w:t>项</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BE1D">
            <w:pPr>
              <w:widowControl/>
              <w:jc w:val="center"/>
              <w:textAlignment w:val="center"/>
              <w:rPr>
                <w:color w:val="auto"/>
                <w:highlight w:val="none"/>
              </w:rPr>
            </w:pPr>
            <w:r>
              <w:rPr>
                <w:rFonts w:hint="eastAsia"/>
                <w:color w:val="auto"/>
                <w:highlight w:val="none"/>
              </w:rPr>
              <w:t>1</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4E58">
            <w:pPr>
              <w:jc w:val="center"/>
              <w:rPr>
                <w:color w:val="auto"/>
                <w:highlight w:val="none"/>
              </w:rPr>
            </w:pPr>
          </w:p>
        </w:tc>
      </w:tr>
      <w:tr w14:paraId="349A4C6B">
        <w:tblPrEx>
          <w:tblCellMar>
            <w:top w:w="0" w:type="dxa"/>
            <w:left w:w="108" w:type="dxa"/>
            <w:bottom w:w="0" w:type="dxa"/>
            <w:right w:w="108" w:type="dxa"/>
          </w:tblCellMar>
        </w:tblPrEx>
        <w:trPr>
          <w:trHeight w:val="760" w:hRule="atLeast"/>
          <w:jc w:val="center"/>
        </w:trPr>
        <w:tc>
          <w:tcPr>
            <w:tcW w:w="947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F684">
            <w:pPr>
              <w:widowControl/>
              <w:textAlignment w:val="center"/>
              <w:rPr>
                <w:b/>
                <w:bCs/>
                <w:color w:val="auto"/>
                <w:highlight w:val="none"/>
              </w:rPr>
            </w:pPr>
            <w:r>
              <w:rPr>
                <w:rFonts w:hint="eastAsia"/>
                <w:b/>
                <w:bCs/>
                <w:color w:val="auto"/>
                <w:highlight w:val="none"/>
              </w:rPr>
              <w:t>三、大屏改造部分</w:t>
            </w:r>
          </w:p>
        </w:tc>
      </w:tr>
      <w:tr w14:paraId="223282D7">
        <w:tblPrEx>
          <w:tblCellMar>
            <w:top w:w="0" w:type="dxa"/>
            <w:left w:w="108" w:type="dxa"/>
            <w:bottom w:w="0" w:type="dxa"/>
            <w:right w:w="108" w:type="dxa"/>
          </w:tblCellMar>
        </w:tblPrEx>
        <w:trPr>
          <w:trHeight w:val="520"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C7C8">
            <w:pPr>
              <w:widowControl/>
              <w:jc w:val="center"/>
              <w:textAlignment w:val="center"/>
              <w:rPr>
                <w:color w:val="auto"/>
                <w:highlight w:val="none"/>
              </w:rPr>
            </w:pPr>
            <w:r>
              <w:rPr>
                <w:rFonts w:hint="eastAsia"/>
                <w:color w:val="auto"/>
                <w:highlight w:val="none"/>
              </w:rPr>
              <w:t>38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A3FD">
            <w:pPr>
              <w:widowControl/>
              <w:jc w:val="center"/>
              <w:textAlignment w:val="center"/>
              <w:rPr>
                <w:color w:val="auto"/>
                <w:highlight w:val="none"/>
              </w:rPr>
            </w:pPr>
            <w:r>
              <w:rPr>
                <w:rFonts w:hint="eastAsia"/>
                <w:color w:val="auto"/>
                <w:highlight w:val="none"/>
              </w:rPr>
              <w:t>拼接屏</w:t>
            </w:r>
          </w:p>
        </w:tc>
        <w:tc>
          <w:tcPr>
            <w:tcW w:w="4422" w:type="dxa"/>
            <w:tcBorders>
              <w:top w:val="single" w:color="000000" w:sz="4" w:space="0"/>
              <w:left w:val="single" w:color="000000" w:sz="4" w:space="0"/>
              <w:bottom w:val="nil"/>
              <w:right w:val="single" w:color="000000" w:sz="4" w:space="0"/>
            </w:tcBorders>
            <w:shd w:val="clear" w:color="auto" w:fill="auto"/>
            <w:vAlign w:val="center"/>
          </w:tcPr>
          <w:p w14:paraId="4B628565">
            <w:pPr>
              <w:widowControl/>
              <w:textAlignment w:val="center"/>
              <w:rPr>
                <w:color w:val="auto"/>
                <w:highlight w:val="none"/>
              </w:rPr>
            </w:pPr>
            <w:r>
              <w:rPr>
                <w:rFonts w:hint="eastAsia"/>
                <w:color w:val="auto"/>
                <w:highlight w:val="none"/>
              </w:rPr>
              <w:t>显示尺寸 55 inch 屏幕可视区域 1209.6 (H) mm × 680.4 (V) mm 背光源类型 LED直下式背光源像素间距 0.63 mm 物理拼缝 3.5 mm 边框宽度 2.3 mm(左/上)，1.2 mm(右/下) 物理分辨率 1920 × 1080@60 Hz（向下兼容）亮度 500 cd/m² 可视角 178°(水平)/ 178°(垂直) 色深度 8 bit, 16.7 M 对比度 1200:1 响应时间 7.5 ms (G to G) 色域 72% NTSC 表面处理 Haze 25% 接口参数音视频输入接口 HDMI × 1, DVI × 1, VGA × 1, USB × 1 音视频输出接口 无控制接口 RS232 IN × 1, RS232 OUT × 1 电源参数电源 110～240 VAC, 50/60 Hz 功耗 ≤ 180 W</w:t>
            </w:r>
          </w:p>
        </w:tc>
        <w:tc>
          <w:tcPr>
            <w:tcW w:w="997" w:type="dxa"/>
            <w:tcBorders>
              <w:top w:val="single" w:color="000000" w:sz="4" w:space="0"/>
              <w:left w:val="single" w:color="000000" w:sz="4" w:space="0"/>
              <w:bottom w:val="nil"/>
              <w:right w:val="single" w:color="000000" w:sz="4" w:space="0"/>
            </w:tcBorders>
            <w:shd w:val="clear" w:color="auto" w:fill="auto"/>
            <w:noWrap/>
            <w:vAlign w:val="center"/>
          </w:tcPr>
          <w:p w14:paraId="338E9278">
            <w:pPr>
              <w:widowControl/>
              <w:jc w:val="center"/>
              <w:textAlignment w:val="center"/>
              <w:rPr>
                <w:color w:val="auto"/>
                <w:highlight w:val="none"/>
              </w:rPr>
            </w:pPr>
            <w:r>
              <w:rPr>
                <w:rFonts w:hint="eastAsia"/>
                <w:color w:val="auto"/>
                <w:highlight w:val="none"/>
              </w:rPr>
              <w:t>台</w:t>
            </w:r>
          </w:p>
        </w:tc>
        <w:tc>
          <w:tcPr>
            <w:tcW w:w="1222" w:type="dxa"/>
            <w:tcBorders>
              <w:top w:val="single" w:color="000000" w:sz="4" w:space="0"/>
              <w:left w:val="single" w:color="000000" w:sz="4" w:space="0"/>
              <w:bottom w:val="nil"/>
              <w:right w:val="single" w:color="000000" w:sz="4" w:space="0"/>
            </w:tcBorders>
            <w:shd w:val="clear" w:color="auto" w:fill="auto"/>
            <w:noWrap/>
            <w:vAlign w:val="center"/>
          </w:tcPr>
          <w:p w14:paraId="127193BA">
            <w:pPr>
              <w:widowControl/>
              <w:jc w:val="center"/>
              <w:textAlignment w:val="center"/>
              <w:rPr>
                <w:color w:val="auto"/>
                <w:highlight w:val="none"/>
              </w:rPr>
            </w:pPr>
            <w:r>
              <w:rPr>
                <w:rFonts w:hint="eastAsia"/>
                <w:color w:val="auto"/>
                <w:highlight w:val="none"/>
              </w:rPr>
              <w:t>18</w:t>
            </w:r>
          </w:p>
        </w:tc>
        <w:tc>
          <w:tcPr>
            <w:tcW w:w="877" w:type="dxa"/>
            <w:tcBorders>
              <w:top w:val="single" w:color="000000" w:sz="4" w:space="0"/>
              <w:left w:val="single" w:color="000000" w:sz="4" w:space="0"/>
              <w:bottom w:val="nil"/>
              <w:right w:val="single" w:color="000000" w:sz="4" w:space="0"/>
            </w:tcBorders>
            <w:shd w:val="clear" w:color="auto" w:fill="auto"/>
            <w:noWrap/>
            <w:vAlign w:val="center"/>
          </w:tcPr>
          <w:p w14:paraId="465BC50F">
            <w:pPr>
              <w:rPr>
                <w:color w:val="auto"/>
                <w:highlight w:val="none"/>
              </w:rPr>
            </w:pPr>
          </w:p>
        </w:tc>
      </w:tr>
      <w:tr w14:paraId="6161DD69">
        <w:tblPrEx>
          <w:tblCellMar>
            <w:top w:w="0" w:type="dxa"/>
            <w:left w:w="108" w:type="dxa"/>
            <w:bottom w:w="0" w:type="dxa"/>
            <w:right w:w="108" w:type="dxa"/>
          </w:tblCellMar>
        </w:tblPrEx>
        <w:trPr>
          <w:trHeight w:val="600" w:hRule="atLeast"/>
          <w:jc w:val="center"/>
        </w:trPr>
        <w:tc>
          <w:tcPr>
            <w:tcW w:w="947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A5CE">
            <w:pPr>
              <w:widowControl/>
              <w:textAlignment w:val="center"/>
              <w:rPr>
                <w:b/>
                <w:bCs/>
                <w:color w:val="auto"/>
                <w:highlight w:val="none"/>
              </w:rPr>
            </w:pPr>
            <w:r>
              <w:rPr>
                <w:rFonts w:hint="eastAsia"/>
                <w:b/>
                <w:bCs/>
                <w:color w:val="auto"/>
                <w:highlight w:val="none"/>
              </w:rPr>
              <w:t>四、UPS系统供电部分</w:t>
            </w:r>
          </w:p>
        </w:tc>
      </w:tr>
      <w:tr w14:paraId="517F8C0B">
        <w:tblPrEx>
          <w:tblCellMar>
            <w:top w:w="0" w:type="dxa"/>
            <w:left w:w="108" w:type="dxa"/>
            <w:bottom w:w="0" w:type="dxa"/>
            <w:right w:w="108" w:type="dxa"/>
          </w:tblCellMar>
        </w:tblPrEx>
        <w:trPr>
          <w:trHeight w:val="720"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BD63">
            <w:pPr>
              <w:widowControl/>
              <w:jc w:val="center"/>
              <w:textAlignment w:val="center"/>
              <w:rPr>
                <w:color w:val="auto"/>
                <w:highlight w:val="none"/>
              </w:rPr>
            </w:pPr>
            <w:r>
              <w:rPr>
                <w:rFonts w:hint="eastAsia"/>
                <w:color w:val="auto"/>
                <w:highlight w:val="none"/>
              </w:rPr>
              <w:t>39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8CC97">
            <w:pPr>
              <w:widowControl/>
              <w:jc w:val="center"/>
              <w:textAlignment w:val="center"/>
              <w:rPr>
                <w:color w:val="auto"/>
                <w:highlight w:val="none"/>
              </w:rPr>
            </w:pPr>
            <w:r>
              <w:rPr>
                <w:rFonts w:hint="eastAsia"/>
                <w:color w:val="auto"/>
                <w:highlight w:val="none"/>
              </w:rPr>
              <w:t>UPS</w:t>
            </w:r>
          </w:p>
        </w:tc>
        <w:tc>
          <w:tcPr>
            <w:tcW w:w="4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D096">
            <w:pPr>
              <w:widowControl/>
              <w:textAlignment w:val="center"/>
              <w:rPr>
                <w:color w:val="auto"/>
                <w:highlight w:val="none"/>
              </w:rPr>
            </w:pPr>
            <w:r>
              <w:rPr>
                <w:rFonts w:hint="eastAsia"/>
                <w:color w:val="auto"/>
                <w:highlight w:val="none"/>
              </w:rPr>
              <w:t>容量 20KVA</w:t>
            </w:r>
            <w:r>
              <w:rPr>
                <w:rFonts w:hint="eastAsia"/>
                <w:color w:val="auto"/>
                <w:highlight w:val="none"/>
              </w:rPr>
              <w:br w:type="textWrapping"/>
            </w:r>
            <w:r>
              <w:rPr>
                <w:rFonts w:hint="eastAsia"/>
                <w:color w:val="auto"/>
                <w:highlight w:val="none"/>
              </w:rPr>
              <w:t>电压范围 304~485VAC</w:t>
            </w:r>
            <w:r>
              <w:rPr>
                <w:rFonts w:hint="eastAsia"/>
                <w:color w:val="auto"/>
                <w:highlight w:val="none"/>
              </w:rPr>
              <w:br w:type="textWrapping"/>
            </w:r>
            <w:r>
              <w:rPr>
                <w:rFonts w:hint="eastAsia"/>
                <w:color w:val="auto"/>
                <w:highlight w:val="none"/>
              </w:rPr>
              <w:t>频率范围 40Hz-70Hz</w:t>
            </w:r>
            <w:r>
              <w:rPr>
                <w:rFonts w:hint="eastAsia"/>
                <w:color w:val="auto"/>
                <w:highlight w:val="none"/>
              </w:rPr>
              <w:br w:type="textWrapping"/>
            </w:r>
            <w:r>
              <w:rPr>
                <w:rFonts w:hint="eastAsia"/>
                <w:color w:val="auto"/>
                <w:highlight w:val="none"/>
              </w:rPr>
              <w:t xml:space="preserve">输入方式 3P+N+PE </w:t>
            </w:r>
            <w:r>
              <w:rPr>
                <w:rFonts w:hint="eastAsia"/>
                <w:color w:val="auto"/>
                <w:highlight w:val="none"/>
              </w:rPr>
              <w:br w:type="textWrapping"/>
            </w:r>
            <w:r>
              <w:rPr>
                <w:rFonts w:hint="eastAsia"/>
                <w:color w:val="auto"/>
                <w:highlight w:val="none"/>
              </w:rPr>
              <w:t>THDI/ 输入谐波失真 &lt; 5% 非线性满载</w:t>
            </w:r>
            <w:r>
              <w:rPr>
                <w:rFonts w:hint="eastAsia"/>
                <w:color w:val="auto"/>
                <w:highlight w:val="none"/>
              </w:rPr>
              <w:br w:type="textWrapping"/>
            </w:r>
            <w:r>
              <w:rPr>
                <w:rFonts w:hint="eastAsia"/>
                <w:color w:val="auto"/>
                <w:highlight w:val="none"/>
              </w:rPr>
              <w:t>输入功率因数 ≥0.99</w:t>
            </w:r>
            <w:r>
              <w:rPr>
                <w:rFonts w:hint="eastAsia"/>
                <w:color w:val="auto"/>
                <w:highlight w:val="none"/>
              </w:rPr>
              <w:br w:type="textWrapping"/>
            </w:r>
            <w:r>
              <w:rPr>
                <w:rFonts w:hint="eastAsia"/>
                <w:color w:val="auto"/>
                <w:highlight w:val="none"/>
              </w:rPr>
              <w:t>额定输出电压 380/400/415VAC(线电压）</w:t>
            </w:r>
            <w:r>
              <w:rPr>
                <w:rFonts w:hint="eastAsia"/>
                <w:color w:val="auto"/>
                <w:highlight w:val="none"/>
              </w:rPr>
              <w:br w:type="textWrapping"/>
            </w:r>
            <w:r>
              <w:rPr>
                <w:rFonts w:hint="eastAsia"/>
                <w:color w:val="auto"/>
                <w:highlight w:val="none"/>
              </w:rPr>
              <w:t>输出精度 ±1%</w:t>
            </w:r>
            <w:r>
              <w:rPr>
                <w:rFonts w:hint="eastAsia"/>
                <w:color w:val="auto"/>
                <w:highlight w:val="none"/>
              </w:rPr>
              <w:br w:type="textWrapping"/>
            </w:r>
            <w:r>
              <w:rPr>
                <w:rFonts w:hint="eastAsia"/>
                <w:color w:val="auto"/>
                <w:highlight w:val="none"/>
              </w:rPr>
              <w:t>输出频率 50/60Hz±0.2Hz</w:t>
            </w:r>
            <w:r>
              <w:rPr>
                <w:rFonts w:hint="eastAsia"/>
                <w:color w:val="auto"/>
                <w:highlight w:val="none"/>
              </w:rPr>
              <w:br w:type="textWrapping"/>
            </w:r>
            <w:r>
              <w:rPr>
                <w:rFonts w:hint="eastAsia"/>
                <w:color w:val="auto"/>
                <w:highlight w:val="none"/>
              </w:rPr>
              <w:t>所需电池电压 ±240VDC(30-50节）</w:t>
            </w:r>
            <w:r>
              <w:rPr>
                <w:rFonts w:hint="eastAsia"/>
                <w:color w:val="auto"/>
                <w:highlight w:val="none"/>
              </w:rPr>
              <w:br w:type="textWrapping"/>
            </w:r>
            <w:r>
              <w:rPr>
                <w:rFonts w:hint="eastAsia"/>
                <w:color w:val="auto"/>
                <w:highlight w:val="none"/>
              </w:rPr>
              <w:t>液晶显示 负载 / 电量 / 输入 / 输出 / 运行模式</w:t>
            </w:r>
            <w:r>
              <w:rPr>
                <w:rFonts w:hint="eastAsia"/>
                <w:color w:val="auto"/>
                <w:highlight w:val="none"/>
              </w:rPr>
              <w:br w:type="textWrapping"/>
            </w:r>
            <w:r>
              <w:rPr>
                <w:rFonts w:hint="eastAsia"/>
                <w:color w:val="auto"/>
                <w:highlight w:val="none"/>
              </w:rPr>
              <w:t>用作机房设备、安防监控设备备用供电使用。</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7EF5">
            <w:pPr>
              <w:widowControl/>
              <w:jc w:val="center"/>
              <w:textAlignment w:val="center"/>
              <w:rPr>
                <w:color w:val="auto"/>
                <w:highlight w:val="none"/>
              </w:rPr>
            </w:pPr>
            <w:r>
              <w:rPr>
                <w:rFonts w:hint="eastAsia"/>
                <w:color w:val="auto"/>
                <w:highlight w:val="none"/>
              </w:rPr>
              <w:t>台</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C9FB">
            <w:pPr>
              <w:widowControl/>
              <w:jc w:val="center"/>
              <w:textAlignment w:val="center"/>
              <w:rPr>
                <w:color w:val="auto"/>
                <w:highlight w:val="none"/>
              </w:rPr>
            </w:pPr>
            <w:r>
              <w:rPr>
                <w:rFonts w:hint="eastAsia"/>
                <w:color w:val="auto"/>
                <w:highlight w:val="none"/>
              </w:rPr>
              <w:t>2</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EDF7">
            <w:pPr>
              <w:rPr>
                <w:color w:val="auto"/>
                <w:highlight w:val="none"/>
              </w:rPr>
            </w:pPr>
          </w:p>
        </w:tc>
      </w:tr>
      <w:tr w14:paraId="79BC82D5">
        <w:tblPrEx>
          <w:tblCellMar>
            <w:top w:w="0" w:type="dxa"/>
            <w:left w:w="108" w:type="dxa"/>
            <w:bottom w:w="0" w:type="dxa"/>
            <w:right w:w="108" w:type="dxa"/>
          </w:tblCellMar>
        </w:tblPrEx>
        <w:trPr>
          <w:trHeight w:val="720"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293D">
            <w:pPr>
              <w:widowControl/>
              <w:jc w:val="center"/>
              <w:textAlignment w:val="center"/>
              <w:rPr>
                <w:color w:val="auto"/>
                <w:highlight w:val="none"/>
              </w:rPr>
            </w:pPr>
            <w:r>
              <w:rPr>
                <w:rFonts w:hint="eastAsia"/>
                <w:color w:val="auto"/>
                <w:highlight w:val="none"/>
              </w:rPr>
              <w:t>40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57B8">
            <w:pPr>
              <w:widowControl/>
              <w:jc w:val="center"/>
              <w:textAlignment w:val="center"/>
              <w:rPr>
                <w:color w:val="auto"/>
                <w:highlight w:val="none"/>
              </w:rPr>
            </w:pPr>
            <w:r>
              <w:rPr>
                <w:rFonts w:hint="eastAsia"/>
                <w:color w:val="auto"/>
                <w:highlight w:val="none"/>
              </w:rPr>
              <w:t>蓄电池</w:t>
            </w:r>
          </w:p>
        </w:tc>
        <w:tc>
          <w:tcPr>
            <w:tcW w:w="4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6CCA">
            <w:pPr>
              <w:widowControl/>
              <w:textAlignment w:val="center"/>
              <w:rPr>
                <w:color w:val="auto"/>
                <w:highlight w:val="none"/>
              </w:rPr>
            </w:pPr>
            <w:r>
              <w:rPr>
                <w:rFonts w:hint="eastAsia"/>
                <w:color w:val="auto"/>
                <w:highlight w:val="none"/>
              </w:rPr>
              <w:t>标准电压 12V</w:t>
            </w:r>
            <w:r>
              <w:rPr>
                <w:rFonts w:hint="eastAsia"/>
                <w:color w:val="auto"/>
                <w:highlight w:val="none"/>
              </w:rPr>
              <w:br w:type="textWrapping"/>
            </w:r>
            <w:r>
              <w:rPr>
                <w:rFonts w:hint="eastAsia"/>
                <w:color w:val="auto"/>
                <w:highlight w:val="none"/>
              </w:rPr>
              <w:t>容量 100AH</w:t>
            </w:r>
            <w:r>
              <w:rPr>
                <w:rFonts w:hint="eastAsia"/>
                <w:color w:val="auto"/>
                <w:highlight w:val="none"/>
              </w:rPr>
              <w:br w:type="textWrapping"/>
            </w:r>
            <w:r>
              <w:rPr>
                <w:rFonts w:hint="eastAsia"/>
                <w:color w:val="auto"/>
                <w:highlight w:val="none"/>
              </w:rPr>
              <w:t>内阻≤6.0mΩ</w:t>
            </w:r>
            <w:r>
              <w:rPr>
                <w:rFonts w:hint="eastAsia"/>
                <w:color w:val="auto"/>
                <w:highlight w:val="none"/>
              </w:rPr>
              <w:br w:type="textWrapping"/>
            </w:r>
            <w:r>
              <w:rPr>
                <w:rFonts w:hint="eastAsia"/>
                <w:color w:val="auto"/>
                <w:highlight w:val="none"/>
              </w:rPr>
              <w:t>充放电性能高，自放电控制在每个月2%以下</w:t>
            </w:r>
            <w:r>
              <w:rPr>
                <w:rFonts w:hint="eastAsia"/>
                <w:color w:val="auto"/>
                <w:highlight w:val="none"/>
              </w:rPr>
              <w:br w:type="textWrapping"/>
            </w:r>
            <w:r>
              <w:rPr>
                <w:rFonts w:hint="eastAsia"/>
                <w:color w:val="auto"/>
                <w:highlight w:val="none"/>
              </w:rPr>
              <w:t>使用温度-40℃～50℃</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A5AF">
            <w:pPr>
              <w:widowControl/>
              <w:jc w:val="center"/>
              <w:textAlignment w:val="center"/>
              <w:rPr>
                <w:color w:val="auto"/>
                <w:highlight w:val="none"/>
              </w:rPr>
            </w:pPr>
            <w:r>
              <w:rPr>
                <w:rFonts w:hint="eastAsia"/>
                <w:color w:val="auto"/>
                <w:highlight w:val="none"/>
              </w:rPr>
              <w:t>只</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BAF0">
            <w:pPr>
              <w:widowControl/>
              <w:jc w:val="center"/>
              <w:textAlignment w:val="center"/>
              <w:rPr>
                <w:color w:val="auto"/>
                <w:highlight w:val="none"/>
              </w:rPr>
            </w:pPr>
            <w:r>
              <w:rPr>
                <w:rFonts w:hint="eastAsia"/>
                <w:color w:val="auto"/>
                <w:highlight w:val="none"/>
              </w:rPr>
              <w:t>160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015C">
            <w:pPr>
              <w:rPr>
                <w:color w:val="auto"/>
                <w:highlight w:val="none"/>
              </w:rPr>
            </w:pPr>
          </w:p>
        </w:tc>
      </w:tr>
      <w:tr w14:paraId="3503BFEE">
        <w:tblPrEx>
          <w:tblCellMar>
            <w:top w:w="0" w:type="dxa"/>
            <w:left w:w="108" w:type="dxa"/>
            <w:bottom w:w="0" w:type="dxa"/>
            <w:right w:w="108" w:type="dxa"/>
          </w:tblCellMar>
        </w:tblPrEx>
        <w:trPr>
          <w:trHeight w:val="720"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DDBF">
            <w:pPr>
              <w:widowControl/>
              <w:jc w:val="center"/>
              <w:textAlignment w:val="center"/>
              <w:rPr>
                <w:color w:val="auto"/>
                <w:highlight w:val="none"/>
              </w:rPr>
            </w:pPr>
            <w:r>
              <w:rPr>
                <w:rFonts w:hint="eastAsia"/>
                <w:color w:val="auto"/>
                <w:highlight w:val="none"/>
              </w:rPr>
              <w:t>41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63CA">
            <w:pPr>
              <w:widowControl/>
              <w:jc w:val="center"/>
              <w:textAlignment w:val="center"/>
              <w:rPr>
                <w:color w:val="auto"/>
                <w:highlight w:val="none"/>
              </w:rPr>
            </w:pPr>
            <w:r>
              <w:rPr>
                <w:rFonts w:hint="eastAsia"/>
                <w:color w:val="auto"/>
                <w:highlight w:val="none"/>
              </w:rPr>
              <w:t>技术服务</w:t>
            </w:r>
          </w:p>
        </w:tc>
        <w:tc>
          <w:tcPr>
            <w:tcW w:w="4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F081">
            <w:pPr>
              <w:widowControl/>
              <w:textAlignment w:val="center"/>
              <w:rPr>
                <w:color w:val="auto"/>
                <w:highlight w:val="none"/>
                <w:lang w:val="en-US"/>
              </w:rPr>
            </w:pPr>
            <w:r>
              <w:rPr>
                <w:rFonts w:hint="eastAsia"/>
                <w:iCs/>
                <w:color w:val="auto"/>
                <w:highlight w:val="none"/>
                <w:lang w:val="en-US"/>
              </w:rPr>
              <w:t>安装调试完毕</w:t>
            </w:r>
            <w:r>
              <w:rPr>
                <w:rFonts w:hint="eastAsia"/>
                <w:color w:val="auto"/>
                <w:highlight w:val="none"/>
              </w:rPr>
              <w:t>一年内至少一人驻场服务，</w:t>
            </w:r>
            <w:r>
              <w:rPr>
                <w:rFonts w:hint="eastAsia"/>
                <w:color w:val="auto"/>
                <w:highlight w:val="none"/>
                <w:lang w:val="en-US"/>
              </w:rPr>
              <w:t>保证采购人正确地使用和管理本次采购设备。</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83F1">
            <w:pPr>
              <w:widowControl/>
              <w:jc w:val="center"/>
              <w:textAlignment w:val="center"/>
              <w:rPr>
                <w:color w:val="auto"/>
                <w:highlight w:val="none"/>
              </w:rPr>
            </w:pPr>
            <w:r>
              <w:rPr>
                <w:rFonts w:hint="eastAsia"/>
                <w:color w:val="auto"/>
                <w:highlight w:val="none"/>
              </w:rPr>
              <w:t>项</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8B4D">
            <w:pPr>
              <w:widowControl/>
              <w:jc w:val="center"/>
              <w:textAlignment w:val="center"/>
              <w:rPr>
                <w:color w:val="auto"/>
                <w:highlight w:val="none"/>
              </w:rPr>
            </w:pPr>
            <w:r>
              <w:rPr>
                <w:rFonts w:hint="eastAsia"/>
                <w:color w:val="auto"/>
                <w:highlight w:val="none"/>
              </w:rPr>
              <w:t>1</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31CF">
            <w:pPr>
              <w:rPr>
                <w:color w:val="auto"/>
                <w:highlight w:val="none"/>
              </w:rPr>
            </w:pPr>
          </w:p>
        </w:tc>
      </w:tr>
      <w:bookmarkEnd w:id="220"/>
      <w:bookmarkEnd w:id="221"/>
    </w:tbl>
    <w:p w14:paraId="3773442D">
      <w:pPr>
        <w:spacing w:beforeLines="50" w:afterLines="50"/>
        <w:rPr>
          <w:color w:val="auto"/>
          <w:sz w:val="24"/>
          <w:highlight w:val="none"/>
        </w:rPr>
      </w:pPr>
      <w:r>
        <w:rPr>
          <w:rFonts w:hint="eastAsia"/>
          <w:color w:val="auto"/>
          <w:sz w:val="24"/>
          <w:szCs w:val="24"/>
          <w:highlight w:val="none"/>
        </w:rPr>
        <w:t>注：本项目核心产品为：室内彩色半球摄像机</w:t>
      </w:r>
    </w:p>
    <w:p w14:paraId="6627F18B">
      <w:pPr>
        <w:spacing w:beforeLines="50" w:afterLines="50"/>
        <w:rPr>
          <w:color w:val="auto"/>
          <w:sz w:val="24"/>
          <w:highlight w:val="none"/>
        </w:rPr>
      </w:pPr>
      <w:r>
        <w:rPr>
          <w:rFonts w:hint="eastAsia"/>
          <w:color w:val="auto"/>
          <w:sz w:val="24"/>
          <w:szCs w:val="24"/>
          <w:highlight w:val="none"/>
        </w:rPr>
        <w:t>售后服务要求：</w:t>
      </w:r>
    </w:p>
    <w:p w14:paraId="5C6E122F">
      <w:pPr>
        <w:spacing w:beforeLines="50" w:afterLines="50"/>
        <w:rPr>
          <w:color w:val="auto"/>
          <w:sz w:val="24"/>
          <w:highlight w:val="none"/>
        </w:rPr>
      </w:pPr>
      <w:r>
        <w:rPr>
          <w:rFonts w:hint="eastAsia"/>
          <w:color w:val="auto"/>
          <w:sz w:val="24"/>
          <w:szCs w:val="24"/>
          <w:highlight w:val="none"/>
        </w:rPr>
        <w:t>1、售后服务：接到采购人故障申报后，在0.5小时内给予实质性响应，提出解决办法或应急措施。保证2小时内到达现场并解决一般故障问题，其余故障原则上在</w:t>
      </w:r>
      <w:r>
        <w:rPr>
          <w:color w:val="auto"/>
          <w:sz w:val="24"/>
          <w:szCs w:val="24"/>
          <w:highlight w:val="none"/>
        </w:rPr>
        <w:t>24</w:t>
      </w:r>
      <w:r>
        <w:rPr>
          <w:rFonts w:hint="eastAsia"/>
          <w:color w:val="auto"/>
          <w:sz w:val="24"/>
          <w:szCs w:val="24"/>
          <w:highlight w:val="none"/>
        </w:rPr>
        <w:t>小时内解决。</w:t>
      </w:r>
    </w:p>
    <w:p w14:paraId="3EE7BDA6">
      <w:pPr>
        <w:spacing w:beforeLines="50" w:afterLines="50"/>
        <w:rPr>
          <w:color w:val="auto"/>
          <w:sz w:val="24"/>
          <w:highlight w:val="none"/>
        </w:rPr>
      </w:pPr>
      <w:r>
        <w:rPr>
          <w:rFonts w:hint="eastAsia"/>
          <w:color w:val="auto"/>
          <w:sz w:val="24"/>
          <w:szCs w:val="24"/>
          <w:highlight w:val="none"/>
        </w:rPr>
        <w:t>2、响应级别：7天*</w:t>
      </w:r>
      <w:r>
        <w:rPr>
          <w:color w:val="auto"/>
          <w:sz w:val="24"/>
          <w:szCs w:val="24"/>
          <w:highlight w:val="none"/>
        </w:rPr>
        <w:t>24</w:t>
      </w:r>
      <w:r>
        <w:rPr>
          <w:rFonts w:hint="eastAsia"/>
          <w:color w:val="auto"/>
          <w:sz w:val="24"/>
          <w:szCs w:val="24"/>
          <w:highlight w:val="none"/>
        </w:rPr>
        <w:t>小时。</w:t>
      </w:r>
    </w:p>
    <w:p w14:paraId="2EABFB3D">
      <w:pPr>
        <w:spacing w:beforeLines="50" w:afterLines="50"/>
        <w:rPr>
          <w:color w:val="auto"/>
          <w:sz w:val="24"/>
          <w:highlight w:val="none"/>
        </w:rPr>
      </w:pPr>
      <w:r>
        <w:rPr>
          <w:rFonts w:hint="eastAsia"/>
          <w:color w:val="auto"/>
          <w:sz w:val="24"/>
          <w:szCs w:val="24"/>
          <w:highlight w:val="none"/>
        </w:rPr>
        <w:t>3、技术培训：免费提供现场操作培训和理论培训，以保证采购人相关人员能独立、正确地使用和管理本次采购设备。</w:t>
      </w:r>
      <w:bookmarkEnd w:id="222"/>
    </w:p>
    <w:p w14:paraId="243DCA4C">
      <w:pPr>
        <w:pStyle w:val="4"/>
        <w:tabs>
          <w:tab w:val="left" w:pos="1290"/>
        </w:tabs>
        <w:ind w:firstLine="0"/>
        <w:rPr>
          <w:color w:val="auto"/>
          <w:sz w:val="21"/>
          <w:szCs w:val="21"/>
          <w:highlight w:val="none"/>
          <w:lang w:val="en-US"/>
        </w:rPr>
      </w:pPr>
      <w:r>
        <w:rPr>
          <w:color w:val="auto"/>
          <w:sz w:val="21"/>
          <w:szCs w:val="21"/>
          <w:highlight w:val="none"/>
          <w:lang w:val="en-US"/>
        </w:rPr>
        <w:tab/>
      </w:r>
    </w:p>
    <w:p w14:paraId="0EDDB04F">
      <w:pPr>
        <w:rPr>
          <w:color w:val="auto"/>
          <w:sz w:val="21"/>
          <w:szCs w:val="21"/>
          <w:highlight w:val="none"/>
          <w:lang w:val="en-US"/>
        </w:rPr>
      </w:pPr>
      <w:r>
        <w:rPr>
          <w:color w:val="auto"/>
          <w:sz w:val="21"/>
          <w:szCs w:val="21"/>
          <w:highlight w:val="none"/>
          <w:lang w:val="en-US"/>
        </w:rPr>
        <w:br w:type="page"/>
      </w:r>
    </w:p>
    <w:p w14:paraId="451C0572">
      <w:pPr>
        <w:pStyle w:val="2"/>
        <w:rPr>
          <w:color w:val="auto"/>
          <w:highlight w:val="none"/>
        </w:rPr>
      </w:pPr>
      <w:bookmarkStart w:id="223" w:name="_Toc20441"/>
      <w:bookmarkStart w:id="224" w:name="_Toc9435"/>
      <w:bookmarkStart w:id="225" w:name="_Toc32148"/>
      <w:bookmarkStart w:id="226" w:name="_Toc14761"/>
      <w:bookmarkStart w:id="227" w:name="_Toc602"/>
      <w:bookmarkStart w:id="228" w:name="_Toc3984"/>
      <w:bookmarkStart w:id="229" w:name="_Toc13802"/>
      <w:r>
        <w:rPr>
          <w:rFonts w:hint="eastAsia"/>
          <w:color w:val="auto"/>
          <w:highlight w:val="none"/>
        </w:rPr>
        <w:t>第六章 评标方法和评标标准</w:t>
      </w:r>
      <w:bookmarkEnd w:id="223"/>
      <w:bookmarkEnd w:id="224"/>
      <w:bookmarkEnd w:id="225"/>
      <w:bookmarkEnd w:id="226"/>
      <w:bookmarkEnd w:id="227"/>
      <w:bookmarkEnd w:id="228"/>
      <w:bookmarkEnd w:id="229"/>
    </w:p>
    <w:p w14:paraId="7F416EC3">
      <w:pPr>
        <w:spacing w:line="360" w:lineRule="auto"/>
        <w:ind w:firstLine="442" w:firstLineChars="200"/>
        <w:rPr>
          <w:b/>
          <w:bCs/>
          <w:color w:val="auto"/>
          <w:highlight w:val="none"/>
        </w:rPr>
      </w:pPr>
      <w:r>
        <w:rPr>
          <w:rFonts w:hint="eastAsia"/>
          <w:b/>
          <w:bCs/>
          <w:color w:val="auto"/>
          <w:highlight w:val="none"/>
        </w:rPr>
        <w:t>一、评标方法</w:t>
      </w:r>
    </w:p>
    <w:p w14:paraId="59407A83">
      <w:pPr>
        <w:spacing w:line="360" w:lineRule="auto"/>
        <w:ind w:firstLine="440" w:firstLineChars="200"/>
        <w:rPr>
          <w:color w:val="auto"/>
          <w:highlight w:val="none"/>
        </w:rPr>
      </w:pPr>
      <w:r>
        <w:rPr>
          <w:rFonts w:hint="eastAsia"/>
          <w:color w:val="auto"/>
          <w:highlight w:val="none"/>
        </w:rPr>
        <w:t>本项目的评标办法采用综合评分法，评标委员会将按照招标文件规定，仅对在实质上响应招标文件要求的投标文件进行评估和比较。</w:t>
      </w:r>
    </w:p>
    <w:p w14:paraId="0217D0BE">
      <w:pPr>
        <w:pStyle w:val="6"/>
        <w:spacing w:line="360" w:lineRule="auto"/>
        <w:ind w:firstLine="442" w:firstLineChars="200"/>
        <w:rPr>
          <w:b/>
          <w:color w:val="auto"/>
          <w:sz w:val="22"/>
          <w:szCs w:val="22"/>
          <w:highlight w:val="none"/>
        </w:rPr>
      </w:pPr>
      <w:r>
        <w:rPr>
          <w:rFonts w:hint="eastAsia"/>
          <w:b/>
          <w:color w:val="auto"/>
          <w:sz w:val="22"/>
          <w:szCs w:val="22"/>
          <w:highlight w:val="none"/>
        </w:rPr>
        <w:t>二、初步评审</w:t>
      </w:r>
    </w:p>
    <w:p w14:paraId="43F306B4">
      <w:pPr>
        <w:spacing w:line="360" w:lineRule="auto"/>
        <w:ind w:firstLine="440" w:firstLineChars="200"/>
        <w:rPr>
          <w:color w:val="auto"/>
          <w:highlight w:val="none"/>
        </w:rPr>
      </w:pPr>
      <w:r>
        <w:rPr>
          <w:rFonts w:hint="eastAsia"/>
          <w:color w:val="auto"/>
          <w:highlight w:val="none"/>
        </w:rPr>
        <w:t>1.资格审查。开标结束后，首先按照《政府采购货物和服务招标投标管理办法》（财政部第87号令）由采购人或代理机构对投标人的资格进行审查。资格审查表内容如下：</w:t>
      </w:r>
    </w:p>
    <w:tbl>
      <w:tblPr>
        <w:tblStyle w:val="18"/>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4"/>
        <w:gridCol w:w="2674"/>
        <w:gridCol w:w="4710"/>
        <w:gridCol w:w="730"/>
      </w:tblGrid>
      <w:tr w14:paraId="58FA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1264" w:type="dxa"/>
            <w:vAlign w:val="center"/>
          </w:tcPr>
          <w:p w14:paraId="29548E63">
            <w:pPr>
              <w:jc w:val="center"/>
              <w:rPr>
                <w:b/>
                <w:bCs/>
                <w:color w:val="auto"/>
                <w:highlight w:val="none"/>
              </w:rPr>
            </w:pPr>
            <w:r>
              <w:rPr>
                <w:rFonts w:hint="eastAsia"/>
                <w:b/>
                <w:bCs/>
                <w:color w:val="auto"/>
                <w:highlight w:val="none"/>
              </w:rPr>
              <w:t>条款号</w:t>
            </w:r>
          </w:p>
        </w:tc>
        <w:tc>
          <w:tcPr>
            <w:tcW w:w="2674" w:type="dxa"/>
            <w:vAlign w:val="center"/>
          </w:tcPr>
          <w:p w14:paraId="158876DA">
            <w:pPr>
              <w:jc w:val="center"/>
              <w:rPr>
                <w:b/>
                <w:bCs/>
                <w:color w:val="auto"/>
                <w:highlight w:val="none"/>
              </w:rPr>
            </w:pPr>
            <w:r>
              <w:rPr>
                <w:rFonts w:hint="eastAsia"/>
                <w:b/>
                <w:bCs/>
                <w:color w:val="auto"/>
                <w:highlight w:val="none"/>
              </w:rPr>
              <w:t>审查因素</w:t>
            </w:r>
          </w:p>
        </w:tc>
        <w:tc>
          <w:tcPr>
            <w:tcW w:w="4710" w:type="dxa"/>
            <w:vAlign w:val="center"/>
          </w:tcPr>
          <w:p w14:paraId="3CF80DD5">
            <w:pPr>
              <w:jc w:val="center"/>
              <w:rPr>
                <w:b/>
                <w:bCs/>
                <w:color w:val="auto"/>
                <w:highlight w:val="none"/>
              </w:rPr>
            </w:pPr>
            <w:r>
              <w:rPr>
                <w:rFonts w:hint="eastAsia"/>
                <w:b/>
                <w:bCs/>
                <w:color w:val="auto"/>
                <w:highlight w:val="none"/>
              </w:rPr>
              <w:t>资格审查标准</w:t>
            </w:r>
          </w:p>
        </w:tc>
        <w:tc>
          <w:tcPr>
            <w:tcW w:w="730" w:type="dxa"/>
            <w:vAlign w:val="center"/>
          </w:tcPr>
          <w:p w14:paraId="5A5B25A9">
            <w:pPr>
              <w:jc w:val="center"/>
              <w:rPr>
                <w:b/>
                <w:bCs/>
                <w:color w:val="auto"/>
                <w:highlight w:val="none"/>
              </w:rPr>
            </w:pPr>
            <w:r>
              <w:rPr>
                <w:rFonts w:hint="eastAsia"/>
                <w:b/>
                <w:bCs/>
                <w:color w:val="auto"/>
                <w:highlight w:val="none"/>
              </w:rPr>
              <w:t>备注</w:t>
            </w:r>
          </w:p>
        </w:tc>
      </w:tr>
      <w:tr w14:paraId="33BD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1264" w:type="dxa"/>
            <w:vMerge w:val="restart"/>
            <w:vAlign w:val="center"/>
          </w:tcPr>
          <w:p w14:paraId="714BEFCD">
            <w:pPr>
              <w:jc w:val="center"/>
              <w:rPr>
                <w:color w:val="auto"/>
                <w:highlight w:val="none"/>
              </w:rPr>
            </w:pPr>
            <w:r>
              <w:rPr>
                <w:rFonts w:hint="eastAsia"/>
                <w:color w:val="auto"/>
                <w:highlight w:val="none"/>
              </w:rPr>
              <w:t>资格审查</w:t>
            </w:r>
          </w:p>
        </w:tc>
        <w:tc>
          <w:tcPr>
            <w:tcW w:w="2674" w:type="dxa"/>
            <w:vAlign w:val="center"/>
          </w:tcPr>
          <w:p w14:paraId="6DFDE936">
            <w:pPr>
              <w:jc w:val="center"/>
              <w:rPr>
                <w:color w:val="auto"/>
                <w:highlight w:val="none"/>
              </w:rPr>
            </w:pPr>
            <w:r>
              <w:rPr>
                <w:rFonts w:hint="eastAsia"/>
                <w:color w:val="auto"/>
                <w:highlight w:val="none"/>
                <w:lang w:val="en-US"/>
              </w:rPr>
              <w:t>满足《中华人民共和国政府采购法》第二十二条规定</w:t>
            </w:r>
          </w:p>
        </w:tc>
        <w:tc>
          <w:tcPr>
            <w:tcW w:w="4710" w:type="dxa"/>
            <w:vAlign w:val="center"/>
          </w:tcPr>
          <w:p w14:paraId="7FE89353">
            <w:pPr>
              <w:spacing w:line="360" w:lineRule="auto"/>
              <w:ind w:hanging="6"/>
              <w:jc w:val="both"/>
              <w:rPr>
                <w:color w:val="auto"/>
                <w:highlight w:val="none"/>
                <w:lang w:val="en-US"/>
              </w:rPr>
            </w:pPr>
            <w:r>
              <w:rPr>
                <w:rFonts w:hint="eastAsia"/>
                <w:color w:val="auto"/>
                <w:highlight w:val="none"/>
                <w:lang w:val="en-US"/>
              </w:rPr>
              <w:t>满足《中华人民共和国政府采购法》第二十二条规定</w:t>
            </w:r>
            <w:r>
              <w:rPr>
                <w:rFonts w:hint="eastAsia"/>
                <w:color w:val="auto"/>
                <w:highlight w:val="none"/>
              </w:rPr>
              <w:t>；</w:t>
            </w:r>
          </w:p>
          <w:p w14:paraId="5DA3D348">
            <w:pPr>
              <w:spacing w:line="360" w:lineRule="auto"/>
              <w:ind w:left="66" w:hanging="66" w:hangingChars="30"/>
              <w:jc w:val="both"/>
              <w:rPr>
                <w:color w:val="auto"/>
                <w:highlight w:val="none"/>
              </w:rPr>
            </w:pPr>
            <w:r>
              <w:rPr>
                <w:rFonts w:hint="eastAsia"/>
                <w:color w:val="auto"/>
                <w:highlight w:val="none"/>
              </w:rPr>
              <w:t>【</w:t>
            </w:r>
            <w:r>
              <w:rPr>
                <w:rFonts w:hint="eastAsia"/>
                <w:color w:val="auto"/>
                <w:highlight w:val="none"/>
                <w:lang w:val="en-US"/>
              </w:rPr>
              <w:t>依据《郑州市财政局关于进一步提高政府采购效率优化营商环境有关事项的通知》（郑财购〔2021〕12号）文件精神，供应商如实提供书面承诺符合资格条件且无纳税、社保、重大违法等方面失信记录以及具备履行合同所必须的设备和能力的声明函（见第四章-投标文件格式-资格审查资料-表（二）资格承诺声明函）；无需提供财务状况、社保资金等证明材料，即可参与政采活动。】</w:t>
            </w:r>
          </w:p>
        </w:tc>
        <w:tc>
          <w:tcPr>
            <w:tcW w:w="730" w:type="dxa"/>
            <w:vAlign w:val="center"/>
          </w:tcPr>
          <w:p w14:paraId="73AA0853">
            <w:pPr>
              <w:jc w:val="center"/>
              <w:rPr>
                <w:color w:val="auto"/>
                <w:highlight w:val="none"/>
              </w:rPr>
            </w:pPr>
          </w:p>
        </w:tc>
      </w:tr>
      <w:tr w14:paraId="4DAC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1264" w:type="dxa"/>
            <w:vMerge w:val="continue"/>
            <w:vAlign w:val="center"/>
          </w:tcPr>
          <w:p w14:paraId="55D8DE35">
            <w:pPr>
              <w:jc w:val="center"/>
              <w:rPr>
                <w:color w:val="auto"/>
                <w:highlight w:val="none"/>
              </w:rPr>
            </w:pPr>
          </w:p>
        </w:tc>
        <w:tc>
          <w:tcPr>
            <w:tcW w:w="2674" w:type="dxa"/>
            <w:vAlign w:val="center"/>
          </w:tcPr>
          <w:p w14:paraId="632CCE60">
            <w:pPr>
              <w:jc w:val="center"/>
              <w:rPr>
                <w:color w:val="auto"/>
                <w:highlight w:val="none"/>
              </w:rPr>
            </w:pPr>
            <w:r>
              <w:rPr>
                <w:rFonts w:hint="eastAsia"/>
                <w:color w:val="auto"/>
                <w:highlight w:val="none"/>
              </w:rPr>
              <w:t>企业信用记录</w:t>
            </w:r>
          </w:p>
        </w:tc>
        <w:tc>
          <w:tcPr>
            <w:tcW w:w="4710" w:type="dxa"/>
            <w:vAlign w:val="center"/>
          </w:tcPr>
          <w:p w14:paraId="61A79E67">
            <w:pPr>
              <w:ind w:firstLine="66" w:firstLineChars="30"/>
              <w:jc w:val="both"/>
              <w:rPr>
                <w:color w:val="auto"/>
                <w:highlight w:val="none"/>
              </w:rPr>
            </w:pPr>
            <w:r>
              <w:rPr>
                <w:rFonts w:hint="eastAsia"/>
                <w:color w:val="auto"/>
                <w:highlight w:val="none"/>
              </w:rPr>
              <w:t>符合第二章“投标人须知前附表”第</w:t>
            </w:r>
            <w:r>
              <w:rPr>
                <w:rFonts w:hint="eastAsia"/>
                <w:color w:val="auto"/>
                <w:highlight w:val="none"/>
                <w:lang w:val="en-US"/>
              </w:rPr>
              <w:t>1</w:t>
            </w:r>
            <w:r>
              <w:rPr>
                <w:rFonts w:hint="eastAsia"/>
                <w:color w:val="auto"/>
                <w:highlight w:val="none"/>
              </w:rPr>
              <w:t>.</w:t>
            </w:r>
            <w:r>
              <w:rPr>
                <w:rFonts w:hint="eastAsia"/>
                <w:color w:val="auto"/>
                <w:highlight w:val="none"/>
                <w:lang w:val="en-US"/>
              </w:rPr>
              <w:t>2</w:t>
            </w:r>
            <w:r>
              <w:rPr>
                <w:rFonts w:hint="eastAsia"/>
                <w:color w:val="auto"/>
                <w:highlight w:val="none"/>
              </w:rPr>
              <w:t>.</w:t>
            </w:r>
            <w:r>
              <w:rPr>
                <w:rFonts w:hint="eastAsia"/>
                <w:color w:val="auto"/>
                <w:highlight w:val="none"/>
                <w:lang w:val="en-US"/>
              </w:rPr>
              <w:t>4</w:t>
            </w:r>
            <w:r>
              <w:rPr>
                <w:rFonts w:hint="eastAsia"/>
                <w:color w:val="auto"/>
                <w:highlight w:val="none"/>
              </w:rPr>
              <w:t>项的规定</w:t>
            </w:r>
          </w:p>
        </w:tc>
        <w:tc>
          <w:tcPr>
            <w:tcW w:w="730" w:type="dxa"/>
            <w:vAlign w:val="center"/>
          </w:tcPr>
          <w:p w14:paraId="6222B879">
            <w:pPr>
              <w:jc w:val="center"/>
              <w:rPr>
                <w:color w:val="auto"/>
                <w:highlight w:val="none"/>
              </w:rPr>
            </w:pPr>
          </w:p>
        </w:tc>
      </w:tr>
      <w:tr w14:paraId="25F2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1264" w:type="dxa"/>
            <w:vMerge w:val="continue"/>
            <w:vAlign w:val="center"/>
          </w:tcPr>
          <w:p w14:paraId="075372C7">
            <w:pPr>
              <w:jc w:val="center"/>
              <w:rPr>
                <w:color w:val="auto"/>
                <w:highlight w:val="none"/>
              </w:rPr>
            </w:pPr>
          </w:p>
        </w:tc>
        <w:tc>
          <w:tcPr>
            <w:tcW w:w="2674" w:type="dxa"/>
            <w:vAlign w:val="center"/>
          </w:tcPr>
          <w:p w14:paraId="6A0FFCC5">
            <w:pPr>
              <w:jc w:val="center"/>
              <w:rPr>
                <w:color w:val="auto"/>
                <w:highlight w:val="none"/>
              </w:rPr>
            </w:pPr>
            <w:r>
              <w:rPr>
                <w:rFonts w:hint="eastAsia"/>
                <w:color w:val="auto"/>
                <w:highlight w:val="none"/>
              </w:rPr>
              <w:t>单位负责人为同一人或者存在直接控股、管理关系的不同供应商，不得参加同一招标项目投标</w:t>
            </w:r>
          </w:p>
        </w:tc>
        <w:tc>
          <w:tcPr>
            <w:tcW w:w="4710" w:type="dxa"/>
            <w:vAlign w:val="center"/>
          </w:tcPr>
          <w:p w14:paraId="13715D26">
            <w:pPr>
              <w:ind w:firstLine="66" w:firstLineChars="30"/>
              <w:jc w:val="both"/>
              <w:rPr>
                <w:color w:val="auto"/>
                <w:highlight w:val="none"/>
              </w:rPr>
            </w:pPr>
            <w:r>
              <w:rPr>
                <w:rFonts w:hint="eastAsia"/>
                <w:color w:val="auto"/>
                <w:highlight w:val="none"/>
              </w:rPr>
              <w:t>符合第二章“投标人须知前附表”第</w:t>
            </w:r>
            <w:r>
              <w:rPr>
                <w:rFonts w:hint="eastAsia"/>
                <w:color w:val="auto"/>
                <w:highlight w:val="none"/>
                <w:lang w:val="en-US"/>
              </w:rPr>
              <w:t>1</w:t>
            </w:r>
            <w:r>
              <w:rPr>
                <w:rFonts w:hint="eastAsia"/>
                <w:color w:val="auto"/>
                <w:highlight w:val="none"/>
              </w:rPr>
              <w:t>.</w:t>
            </w:r>
            <w:r>
              <w:rPr>
                <w:rFonts w:hint="eastAsia"/>
                <w:color w:val="auto"/>
                <w:highlight w:val="none"/>
                <w:lang w:val="en-US"/>
              </w:rPr>
              <w:t>2</w:t>
            </w:r>
            <w:r>
              <w:rPr>
                <w:rFonts w:hint="eastAsia"/>
                <w:color w:val="auto"/>
                <w:highlight w:val="none"/>
              </w:rPr>
              <w:t>.</w:t>
            </w:r>
            <w:r>
              <w:rPr>
                <w:rFonts w:hint="eastAsia"/>
                <w:color w:val="auto"/>
                <w:highlight w:val="none"/>
                <w:lang w:val="en-US"/>
              </w:rPr>
              <w:t>4</w:t>
            </w:r>
            <w:r>
              <w:rPr>
                <w:rFonts w:hint="eastAsia"/>
                <w:color w:val="auto"/>
                <w:highlight w:val="none"/>
              </w:rPr>
              <w:t>项的规定</w:t>
            </w:r>
          </w:p>
        </w:tc>
        <w:tc>
          <w:tcPr>
            <w:tcW w:w="730" w:type="dxa"/>
            <w:vAlign w:val="center"/>
          </w:tcPr>
          <w:p w14:paraId="5760938D">
            <w:pPr>
              <w:jc w:val="center"/>
              <w:rPr>
                <w:color w:val="auto"/>
                <w:highlight w:val="none"/>
              </w:rPr>
            </w:pPr>
          </w:p>
        </w:tc>
      </w:tr>
      <w:tr w14:paraId="1D2A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jc w:val="center"/>
        </w:trPr>
        <w:tc>
          <w:tcPr>
            <w:tcW w:w="9378" w:type="dxa"/>
            <w:gridSpan w:val="4"/>
            <w:vAlign w:val="center"/>
          </w:tcPr>
          <w:p w14:paraId="1EB0EBE9">
            <w:pPr>
              <w:jc w:val="both"/>
              <w:rPr>
                <w:color w:val="auto"/>
                <w:highlight w:val="none"/>
              </w:rPr>
            </w:pPr>
            <w:r>
              <w:rPr>
                <w:rFonts w:hint="eastAsia"/>
                <w:color w:val="auto"/>
                <w:highlight w:val="none"/>
              </w:rPr>
              <w:t>采购人代表按上述资格审查标准对投标人的资格进行审查，有一项不符合审查标准的，则资格审查不合格，其投标文件按无效投标处理。</w:t>
            </w:r>
          </w:p>
        </w:tc>
      </w:tr>
    </w:tbl>
    <w:p w14:paraId="181E71B5">
      <w:pPr>
        <w:rPr>
          <w:color w:val="auto"/>
          <w:sz w:val="21"/>
          <w:szCs w:val="20"/>
          <w:highlight w:val="none"/>
        </w:rPr>
      </w:pPr>
    </w:p>
    <w:p w14:paraId="4CF1F187">
      <w:pPr>
        <w:spacing w:line="360" w:lineRule="auto"/>
        <w:ind w:firstLine="440" w:firstLineChars="200"/>
        <w:rPr>
          <w:color w:val="auto"/>
          <w:szCs w:val="21"/>
          <w:highlight w:val="none"/>
        </w:rPr>
      </w:pPr>
      <w:r>
        <w:rPr>
          <w:rFonts w:hint="eastAsia"/>
          <w:color w:val="auto"/>
          <w:szCs w:val="21"/>
          <w:highlight w:val="none"/>
        </w:rPr>
        <w:t>2.评标委员会根据评标原则和评标标准对所有资格审查合格的投标人的投标文件进行符合性审查，以确定是否满足招标文件的实质性要求。符合性审查表内容如下：</w:t>
      </w:r>
    </w:p>
    <w:tbl>
      <w:tblPr>
        <w:tblStyle w:val="18"/>
        <w:tblW w:w="93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4"/>
        <w:gridCol w:w="2689"/>
        <w:gridCol w:w="4694"/>
        <w:gridCol w:w="730"/>
      </w:tblGrid>
      <w:tr w14:paraId="2F76A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264" w:type="dxa"/>
            <w:vAlign w:val="center"/>
          </w:tcPr>
          <w:p w14:paraId="55C9821F">
            <w:pPr>
              <w:jc w:val="center"/>
              <w:rPr>
                <w:b/>
                <w:bCs/>
                <w:color w:val="auto"/>
                <w:highlight w:val="none"/>
              </w:rPr>
            </w:pPr>
            <w:r>
              <w:rPr>
                <w:rFonts w:hint="eastAsia"/>
                <w:b/>
                <w:bCs/>
                <w:color w:val="auto"/>
                <w:highlight w:val="none"/>
              </w:rPr>
              <w:t>条款号</w:t>
            </w:r>
          </w:p>
        </w:tc>
        <w:tc>
          <w:tcPr>
            <w:tcW w:w="2689" w:type="dxa"/>
            <w:vAlign w:val="center"/>
          </w:tcPr>
          <w:p w14:paraId="58934F1B">
            <w:pPr>
              <w:jc w:val="center"/>
              <w:rPr>
                <w:b/>
                <w:bCs/>
                <w:color w:val="auto"/>
                <w:highlight w:val="none"/>
              </w:rPr>
            </w:pPr>
            <w:r>
              <w:rPr>
                <w:rFonts w:hint="eastAsia"/>
                <w:b/>
                <w:bCs/>
                <w:color w:val="auto"/>
                <w:highlight w:val="none"/>
              </w:rPr>
              <w:t>审查因素</w:t>
            </w:r>
          </w:p>
        </w:tc>
        <w:tc>
          <w:tcPr>
            <w:tcW w:w="4694" w:type="dxa"/>
            <w:vAlign w:val="center"/>
          </w:tcPr>
          <w:p w14:paraId="6B4055C7">
            <w:pPr>
              <w:jc w:val="center"/>
              <w:rPr>
                <w:b/>
                <w:bCs/>
                <w:color w:val="auto"/>
                <w:highlight w:val="none"/>
              </w:rPr>
            </w:pPr>
            <w:r>
              <w:rPr>
                <w:rFonts w:hint="eastAsia"/>
                <w:b/>
                <w:bCs/>
                <w:color w:val="auto"/>
                <w:highlight w:val="none"/>
              </w:rPr>
              <w:t>符合性审查标准</w:t>
            </w:r>
          </w:p>
        </w:tc>
        <w:tc>
          <w:tcPr>
            <w:tcW w:w="730" w:type="dxa"/>
            <w:vAlign w:val="center"/>
          </w:tcPr>
          <w:p w14:paraId="70EEFBC6">
            <w:pPr>
              <w:jc w:val="center"/>
              <w:rPr>
                <w:b/>
                <w:bCs/>
                <w:color w:val="auto"/>
                <w:highlight w:val="none"/>
              </w:rPr>
            </w:pPr>
            <w:r>
              <w:rPr>
                <w:rFonts w:hint="eastAsia"/>
                <w:b/>
                <w:bCs/>
                <w:color w:val="auto"/>
                <w:highlight w:val="none"/>
              </w:rPr>
              <w:t>备注</w:t>
            </w:r>
          </w:p>
        </w:tc>
      </w:tr>
      <w:tr w14:paraId="47AE5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1264" w:type="dxa"/>
            <w:vMerge w:val="restart"/>
            <w:vAlign w:val="center"/>
          </w:tcPr>
          <w:p w14:paraId="14E2A2CA">
            <w:pPr>
              <w:jc w:val="center"/>
              <w:rPr>
                <w:color w:val="auto"/>
                <w:highlight w:val="none"/>
              </w:rPr>
            </w:pPr>
            <w:r>
              <w:rPr>
                <w:rFonts w:hint="eastAsia"/>
                <w:color w:val="auto"/>
                <w:highlight w:val="none"/>
              </w:rPr>
              <w:t>符合性审查</w:t>
            </w:r>
          </w:p>
        </w:tc>
        <w:tc>
          <w:tcPr>
            <w:tcW w:w="2689" w:type="dxa"/>
            <w:vAlign w:val="center"/>
          </w:tcPr>
          <w:p w14:paraId="796AFE3B">
            <w:pPr>
              <w:jc w:val="center"/>
              <w:rPr>
                <w:color w:val="auto"/>
                <w:highlight w:val="none"/>
              </w:rPr>
            </w:pPr>
            <w:r>
              <w:rPr>
                <w:rFonts w:hint="eastAsia"/>
                <w:color w:val="auto"/>
                <w:highlight w:val="none"/>
                <w:lang w:val="en-US"/>
              </w:rPr>
              <w:t>投标供应商名称</w:t>
            </w:r>
          </w:p>
        </w:tc>
        <w:tc>
          <w:tcPr>
            <w:tcW w:w="4694" w:type="dxa"/>
            <w:vAlign w:val="center"/>
          </w:tcPr>
          <w:p w14:paraId="4044BB96">
            <w:pPr>
              <w:jc w:val="both"/>
              <w:rPr>
                <w:color w:val="auto"/>
                <w:highlight w:val="none"/>
              </w:rPr>
            </w:pPr>
            <w:r>
              <w:rPr>
                <w:rFonts w:hint="eastAsia"/>
                <w:color w:val="auto"/>
                <w:highlight w:val="none"/>
                <w:lang w:val="en-US"/>
              </w:rPr>
              <w:t>与营业执照或营业执照同等效力的证明一致</w:t>
            </w:r>
          </w:p>
        </w:tc>
        <w:tc>
          <w:tcPr>
            <w:tcW w:w="730" w:type="dxa"/>
            <w:vAlign w:val="center"/>
          </w:tcPr>
          <w:p w14:paraId="6DC7052D">
            <w:pPr>
              <w:jc w:val="center"/>
              <w:rPr>
                <w:color w:val="auto"/>
                <w:highlight w:val="none"/>
              </w:rPr>
            </w:pPr>
          </w:p>
        </w:tc>
      </w:tr>
      <w:tr w14:paraId="5631C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1264" w:type="dxa"/>
            <w:vMerge w:val="continue"/>
            <w:vAlign w:val="center"/>
          </w:tcPr>
          <w:p w14:paraId="1F20C759">
            <w:pPr>
              <w:jc w:val="center"/>
              <w:rPr>
                <w:color w:val="auto"/>
                <w:highlight w:val="none"/>
              </w:rPr>
            </w:pPr>
          </w:p>
        </w:tc>
        <w:tc>
          <w:tcPr>
            <w:tcW w:w="2689" w:type="dxa"/>
            <w:vAlign w:val="center"/>
          </w:tcPr>
          <w:p w14:paraId="4A9777A0">
            <w:pPr>
              <w:jc w:val="center"/>
              <w:rPr>
                <w:color w:val="auto"/>
                <w:highlight w:val="none"/>
              </w:rPr>
            </w:pPr>
            <w:r>
              <w:rPr>
                <w:rFonts w:hint="eastAsia"/>
                <w:color w:val="auto"/>
                <w:highlight w:val="none"/>
              </w:rPr>
              <w:t>投标文件签字盖章</w:t>
            </w:r>
          </w:p>
        </w:tc>
        <w:tc>
          <w:tcPr>
            <w:tcW w:w="4694" w:type="dxa"/>
            <w:vAlign w:val="center"/>
          </w:tcPr>
          <w:p w14:paraId="60DB322A">
            <w:pPr>
              <w:jc w:val="both"/>
              <w:rPr>
                <w:color w:val="auto"/>
                <w:highlight w:val="none"/>
              </w:rPr>
            </w:pPr>
            <w:r>
              <w:rPr>
                <w:rFonts w:hint="eastAsia"/>
                <w:color w:val="auto"/>
                <w:highlight w:val="none"/>
              </w:rPr>
              <w:t>符合第二章“投标人须知前附表”第3.10.3项的规定</w:t>
            </w:r>
          </w:p>
        </w:tc>
        <w:tc>
          <w:tcPr>
            <w:tcW w:w="730" w:type="dxa"/>
            <w:vAlign w:val="center"/>
          </w:tcPr>
          <w:p w14:paraId="72E79A40">
            <w:pPr>
              <w:jc w:val="center"/>
              <w:rPr>
                <w:color w:val="auto"/>
                <w:highlight w:val="none"/>
              </w:rPr>
            </w:pPr>
          </w:p>
        </w:tc>
      </w:tr>
      <w:tr w14:paraId="05F53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1264" w:type="dxa"/>
            <w:vMerge w:val="continue"/>
            <w:vAlign w:val="center"/>
          </w:tcPr>
          <w:p w14:paraId="59CE2642">
            <w:pPr>
              <w:jc w:val="center"/>
              <w:rPr>
                <w:color w:val="auto"/>
                <w:highlight w:val="none"/>
              </w:rPr>
            </w:pPr>
          </w:p>
        </w:tc>
        <w:tc>
          <w:tcPr>
            <w:tcW w:w="2689" w:type="dxa"/>
            <w:vAlign w:val="center"/>
          </w:tcPr>
          <w:p w14:paraId="79A410BD">
            <w:pPr>
              <w:jc w:val="center"/>
              <w:rPr>
                <w:color w:val="auto"/>
                <w:highlight w:val="none"/>
                <w:lang w:val="en-US"/>
              </w:rPr>
            </w:pPr>
            <w:r>
              <w:rPr>
                <w:rFonts w:hint="eastAsia"/>
                <w:color w:val="auto"/>
                <w:highlight w:val="none"/>
              </w:rPr>
              <w:t>投标文件格式</w:t>
            </w:r>
          </w:p>
        </w:tc>
        <w:tc>
          <w:tcPr>
            <w:tcW w:w="4694" w:type="dxa"/>
            <w:vAlign w:val="center"/>
          </w:tcPr>
          <w:p w14:paraId="738711A4">
            <w:pPr>
              <w:rPr>
                <w:color w:val="auto"/>
                <w:highlight w:val="none"/>
                <w:lang w:val="en-US"/>
              </w:rPr>
            </w:pPr>
            <w:r>
              <w:rPr>
                <w:rFonts w:hint="eastAsia"/>
                <w:color w:val="auto"/>
                <w:highlight w:val="none"/>
              </w:rPr>
              <w:t>符合第四章“投标文件格式”的要求</w:t>
            </w:r>
          </w:p>
        </w:tc>
        <w:tc>
          <w:tcPr>
            <w:tcW w:w="730" w:type="dxa"/>
            <w:vAlign w:val="center"/>
          </w:tcPr>
          <w:p w14:paraId="0D141776">
            <w:pPr>
              <w:jc w:val="center"/>
              <w:rPr>
                <w:color w:val="auto"/>
                <w:highlight w:val="none"/>
              </w:rPr>
            </w:pPr>
          </w:p>
        </w:tc>
      </w:tr>
      <w:tr w14:paraId="56388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264" w:type="dxa"/>
            <w:vMerge w:val="continue"/>
            <w:vAlign w:val="center"/>
          </w:tcPr>
          <w:p w14:paraId="48A9C511">
            <w:pPr>
              <w:jc w:val="center"/>
              <w:rPr>
                <w:color w:val="auto"/>
                <w:highlight w:val="none"/>
              </w:rPr>
            </w:pPr>
          </w:p>
        </w:tc>
        <w:tc>
          <w:tcPr>
            <w:tcW w:w="2689" w:type="dxa"/>
            <w:vAlign w:val="center"/>
          </w:tcPr>
          <w:p w14:paraId="27F2536F">
            <w:pPr>
              <w:jc w:val="center"/>
              <w:rPr>
                <w:color w:val="auto"/>
                <w:highlight w:val="none"/>
              </w:rPr>
            </w:pPr>
            <w:r>
              <w:rPr>
                <w:rFonts w:hint="eastAsia"/>
                <w:color w:val="auto"/>
                <w:highlight w:val="none"/>
              </w:rPr>
              <w:t>报价唯一</w:t>
            </w:r>
          </w:p>
        </w:tc>
        <w:tc>
          <w:tcPr>
            <w:tcW w:w="4694" w:type="dxa"/>
            <w:vAlign w:val="center"/>
          </w:tcPr>
          <w:p w14:paraId="7B535BA3">
            <w:pPr>
              <w:jc w:val="both"/>
              <w:rPr>
                <w:color w:val="auto"/>
                <w:highlight w:val="none"/>
              </w:rPr>
            </w:pPr>
            <w:r>
              <w:rPr>
                <w:rFonts w:hint="eastAsia"/>
                <w:color w:val="auto"/>
                <w:highlight w:val="none"/>
              </w:rPr>
              <w:t>只能有一个有效报价且不超过最高限价</w:t>
            </w:r>
          </w:p>
        </w:tc>
        <w:tc>
          <w:tcPr>
            <w:tcW w:w="730" w:type="dxa"/>
            <w:vAlign w:val="center"/>
          </w:tcPr>
          <w:p w14:paraId="5A7F8BDB">
            <w:pPr>
              <w:jc w:val="center"/>
              <w:rPr>
                <w:color w:val="auto"/>
                <w:highlight w:val="none"/>
              </w:rPr>
            </w:pPr>
          </w:p>
        </w:tc>
      </w:tr>
      <w:tr w14:paraId="17D49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264" w:type="dxa"/>
            <w:vMerge w:val="continue"/>
            <w:vAlign w:val="center"/>
          </w:tcPr>
          <w:p w14:paraId="1CB50A70">
            <w:pPr>
              <w:jc w:val="center"/>
              <w:rPr>
                <w:color w:val="auto"/>
                <w:highlight w:val="none"/>
              </w:rPr>
            </w:pPr>
          </w:p>
        </w:tc>
        <w:tc>
          <w:tcPr>
            <w:tcW w:w="2689" w:type="dxa"/>
            <w:vAlign w:val="center"/>
          </w:tcPr>
          <w:p w14:paraId="49E1A63B">
            <w:pPr>
              <w:jc w:val="center"/>
              <w:rPr>
                <w:color w:val="auto"/>
                <w:highlight w:val="none"/>
              </w:rPr>
            </w:pPr>
            <w:r>
              <w:rPr>
                <w:rFonts w:hint="eastAsia"/>
                <w:color w:val="auto"/>
                <w:highlight w:val="none"/>
              </w:rPr>
              <w:t>投标内容</w:t>
            </w:r>
          </w:p>
        </w:tc>
        <w:tc>
          <w:tcPr>
            <w:tcW w:w="4694" w:type="dxa"/>
            <w:vAlign w:val="center"/>
          </w:tcPr>
          <w:p w14:paraId="02C3ECDC">
            <w:pPr>
              <w:jc w:val="both"/>
              <w:rPr>
                <w:color w:val="auto"/>
                <w:highlight w:val="none"/>
              </w:rPr>
            </w:pPr>
            <w:r>
              <w:rPr>
                <w:rFonts w:hint="eastAsia"/>
                <w:color w:val="auto"/>
                <w:highlight w:val="none"/>
              </w:rPr>
              <w:t>符合第二章“投标人须知前附表”第</w:t>
            </w:r>
            <w:r>
              <w:rPr>
                <w:rFonts w:hint="eastAsia"/>
                <w:color w:val="auto"/>
                <w:highlight w:val="none"/>
                <w:lang w:val="en-US"/>
              </w:rPr>
              <w:t>1.4.1</w:t>
            </w:r>
            <w:r>
              <w:rPr>
                <w:rFonts w:hint="eastAsia"/>
                <w:color w:val="auto"/>
                <w:highlight w:val="none"/>
              </w:rPr>
              <w:t>项的规定</w:t>
            </w:r>
          </w:p>
        </w:tc>
        <w:tc>
          <w:tcPr>
            <w:tcW w:w="730" w:type="dxa"/>
            <w:vAlign w:val="center"/>
          </w:tcPr>
          <w:p w14:paraId="643DC2C8">
            <w:pPr>
              <w:jc w:val="center"/>
              <w:rPr>
                <w:color w:val="auto"/>
                <w:highlight w:val="none"/>
              </w:rPr>
            </w:pPr>
          </w:p>
        </w:tc>
      </w:tr>
      <w:tr w14:paraId="76A62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264" w:type="dxa"/>
            <w:vMerge w:val="continue"/>
            <w:vAlign w:val="center"/>
          </w:tcPr>
          <w:p w14:paraId="5FB4344C">
            <w:pPr>
              <w:jc w:val="center"/>
              <w:rPr>
                <w:color w:val="auto"/>
                <w:highlight w:val="none"/>
              </w:rPr>
            </w:pPr>
          </w:p>
        </w:tc>
        <w:tc>
          <w:tcPr>
            <w:tcW w:w="2689" w:type="dxa"/>
            <w:vAlign w:val="center"/>
          </w:tcPr>
          <w:p w14:paraId="734682BB">
            <w:pPr>
              <w:jc w:val="center"/>
              <w:rPr>
                <w:color w:val="auto"/>
                <w:highlight w:val="none"/>
              </w:rPr>
            </w:pPr>
            <w:r>
              <w:rPr>
                <w:rFonts w:hint="eastAsia"/>
                <w:color w:val="auto"/>
                <w:highlight w:val="none"/>
              </w:rPr>
              <w:t>质量要求</w:t>
            </w:r>
          </w:p>
        </w:tc>
        <w:tc>
          <w:tcPr>
            <w:tcW w:w="4694" w:type="dxa"/>
            <w:vAlign w:val="center"/>
          </w:tcPr>
          <w:p w14:paraId="7B47C387">
            <w:pPr>
              <w:jc w:val="both"/>
              <w:rPr>
                <w:color w:val="auto"/>
                <w:highlight w:val="none"/>
              </w:rPr>
            </w:pPr>
            <w:r>
              <w:rPr>
                <w:rFonts w:hint="eastAsia"/>
                <w:color w:val="auto"/>
                <w:highlight w:val="none"/>
              </w:rPr>
              <w:t>符合第二章“投标人须知前附表”第</w:t>
            </w:r>
            <w:r>
              <w:rPr>
                <w:rFonts w:hint="eastAsia"/>
                <w:color w:val="auto"/>
                <w:highlight w:val="none"/>
                <w:lang w:val="en-US"/>
              </w:rPr>
              <w:t>1.4.2</w:t>
            </w:r>
            <w:r>
              <w:rPr>
                <w:rFonts w:hint="eastAsia"/>
                <w:color w:val="auto"/>
                <w:highlight w:val="none"/>
              </w:rPr>
              <w:t>项的规定</w:t>
            </w:r>
          </w:p>
        </w:tc>
        <w:tc>
          <w:tcPr>
            <w:tcW w:w="730" w:type="dxa"/>
            <w:vAlign w:val="center"/>
          </w:tcPr>
          <w:p w14:paraId="57B1FE02">
            <w:pPr>
              <w:jc w:val="center"/>
              <w:rPr>
                <w:color w:val="auto"/>
                <w:highlight w:val="none"/>
              </w:rPr>
            </w:pPr>
          </w:p>
        </w:tc>
      </w:tr>
      <w:tr w14:paraId="34F24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264" w:type="dxa"/>
            <w:vMerge w:val="continue"/>
            <w:vAlign w:val="center"/>
          </w:tcPr>
          <w:p w14:paraId="2DB7C2CD">
            <w:pPr>
              <w:jc w:val="center"/>
              <w:rPr>
                <w:color w:val="auto"/>
                <w:highlight w:val="none"/>
              </w:rPr>
            </w:pPr>
          </w:p>
        </w:tc>
        <w:tc>
          <w:tcPr>
            <w:tcW w:w="2689" w:type="dxa"/>
            <w:vAlign w:val="center"/>
          </w:tcPr>
          <w:p w14:paraId="5DC0148F">
            <w:pPr>
              <w:jc w:val="center"/>
              <w:rPr>
                <w:color w:val="auto"/>
                <w:highlight w:val="none"/>
              </w:rPr>
            </w:pPr>
            <w:r>
              <w:rPr>
                <w:rFonts w:hint="eastAsia"/>
                <w:color w:val="auto"/>
                <w:highlight w:val="none"/>
              </w:rPr>
              <w:t>交货期</w:t>
            </w:r>
          </w:p>
        </w:tc>
        <w:tc>
          <w:tcPr>
            <w:tcW w:w="4694" w:type="dxa"/>
            <w:vAlign w:val="center"/>
          </w:tcPr>
          <w:p w14:paraId="35918C9A">
            <w:pPr>
              <w:jc w:val="both"/>
              <w:rPr>
                <w:color w:val="auto"/>
                <w:highlight w:val="none"/>
              </w:rPr>
            </w:pPr>
            <w:r>
              <w:rPr>
                <w:rFonts w:hint="eastAsia"/>
                <w:color w:val="auto"/>
                <w:highlight w:val="none"/>
              </w:rPr>
              <w:t>符合第二章“投标人须知前附表”第</w:t>
            </w:r>
            <w:r>
              <w:rPr>
                <w:rFonts w:hint="eastAsia"/>
                <w:color w:val="auto"/>
                <w:highlight w:val="none"/>
                <w:lang w:val="en-US"/>
              </w:rPr>
              <w:t>1.4.3</w:t>
            </w:r>
            <w:r>
              <w:rPr>
                <w:rFonts w:hint="eastAsia"/>
                <w:color w:val="auto"/>
                <w:highlight w:val="none"/>
              </w:rPr>
              <w:t>项的规定</w:t>
            </w:r>
          </w:p>
        </w:tc>
        <w:tc>
          <w:tcPr>
            <w:tcW w:w="730" w:type="dxa"/>
            <w:vAlign w:val="center"/>
          </w:tcPr>
          <w:p w14:paraId="0BF88F9A">
            <w:pPr>
              <w:jc w:val="center"/>
              <w:rPr>
                <w:color w:val="auto"/>
                <w:highlight w:val="none"/>
              </w:rPr>
            </w:pPr>
          </w:p>
        </w:tc>
      </w:tr>
      <w:tr w14:paraId="50245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264" w:type="dxa"/>
            <w:vMerge w:val="continue"/>
            <w:vAlign w:val="center"/>
          </w:tcPr>
          <w:p w14:paraId="1E7D7FB4">
            <w:pPr>
              <w:jc w:val="center"/>
              <w:rPr>
                <w:color w:val="auto"/>
                <w:highlight w:val="none"/>
              </w:rPr>
            </w:pPr>
          </w:p>
        </w:tc>
        <w:tc>
          <w:tcPr>
            <w:tcW w:w="2689" w:type="dxa"/>
            <w:vAlign w:val="center"/>
          </w:tcPr>
          <w:p w14:paraId="6DF0CD02">
            <w:pPr>
              <w:jc w:val="center"/>
              <w:rPr>
                <w:color w:val="auto"/>
                <w:highlight w:val="none"/>
              </w:rPr>
            </w:pPr>
            <w:r>
              <w:rPr>
                <w:rFonts w:hint="eastAsia"/>
                <w:color w:val="auto"/>
                <w:highlight w:val="none"/>
              </w:rPr>
              <w:t>质保期</w:t>
            </w:r>
          </w:p>
        </w:tc>
        <w:tc>
          <w:tcPr>
            <w:tcW w:w="4694" w:type="dxa"/>
            <w:vAlign w:val="center"/>
          </w:tcPr>
          <w:p w14:paraId="79B61E82">
            <w:pPr>
              <w:jc w:val="both"/>
              <w:rPr>
                <w:color w:val="auto"/>
                <w:highlight w:val="none"/>
              </w:rPr>
            </w:pPr>
            <w:r>
              <w:rPr>
                <w:rFonts w:hint="eastAsia"/>
                <w:color w:val="auto"/>
                <w:highlight w:val="none"/>
              </w:rPr>
              <w:t>符合第二章“投标人须知前附表”第</w:t>
            </w:r>
            <w:r>
              <w:rPr>
                <w:rFonts w:hint="eastAsia"/>
                <w:color w:val="auto"/>
                <w:highlight w:val="none"/>
                <w:lang w:val="en-US"/>
              </w:rPr>
              <w:t>1.4.4</w:t>
            </w:r>
            <w:r>
              <w:rPr>
                <w:rFonts w:hint="eastAsia"/>
                <w:color w:val="auto"/>
                <w:highlight w:val="none"/>
              </w:rPr>
              <w:t>项的规定</w:t>
            </w:r>
          </w:p>
        </w:tc>
        <w:tc>
          <w:tcPr>
            <w:tcW w:w="730" w:type="dxa"/>
            <w:vAlign w:val="center"/>
          </w:tcPr>
          <w:p w14:paraId="5AF72E90">
            <w:pPr>
              <w:jc w:val="center"/>
              <w:rPr>
                <w:color w:val="auto"/>
                <w:highlight w:val="none"/>
              </w:rPr>
            </w:pPr>
          </w:p>
        </w:tc>
      </w:tr>
      <w:tr w14:paraId="6DD47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jc w:val="center"/>
        </w:trPr>
        <w:tc>
          <w:tcPr>
            <w:tcW w:w="1264" w:type="dxa"/>
            <w:vMerge w:val="continue"/>
            <w:vAlign w:val="center"/>
          </w:tcPr>
          <w:p w14:paraId="75463808">
            <w:pPr>
              <w:jc w:val="center"/>
              <w:rPr>
                <w:color w:val="auto"/>
                <w:highlight w:val="none"/>
              </w:rPr>
            </w:pPr>
          </w:p>
        </w:tc>
        <w:tc>
          <w:tcPr>
            <w:tcW w:w="2689" w:type="dxa"/>
            <w:tcBorders>
              <w:bottom w:val="single" w:color="000000" w:sz="6" w:space="0"/>
            </w:tcBorders>
            <w:vAlign w:val="center"/>
          </w:tcPr>
          <w:p w14:paraId="40CE97B9">
            <w:pPr>
              <w:jc w:val="center"/>
              <w:rPr>
                <w:color w:val="auto"/>
                <w:highlight w:val="none"/>
              </w:rPr>
            </w:pPr>
            <w:r>
              <w:rPr>
                <w:rFonts w:hint="eastAsia"/>
                <w:color w:val="auto"/>
                <w:highlight w:val="none"/>
              </w:rPr>
              <w:t>投标保证金</w:t>
            </w:r>
          </w:p>
        </w:tc>
        <w:tc>
          <w:tcPr>
            <w:tcW w:w="4694" w:type="dxa"/>
            <w:tcBorders>
              <w:bottom w:val="single" w:color="000000" w:sz="6" w:space="0"/>
            </w:tcBorders>
            <w:vAlign w:val="center"/>
          </w:tcPr>
          <w:p w14:paraId="05D70D30">
            <w:pPr>
              <w:jc w:val="both"/>
              <w:rPr>
                <w:color w:val="auto"/>
                <w:highlight w:val="none"/>
              </w:rPr>
            </w:pPr>
            <w:r>
              <w:rPr>
                <w:rFonts w:hint="eastAsia"/>
                <w:color w:val="auto"/>
                <w:highlight w:val="none"/>
              </w:rPr>
              <w:t>符合第二章“投标人须知前附表”第</w:t>
            </w:r>
            <w:r>
              <w:rPr>
                <w:rFonts w:hint="eastAsia"/>
                <w:color w:val="auto"/>
                <w:highlight w:val="none"/>
                <w:lang w:val="en-US"/>
              </w:rPr>
              <w:t>3.8</w:t>
            </w:r>
            <w:r>
              <w:rPr>
                <w:rFonts w:hint="eastAsia"/>
                <w:color w:val="auto"/>
                <w:highlight w:val="none"/>
              </w:rPr>
              <w:t>项的规定</w:t>
            </w:r>
          </w:p>
        </w:tc>
        <w:tc>
          <w:tcPr>
            <w:tcW w:w="730" w:type="dxa"/>
            <w:tcBorders>
              <w:bottom w:val="single" w:color="000000" w:sz="6" w:space="0"/>
            </w:tcBorders>
            <w:vAlign w:val="center"/>
          </w:tcPr>
          <w:p w14:paraId="16C39622">
            <w:pPr>
              <w:jc w:val="center"/>
              <w:rPr>
                <w:color w:val="auto"/>
                <w:highlight w:val="none"/>
              </w:rPr>
            </w:pPr>
          </w:p>
        </w:tc>
      </w:tr>
      <w:tr w14:paraId="5A348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1264" w:type="dxa"/>
            <w:vMerge w:val="continue"/>
            <w:vAlign w:val="center"/>
          </w:tcPr>
          <w:p w14:paraId="1D40085F">
            <w:pPr>
              <w:jc w:val="center"/>
              <w:rPr>
                <w:color w:val="auto"/>
                <w:highlight w:val="none"/>
              </w:rPr>
            </w:pPr>
          </w:p>
        </w:tc>
        <w:tc>
          <w:tcPr>
            <w:tcW w:w="2689" w:type="dxa"/>
            <w:tcBorders>
              <w:bottom w:val="single" w:color="000000" w:sz="6" w:space="0"/>
            </w:tcBorders>
            <w:vAlign w:val="center"/>
          </w:tcPr>
          <w:p w14:paraId="6C9C4297">
            <w:pPr>
              <w:jc w:val="center"/>
              <w:rPr>
                <w:color w:val="auto"/>
                <w:highlight w:val="none"/>
              </w:rPr>
            </w:pPr>
            <w:r>
              <w:rPr>
                <w:rFonts w:hint="eastAsia"/>
                <w:color w:val="auto"/>
                <w:highlight w:val="none"/>
              </w:rPr>
              <w:t>投标有效期</w:t>
            </w:r>
          </w:p>
        </w:tc>
        <w:tc>
          <w:tcPr>
            <w:tcW w:w="4694" w:type="dxa"/>
            <w:tcBorders>
              <w:bottom w:val="single" w:color="000000" w:sz="6" w:space="0"/>
            </w:tcBorders>
            <w:vAlign w:val="center"/>
          </w:tcPr>
          <w:p w14:paraId="4FE8401E">
            <w:pPr>
              <w:jc w:val="both"/>
              <w:rPr>
                <w:color w:val="auto"/>
                <w:highlight w:val="none"/>
              </w:rPr>
            </w:pPr>
            <w:r>
              <w:rPr>
                <w:rFonts w:hint="eastAsia"/>
                <w:color w:val="auto"/>
                <w:highlight w:val="none"/>
              </w:rPr>
              <w:t>符合第二章“投标人须知前附表”第</w:t>
            </w:r>
            <w:r>
              <w:rPr>
                <w:rFonts w:hint="eastAsia"/>
                <w:color w:val="auto"/>
                <w:highlight w:val="none"/>
                <w:lang w:val="en-US"/>
              </w:rPr>
              <w:t>3.9</w:t>
            </w:r>
            <w:r>
              <w:rPr>
                <w:rFonts w:hint="eastAsia"/>
                <w:color w:val="auto"/>
                <w:highlight w:val="none"/>
              </w:rPr>
              <w:t>项的规定</w:t>
            </w:r>
          </w:p>
        </w:tc>
        <w:tc>
          <w:tcPr>
            <w:tcW w:w="730" w:type="dxa"/>
            <w:tcBorders>
              <w:bottom w:val="single" w:color="000000" w:sz="6" w:space="0"/>
            </w:tcBorders>
            <w:vAlign w:val="center"/>
          </w:tcPr>
          <w:p w14:paraId="0DA6A582">
            <w:pPr>
              <w:jc w:val="center"/>
              <w:rPr>
                <w:color w:val="auto"/>
                <w:highlight w:val="none"/>
              </w:rPr>
            </w:pPr>
          </w:p>
        </w:tc>
      </w:tr>
      <w:tr w14:paraId="74CA1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jc w:val="center"/>
        </w:trPr>
        <w:tc>
          <w:tcPr>
            <w:tcW w:w="9377" w:type="dxa"/>
            <w:gridSpan w:val="4"/>
            <w:tcBorders>
              <w:top w:val="single" w:color="000000" w:sz="6" w:space="0"/>
              <w:left w:val="single" w:color="000000" w:sz="12" w:space="0"/>
              <w:bottom w:val="single" w:color="000000" w:sz="12" w:space="0"/>
              <w:right w:val="single" w:color="000000" w:sz="12" w:space="0"/>
            </w:tcBorders>
            <w:vAlign w:val="center"/>
          </w:tcPr>
          <w:p w14:paraId="2F103DB4">
            <w:pPr>
              <w:jc w:val="both"/>
              <w:rPr>
                <w:color w:val="auto"/>
                <w:highlight w:val="none"/>
              </w:rPr>
            </w:pPr>
            <w:r>
              <w:rPr>
                <w:rFonts w:hint="eastAsia"/>
                <w:color w:val="auto"/>
                <w:highlight w:val="none"/>
              </w:rPr>
              <w:t>评标委员会按上述符合性审查标准对投标人的进行审查，有一项不符合审查标准的，则符合性审查不合格，其投标文件按无效投标处理。</w:t>
            </w:r>
          </w:p>
        </w:tc>
      </w:tr>
    </w:tbl>
    <w:p w14:paraId="72BAC5E7">
      <w:pPr>
        <w:pStyle w:val="4"/>
        <w:rPr>
          <w:color w:val="auto"/>
          <w:highlight w:val="none"/>
        </w:rPr>
      </w:pPr>
    </w:p>
    <w:p w14:paraId="4A2D452E">
      <w:pPr>
        <w:spacing w:line="360" w:lineRule="auto"/>
        <w:ind w:firstLine="442" w:firstLineChars="200"/>
        <w:rPr>
          <w:b/>
          <w:bCs/>
          <w:color w:val="auto"/>
          <w:szCs w:val="24"/>
          <w:highlight w:val="none"/>
        </w:rPr>
      </w:pPr>
      <w:r>
        <w:rPr>
          <w:rFonts w:hint="eastAsia"/>
          <w:b/>
          <w:bCs/>
          <w:color w:val="auto"/>
          <w:highlight w:val="none"/>
        </w:rPr>
        <w:t>三、详细评审</w:t>
      </w:r>
    </w:p>
    <w:p w14:paraId="4BDFF642">
      <w:pPr>
        <w:spacing w:line="360" w:lineRule="auto"/>
        <w:ind w:firstLine="440" w:firstLineChars="200"/>
        <w:rPr>
          <w:color w:val="auto"/>
          <w:sz w:val="21"/>
          <w:szCs w:val="21"/>
          <w:highlight w:val="none"/>
        </w:rPr>
      </w:pPr>
      <w:r>
        <w:rPr>
          <w:rFonts w:hint="eastAsia"/>
          <w:color w:val="auto"/>
          <w:highlight w:val="none"/>
        </w:rPr>
        <w:t>评标总分值由投标报价部分、技术部分、商务部分三部分组成，总分值100分。评分细则如下</w:t>
      </w:r>
      <w:r>
        <w:rPr>
          <w:color w:val="auto"/>
          <w:highlight w:val="none"/>
        </w:rPr>
        <w:t>：</w:t>
      </w:r>
    </w:p>
    <w:tbl>
      <w:tblPr>
        <w:tblStyle w:val="18"/>
        <w:tblW w:w="93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52"/>
        <w:gridCol w:w="1128"/>
        <w:gridCol w:w="7119"/>
      </w:tblGrid>
      <w:tr w14:paraId="62ACA3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2280" w:type="dxa"/>
            <w:gridSpan w:val="2"/>
          </w:tcPr>
          <w:p w14:paraId="2EEF508D">
            <w:pPr>
              <w:jc w:val="center"/>
              <w:rPr>
                <w:b/>
                <w:color w:val="auto"/>
                <w:highlight w:val="none"/>
              </w:rPr>
            </w:pPr>
            <w:r>
              <w:rPr>
                <w:rFonts w:hint="eastAsia"/>
                <w:b/>
                <w:color w:val="auto"/>
                <w:highlight w:val="none"/>
              </w:rPr>
              <w:t>条款内容</w:t>
            </w:r>
          </w:p>
        </w:tc>
        <w:tc>
          <w:tcPr>
            <w:tcW w:w="7119" w:type="dxa"/>
          </w:tcPr>
          <w:p w14:paraId="07B0F39A">
            <w:pPr>
              <w:jc w:val="center"/>
              <w:rPr>
                <w:b/>
                <w:color w:val="auto"/>
                <w:highlight w:val="none"/>
              </w:rPr>
            </w:pPr>
            <w:r>
              <w:rPr>
                <w:rFonts w:hint="eastAsia"/>
                <w:b/>
                <w:color w:val="auto"/>
                <w:highlight w:val="none"/>
              </w:rPr>
              <w:t>编列内容</w:t>
            </w:r>
          </w:p>
        </w:tc>
      </w:tr>
      <w:tr w14:paraId="24FAB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2280" w:type="dxa"/>
            <w:gridSpan w:val="2"/>
            <w:vAlign w:val="center"/>
          </w:tcPr>
          <w:p w14:paraId="04128A39">
            <w:pPr>
              <w:jc w:val="center"/>
              <w:rPr>
                <w:bCs/>
                <w:color w:val="auto"/>
                <w:highlight w:val="none"/>
              </w:rPr>
            </w:pPr>
            <w:r>
              <w:rPr>
                <w:rFonts w:hint="eastAsia"/>
                <w:bCs/>
                <w:color w:val="auto"/>
                <w:highlight w:val="none"/>
              </w:rPr>
              <w:t>分值组成</w:t>
            </w:r>
          </w:p>
          <w:p w14:paraId="7752A123">
            <w:pPr>
              <w:jc w:val="center"/>
              <w:rPr>
                <w:bCs/>
                <w:color w:val="auto"/>
                <w:highlight w:val="none"/>
              </w:rPr>
            </w:pPr>
            <w:r>
              <w:rPr>
                <w:rFonts w:hint="eastAsia"/>
                <w:bCs/>
                <w:color w:val="auto"/>
                <w:highlight w:val="none"/>
              </w:rPr>
              <w:t>（总分100分）</w:t>
            </w:r>
          </w:p>
        </w:tc>
        <w:tc>
          <w:tcPr>
            <w:tcW w:w="7119" w:type="dxa"/>
          </w:tcPr>
          <w:p w14:paraId="1435E6F8">
            <w:pPr>
              <w:rPr>
                <w:bCs/>
                <w:color w:val="auto"/>
                <w:highlight w:val="none"/>
              </w:rPr>
            </w:pPr>
            <w:r>
              <w:rPr>
                <w:rFonts w:hint="eastAsia"/>
                <w:bCs/>
                <w:color w:val="auto"/>
                <w:highlight w:val="none"/>
              </w:rPr>
              <w:t>经济标得分：</w:t>
            </w:r>
            <w:r>
              <w:rPr>
                <w:rFonts w:hint="eastAsia"/>
                <w:bCs/>
                <w:color w:val="auto"/>
                <w:highlight w:val="none"/>
                <w:u w:val="single"/>
                <w:lang w:val="en-US"/>
              </w:rPr>
              <w:t>4</w:t>
            </w:r>
            <w:r>
              <w:rPr>
                <w:rFonts w:hint="eastAsia"/>
                <w:bCs/>
                <w:color w:val="auto"/>
                <w:highlight w:val="none"/>
                <w:u w:val="single"/>
              </w:rPr>
              <w:t>0</w:t>
            </w:r>
            <w:r>
              <w:rPr>
                <w:rFonts w:hint="eastAsia"/>
                <w:bCs/>
                <w:color w:val="auto"/>
                <w:highlight w:val="none"/>
              </w:rPr>
              <w:t>分</w:t>
            </w:r>
          </w:p>
          <w:p w14:paraId="60D53A78">
            <w:pPr>
              <w:rPr>
                <w:bCs/>
                <w:color w:val="auto"/>
                <w:highlight w:val="none"/>
              </w:rPr>
            </w:pPr>
            <w:r>
              <w:rPr>
                <w:rFonts w:hint="eastAsia"/>
                <w:bCs/>
                <w:color w:val="auto"/>
                <w:highlight w:val="none"/>
              </w:rPr>
              <w:t>技术标得分：</w:t>
            </w:r>
            <w:r>
              <w:rPr>
                <w:rFonts w:hint="eastAsia"/>
                <w:bCs/>
                <w:color w:val="auto"/>
                <w:highlight w:val="none"/>
                <w:u w:val="single"/>
                <w:lang w:val="en-US"/>
              </w:rPr>
              <w:t>2</w:t>
            </w:r>
            <w:r>
              <w:rPr>
                <w:rFonts w:hint="eastAsia"/>
                <w:bCs/>
                <w:color w:val="auto"/>
                <w:highlight w:val="none"/>
                <w:u w:val="single"/>
              </w:rPr>
              <w:t>8</w:t>
            </w:r>
            <w:r>
              <w:rPr>
                <w:rFonts w:hint="eastAsia"/>
                <w:bCs/>
                <w:color w:val="auto"/>
                <w:highlight w:val="none"/>
              </w:rPr>
              <w:t>分</w:t>
            </w:r>
          </w:p>
          <w:p w14:paraId="068F15E1">
            <w:pPr>
              <w:rPr>
                <w:bCs/>
                <w:color w:val="auto"/>
                <w:highlight w:val="none"/>
              </w:rPr>
            </w:pPr>
            <w:r>
              <w:rPr>
                <w:rFonts w:hint="eastAsia"/>
                <w:bCs/>
                <w:color w:val="auto"/>
                <w:highlight w:val="none"/>
              </w:rPr>
              <w:t>商务标得分：</w:t>
            </w:r>
            <w:r>
              <w:rPr>
                <w:rFonts w:hint="eastAsia"/>
                <w:bCs/>
                <w:color w:val="auto"/>
                <w:highlight w:val="none"/>
                <w:u w:val="single"/>
              </w:rPr>
              <w:t>32</w:t>
            </w:r>
            <w:r>
              <w:rPr>
                <w:rFonts w:hint="eastAsia"/>
                <w:bCs/>
                <w:color w:val="auto"/>
                <w:highlight w:val="none"/>
              </w:rPr>
              <w:t>分</w:t>
            </w:r>
          </w:p>
        </w:tc>
      </w:tr>
      <w:tr w14:paraId="00601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2280" w:type="dxa"/>
            <w:gridSpan w:val="2"/>
            <w:vAlign w:val="center"/>
          </w:tcPr>
          <w:p w14:paraId="2236773F">
            <w:pPr>
              <w:jc w:val="center"/>
              <w:rPr>
                <w:bCs/>
                <w:color w:val="auto"/>
                <w:highlight w:val="none"/>
              </w:rPr>
            </w:pPr>
            <w:r>
              <w:rPr>
                <w:rFonts w:hint="eastAsia"/>
                <w:bCs/>
                <w:color w:val="auto"/>
                <w:highlight w:val="none"/>
              </w:rPr>
              <w:t>评标基准价计算方法</w:t>
            </w:r>
          </w:p>
        </w:tc>
        <w:tc>
          <w:tcPr>
            <w:tcW w:w="7119" w:type="dxa"/>
          </w:tcPr>
          <w:p w14:paraId="26076FAC">
            <w:pPr>
              <w:spacing w:line="276" w:lineRule="auto"/>
              <w:rPr>
                <w:color w:val="auto"/>
                <w:highlight w:val="none"/>
              </w:rPr>
            </w:pPr>
            <w:bookmarkStart w:id="230" w:name="OLE_LINK17"/>
            <w:bookmarkStart w:id="231" w:name="OLE_LINK18"/>
            <w:r>
              <w:rPr>
                <w:rFonts w:hint="eastAsia"/>
                <w:color w:val="auto"/>
                <w:highlight w:val="none"/>
              </w:rPr>
              <w:t>本项目以满足投标文件要求且报价最低的投标报价为基准价，其价格分为满分</w:t>
            </w:r>
            <w:bookmarkEnd w:id="230"/>
            <w:bookmarkEnd w:id="231"/>
            <w:r>
              <w:rPr>
                <w:rFonts w:hint="eastAsia"/>
                <w:color w:val="auto"/>
                <w:highlight w:val="none"/>
              </w:rPr>
              <w:t>。</w:t>
            </w:r>
          </w:p>
        </w:tc>
      </w:tr>
      <w:tr w14:paraId="4AD396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2280" w:type="dxa"/>
            <w:gridSpan w:val="2"/>
            <w:vAlign w:val="center"/>
          </w:tcPr>
          <w:p w14:paraId="69207A39">
            <w:pPr>
              <w:jc w:val="center"/>
              <w:rPr>
                <w:b/>
                <w:color w:val="auto"/>
                <w:highlight w:val="none"/>
              </w:rPr>
            </w:pPr>
            <w:r>
              <w:rPr>
                <w:rFonts w:hint="eastAsia"/>
                <w:b/>
                <w:color w:val="auto"/>
                <w:highlight w:val="none"/>
              </w:rPr>
              <w:t>条款内容</w:t>
            </w:r>
          </w:p>
        </w:tc>
        <w:tc>
          <w:tcPr>
            <w:tcW w:w="7119" w:type="dxa"/>
          </w:tcPr>
          <w:p w14:paraId="00E759F0">
            <w:pPr>
              <w:jc w:val="center"/>
              <w:rPr>
                <w:b/>
                <w:color w:val="auto"/>
                <w:highlight w:val="none"/>
              </w:rPr>
            </w:pPr>
            <w:r>
              <w:rPr>
                <w:rFonts w:hint="eastAsia"/>
                <w:b/>
                <w:color w:val="auto"/>
                <w:highlight w:val="none"/>
              </w:rPr>
              <w:t>评分标准</w:t>
            </w:r>
          </w:p>
        </w:tc>
      </w:tr>
      <w:tr w14:paraId="351DBE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1152" w:type="dxa"/>
            <w:vAlign w:val="center"/>
          </w:tcPr>
          <w:p w14:paraId="4ACE0CBE">
            <w:pPr>
              <w:jc w:val="center"/>
              <w:rPr>
                <w:bCs/>
                <w:color w:val="auto"/>
                <w:highlight w:val="none"/>
              </w:rPr>
            </w:pPr>
            <w:r>
              <w:rPr>
                <w:rFonts w:hint="eastAsia"/>
                <w:bCs/>
                <w:color w:val="auto"/>
                <w:highlight w:val="none"/>
              </w:rPr>
              <w:t>经济标</w:t>
            </w:r>
          </w:p>
          <w:p w14:paraId="18E4321F">
            <w:pPr>
              <w:jc w:val="center"/>
              <w:rPr>
                <w:b/>
                <w:color w:val="auto"/>
                <w:highlight w:val="none"/>
              </w:rPr>
            </w:pPr>
            <w:r>
              <w:rPr>
                <w:rFonts w:hint="eastAsia"/>
                <w:bCs/>
                <w:color w:val="auto"/>
                <w:highlight w:val="none"/>
              </w:rPr>
              <w:t>（</w:t>
            </w:r>
            <w:r>
              <w:rPr>
                <w:rFonts w:hint="eastAsia"/>
                <w:bCs/>
                <w:color w:val="auto"/>
                <w:highlight w:val="none"/>
                <w:lang w:val="en-US"/>
              </w:rPr>
              <w:t>4</w:t>
            </w:r>
            <w:r>
              <w:rPr>
                <w:rFonts w:hint="eastAsia"/>
                <w:bCs/>
                <w:color w:val="auto"/>
                <w:highlight w:val="none"/>
              </w:rPr>
              <w:t>0分）</w:t>
            </w:r>
          </w:p>
        </w:tc>
        <w:tc>
          <w:tcPr>
            <w:tcW w:w="1128" w:type="dxa"/>
            <w:vAlign w:val="center"/>
          </w:tcPr>
          <w:p w14:paraId="66DB2E58">
            <w:pPr>
              <w:jc w:val="center"/>
              <w:rPr>
                <w:bCs/>
                <w:color w:val="auto"/>
                <w:highlight w:val="none"/>
              </w:rPr>
            </w:pPr>
            <w:r>
              <w:rPr>
                <w:rFonts w:hint="eastAsia"/>
                <w:bCs/>
                <w:color w:val="auto"/>
                <w:highlight w:val="none"/>
              </w:rPr>
              <w:t>报价得分（</w:t>
            </w:r>
            <w:r>
              <w:rPr>
                <w:rFonts w:hint="eastAsia"/>
                <w:bCs/>
                <w:color w:val="auto"/>
                <w:highlight w:val="none"/>
                <w:lang w:val="en-US"/>
              </w:rPr>
              <w:t>4</w:t>
            </w:r>
            <w:r>
              <w:rPr>
                <w:rFonts w:hint="eastAsia"/>
                <w:bCs/>
                <w:color w:val="auto"/>
                <w:highlight w:val="none"/>
              </w:rPr>
              <w:t>0分）</w:t>
            </w:r>
          </w:p>
        </w:tc>
        <w:tc>
          <w:tcPr>
            <w:tcW w:w="7119" w:type="dxa"/>
          </w:tcPr>
          <w:p w14:paraId="2A3B39E3">
            <w:pPr>
              <w:rPr>
                <w:bCs/>
                <w:color w:val="auto"/>
                <w:highlight w:val="none"/>
              </w:rPr>
            </w:pPr>
            <w:bookmarkStart w:id="232" w:name="OLE_LINK16"/>
            <w:r>
              <w:rPr>
                <w:rFonts w:hint="eastAsia"/>
                <w:bCs/>
                <w:color w:val="auto"/>
                <w:highlight w:val="none"/>
              </w:rPr>
              <w:t>本项目以满足投标文件要求且报价最低的投标报价为基准价，其价格分为满分</w:t>
            </w:r>
          </w:p>
          <w:p w14:paraId="0709C3F8">
            <w:pPr>
              <w:rPr>
                <w:bCs/>
                <w:color w:val="auto"/>
                <w:highlight w:val="none"/>
              </w:rPr>
            </w:pPr>
            <w:r>
              <w:rPr>
                <w:rFonts w:hint="eastAsia"/>
                <w:bCs/>
                <w:color w:val="auto"/>
                <w:highlight w:val="none"/>
              </w:rPr>
              <w:t>其他供应商的价格分统一按照下列公式计算：</w:t>
            </w:r>
          </w:p>
          <w:p w14:paraId="49EC5010">
            <w:pPr>
              <w:rPr>
                <w:bCs/>
                <w:color w:val="auto"/>
                <w:highlight w:val="none"/>
              </w:rPr>
            </w:pPr>
            <w:r>
              <w:rPr>
                <w:rFonts w:hint="eastAsia"/>
                <w:bCs/>
                <w:color w:val="auto"/>
                <w:highlight w:val="none"/>
              </w:rPr>
              <w:t>最后响应报价得分=(基准报价／最终评标价)×</w:t>
            </w:r>
            <w:r>
              <w:rPr>
                <w:rFonts w:hint="eastAsia"/>
                <w:bCs/>
                <w:color w:val="auto"/>
                <w:highlight w:val="none"/>
                <w:lang w:val="en-US"/>
              </w:rPr>
              <w:t>4</w:t>
            </w:r>
            <w:r>
              <w:rPr>
                <w:rFonts w:hint="eastAsia"/>
                <w:bCs/>
                <w:color w:val="auto"/>
                <w:highlight w:val="none"/>
              </w:rPr>
              <w:t>0分</w:t>
            </w:r>
          </w:p>
          <w:p w14:paraId="21B5201D">
            <w:pPr>
              <w:rPr>
                <w:bCs/>
                <w:color w:val="auto"/>
                <w:highlight w:val="none"/>
              </w:rPr>
            </w:pPr>
            <w:r>
              <w:rPr>
                <w:rFonts w:hint="eastAsia"/>
                <w:bCs/>
                <w:color w:val="auto"/>
                <w:highlight w:val="none"/>
              </w:rPr>
              <w:t>有效供应商最终评标价=供应商最后响应报价×（100%-价格优惠系数）</w:t>
            </w:r>
          </w:p>
          <w:p w14:paraId="02F76860">
            <w:pPr>
              <w:rPr>
                <w:bCs/>
                <w:color w:val="auto"/>
                <w:highlight w:val="none"/>
              </w:rPr>
            </w:pPr>
            <w:bookmarkStart w:id="233" w:name="OLE_LINK4"/>
            <w:bookmarkStart w:id="234" w:name="OLE_LINK3"/>
            <w:r>
              <w:rPr>
                <w:rFonts w:hint="eastAsia"/>
                <w:bCs/>
                <w:color w:val="auto"/>
                <w:highlight w:val="none"/>
              </w:rPr>
              <w:t>注：</w:t>
            </w:r>
            <w:r>
              <w:rPr>
                <w:rFonts w:hint="eastAsia"/>
                <w:bCs/>
                <w:color w:val="auto"/>
                <w:highlight w:val="none"/>
                <w:lang w:val="en-US"/>
              </w:rPr>
              <w:t>对于经主管预算单位统筹后未预留份额专门面向中小企业采购的采购项目，以及预留份额项目中的非预留部分采购包，应当对符合规定的小微企业报价给予10%—20%的扣除，用扣除后的价格参加评审，本项目的扣除比例为20%</w:t>
            </w:r>
            <w:bookmarkEnd w:id="232"/>
            <w:bookmarkEnd w:id="233"/>
            <w:bookmarkEnd w:id="234"/>
          </w:p>
        </w:tc>
      </w:tr>
      <w:tr w14:paraId="71C6D7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725" w:hRule="atLeast"/>
          <w:jc w:val="center"/>
        </w:trPr>
        <w:tc>
          <w:tcPr>
            <w:tcW w:w="1152" w:type="dxa"/>
            <w:vMerge w:val="restart"/>
            <w:vAlign w:val="center"/>
          </w:tcPr>
          <w:p w14:paraId="0627A62F">
            <w:pPr>
              <w:jc w:val="center"/>
              <w:rPr>
                <w:bCs/>
                <w:color w:val="auto"/>
                <w:highlight w:val="none"/>
              </w:rPr>
            </w:pPr>
            <w:r>
              <w:rPr>
                <w:rFonts w:hint="eastAsia"/>
                <w:bCs/>
                <w:color w:val="auto"/>
                <w:highlight w:val="none"/>
              </w:rPr>
              <w:t>技术标</w:t>
            </w:r>
          </w:p>
          <w:p w14:paraId="1A6B26B4">
            <w:pPr>
              <w:widowControl/>
              <w:jc w:val="center"/>
              <w:rPr>
                <w:color w:val="auto"/>
                <w:highlight w:val="none"/>
              </w:rPr>
            </w:pPr>
            <w:r>
              <w:rPr>
                <w:rFonts w:hint="eastAsia"/>
                <w:bCs/>
                <w:color w:val="auto"/>
                <w:highlight w:val="none"/>
              </w:rPr>
              <w:t>（</w:t>
            </w:r>
            <w:r>
              <w:rPr>
                <w:rFonts w:hint="eastAsia"/>
                <w:bCs/>
                <w:color w:val="auto"/>
                <w:highlight w:val="none"/>
                <w:lang w:val="en-US"/>
              </w:rPr>
              <w:t>2</w:t>
            </w:r>
            <w:r>
              <w:rPr>
                <w:rFonts w:hint="eastAsia"/>
                <w:bCs/>
                <w:color w:val="auto"/>
                <w:highlight w:val="none"/>
              </w:rPr>
              <w:t>8分）</w:t>
            </w:r>
          </w:p>
        </w:tc>
        <w:tc>
          <w:tcPr>
            <w:tcW w:w="1128" w:type="dxa"/>
            <w:vAlign w:val="center"/>
          </w:tcPr>
          <w:p w14:paraId="52868F57">
            <w:pPr>
              <w:jc w:val="center"/>
              <w:rPr>
                <w:bCs/>
                <w:color w:val="auto"/>
                <w:highlight w:val="none"/>
              </w:rPr>
            </w:pPr>
            <w:r>
              <w:rPr>
                <w:rFonts w:hint="eastAsia"/>
                <w:bCs/>
                <w:color w:val="auto"/>
                <w:highlight w:val="none"/>
              </w:rPr>
              <w:t>技术指标</w:t>
            </w:r>
          </w:p>
          <w:p w14:paraId="0D6FF961">
            <w:pPr>
              <w:jc w:val="center"/>
              <w:rPr>
                <w:bCs/>
                <w:color w:val="auto"/>
                <w:highlight w:val="none"/>
              </w:rPr>
            </w:pPr>
            <w:r>
              <w:rPr>
                <w:rFonts w:hint="eastAsia"/>
                <w:bCs/>
                <w:color w:val="auto"/>
                <w:highlight w:val="none"/>
              </w:rPr>
              <w:t>（</w:t>
            </w:r>
            <w:r>
              <w:rPr>
                <w:rFonts w:hint="eastAsia"/>
                <w:bCs/>
                <w:color w:val="auto"/>
                <w:highlight w:val="none"/>
                <w:lang w:val="en-US"/>
              </w:rPr>
              <w:t>2</w:t>
            </w:r>
            <w:r>
              <w:rPr>
                <w:rFonts w:hint="eastAsia"/>
                <w:bCs/>
                <w:color w:val="auto"/>
                <w:highlight w:val="none"/>
              </w:rPr>
              <w:t>7分）</w:t>
            </w:r>
          </w:p>
        </w:tc>
        <w:tc>
          <w:tcPr>
            <w:tcW w:w="7119" w:type="dxa"/>
            <w:vAlign w:val="center"/>
          </w:tcPr>
          <w:p w14:paraId="17C502E1">
            <w:pPr>
              <w:rPr>
                <w:bCs/>
                <w:color w:val="auto"/>
                <w:highlight w:val="none"/>
              </w:rPr>
            </w:pPr>
            <w:r>
              <w:rPr>
                <w:rFonts w:hint="eastAsia"/>
                <w:bCs/>
                <w:color w:val="auto"/>
                <w:highlight w:val="none"/>
              </w:rPr>
              <w:t>招标文件中的技术参数每有一条标注★不满足的，扣1分；每有一条非标注★不满足的，扣0.5分，扣完为止。</w:t>
            </w:r>
          </w:p>
          <w:p w14:paraId="30044973">
            <w:pPr>
              <w:rPr>
                <w:bCs/>
                <w:color w:val="auto"/>
                <w:highlight w:val="none"/>
              </w:rPr>
            </w:pPr>
            <w:bookmarkStart w:id="235" w:name="OLE_LINK5"/>
            <w:r>
              <w:rPr>
                <w:rFonts w:hint="eastAsia"/>
                <w:bCs/>
                <w:color w:val="auto"/>
                <w:highlight w:val="none"/>
              </w:rPr>
              <w:t>注：标★项参数为重要参数，如提供虚假参数，将被列入黑名单，提供加盖制造商公章的权威检测机构出具的检测报告复印件以供备查。</w:t>
            </w:r>
            <w:bookmarkEnd w:id="235"/>
          </w:p>
        </w:tc>
      </w:tr>
      <w:tr w14:paraId="00687F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500" w:hRule="atLeast"/>
          <w:jc w:val="center"/>
        </w:trPr>
        <w:tc>
          <w:tcPr>
            <w:tcW w:w="1152" w:type="dxa"/>
            <w:vMerge w:val="continue"/>
            <w:vAlign w:val="center"/>
          </w:tcPr>
          <w:p w14:paraId="3EF90D20">
            <w:pPr>
              <w:jc w:val="center"/>
              <w:rPr>
                <w:bCs/>
                <w:color w:val="auto"/>
                <w:highlight w:val="none"/>
              </w:rPr>
            </w:pPr>
          </w:p>
        </w:tc>
        <w:tc>
          <w:tcPr>
            <w:tcW w:w="1128" w:type="dxa"/>
            <w:vAlign w:val="center"/>
          </w:tcPr>
          <w:p w14:paraId="0EC3EB01">
            <w:pPr>
              <w:jc w:val="center"/>
              <w:rPr>
                <w:bCs/>
                <w:color w:val="auto"/>
                <w:highlight w:val="none"/>
              </w:rPr>
            </w:pPr>
            <w:r>
              <w:rPr>
                <w:rFonts w:hint="eastAsia"/>
                <w:bCs/>
                <w:color w:val="auto"/>
                <w:highlight w:val="none"/>
              </w:rPr>
              <w:t>节能环保</w:t>
            </w:r>
          </w:p>
          <w:p w14:paraId="0F4D2366">
            <w:pPr>
              <w:jc w:val="center"/>
              <w:rPr>
                <w:bCs/>
                <w:color w:val="auto"/>
                <w:highlight w:val="none"/>
              </w:rPr>
            </w:pPr>
            <w:r>
              <w:rPr>
                <w:rFonts w:hint="eastAsia"/>
                <w:bCs/>
                <w:color w:val="auto"/>
                <w:highlight w:val="none"/>
              </w:rPr>
              <w:t>（1分）</w:t>
            </w:r>
          </w:p>
        </w:tc>
        <w:tc>
          <w:tcPr>
            <w:tcW w:w="7119" w:type="dxa"/>
            <w:vAlign w:val="center"/>
          </w:tcPr>
          <w:p w14:paraId="6E003DAF">
            <w:pPr>
              <w:rPr>
                <w:bCs/>
                <w:color w:val="auto"/>
                <w:highlight w:val="none"/>
              </w:rPr>
            </w:pPr>
            <w:r>
              <w:rPr>
                <w:rFonts w:hint="eastAsia"/>
                <w:bCs/>
                <w:color w:val="auto"/>
                <w:highlight w:val="none"/>
              </w:rPr>
              <w:t xml:space="preserve">供应商所投产品属于政府采购优先采购节能产品或环境标志产品的，两项都有得1分，缺少任意一项不得分。 </w:t>
            </w:r>
          </w:p>
          <w:p w14:paraId="49F78CC5">
            <w:pPr>
              <w:rPr>
                <w:bCs/>
                <w:color w:val="auto"/>
                <w:highlight w:val="none"/>
              </w:rPr>
            </w:pPr>
            <w:r>
              <w:rPr>
                <w:rFonts w:hint="eastAsia"/>
                <w:bCs/>
                <w:color w:val="auto"/>
                <w:highlight w:val="none"/>
              </w:rPr>
              <w:t>注：上述节能产品不包含强制节能产品；同一项产品同时具备节能产品和环境标志产品认证证书的，不重复得分。（响应文件中附处于有效期之内的节能产品、环境标志产品认证证书）</w:t>
            </w:r>
            <w:r>
              <w:rPr>
                <w:rFonts w:hint="eastAsia"/>
                <w:color w:val="auto"/>
                <w:highlight w:val="none"/>
              </w:rPr>
              <w:t>。</w:t>
            </w:r>
          </w:p>
        </w:tc>
      </w:tr>
      <w:tr w14:paraId="46B28C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552" w:hRule="atLeast"/>
          <w:jc w:val="center"/>
        </w:trPr>
        <w:tc>
          <w:tcPr>
            <w:tcW w:w="1152" w:type="dxa"/>
            <w:vMerge w:val="restart"/>
            <w:vAlign w:val="center"/>
          </w:tcPr>
          <w:p w14:paraId="6D90660B">
            <w:pPr>
              <w:jc w:val="center"/>
              <w:rPr>
                <w:bCs/>
                <w:color w:val="auto"/>
                <w:highlight w:val="none"/>
              </w:rPr>
            </w:pPr>
            <w:r>
              <w:rPr>
                <w:rFonts w:hint="eastAsia"/>
                <w:bCs/>
                <w:color w:val="auto"/>
                <w:highlight w:val="none"/>
              </w:rPr>
              <w:t>商务标</w:t>
            </w:r>
          </w:p>
          <w:p w14:paraId="739456CF">
            <w:pPr>
              <w:jc w:val="center"/>
              <w:rPr>
                <w:bCs/>
                <w:color w:val="auto"/>
                <w:highlight w:val="none"/>
              </w:rPr>
            </w:pPr>
            <w:r>
              <w:rPr>
                <w:rFonts w:hint="eastAsia"/>
                <w:bCs/>
                <w:color w:val="auto"/>
                <w:highlight w:val="none"/>
              </w:rPr>
              <w:t>（32分）</w:t>
            </w:r>
          </w:p>
        </w:tc>
        <w:tc>
          <w:tcPr>
            <w:tcW w:w="1128" w:type="dxa"/>
            <w:vAlign w:val="center"/>
          </w:tcPr>
          <w:p w14:paraId="50D677FF">
            <w:pPr>
              <w:widowControl/>
              <w:jc w:val="center"/>
              <w:rPr>
                <w:color w:val="auto"/>
                <w:highlight w:val="none"/>
              </w:rPr>
            </w:pPr>
            <w:r>
              <w:rPr>
                <w:rFonts w:hint="eastAsia"/>
                <w:color w:val="auto"/>
                <w:highlight w:val="none"/>
                <w:lang w:val="en-US"/>
              </w:rPr>
              <w:t>实施方案（15分）</w:t>
            </w:r>
          </w:p>
        </w:tc>
        <w:tc>
          <w:tcPr>
            <w:tcW w:w="7119" w:type="dxa"/>
            <w:vAlign w:val="center"/>
          </w:tcPr>
          <w:p w14:paraId="4EA75DDE">
            <w:pPr>
              <w:pStyle w:val="14"/>
              <w:widowControl/>
              <w:spacing w:beforeAutospacing="0" w:afterAutospacing="0"/>
              <w:rPr>
                <w:color w:val="auto"/>
                <w:sz w:val="22"/>
                <w:highlight w:val="none"/>
              </w:rPr>
            </w:pPr>
            <w:bookmarkStart w:id="236" w:name="OLE_LINK6"/>
            <w:bookmarkStart w:id="237" w:name="OLE_LINK7"/>
            <w:r>
              <w:rPr>
                <w:rFonts w:hint="eastAsia"/>
                <w:color w:val="auto"/>
                <w:sz w:val="22"/>
                <w:highlight w:val="none"/>
                <w:lang w:val="en-US"/>
              </w:rPr>
              <w:t>1</w:t>
            </w:r>
            <w:r>
              <w:rPr>
                <w:rFonts w:hint="eastAsia"/>
                <w:color w:val="auto"/>
                <w:sz w:val="22"/>
                <w:highlight w:val="none"/>
              </w:rPr>
              <w:t xml:space="preserve">.有详细的组织机构及资源配备计划，组织机构及资源配备计划描述非常详细具体、合理的得3-5分，基本合理的得1-2分，缺项不得分。 </w:t>
            </w:r>
          </w:p>
          <w:p w14:paraId="09FFCBE7">
            <w:pPr>
              <w:pStyle w:val="14"/>
              <w:widowControl/>
              <w:spacing w:beforeAutospacing="0" w:afterAutospacing="0"/>
              <w:rPr>
                <w:color w:val="auto"/>
                <w:sz w:val="22"/>
                <w:highlight w:val="none"/>
              </w:rPr>
            </w:pPr>
            <w:r>
              <w:rPr>
                <w:rFonts w:hint="eastAsia"/>
                <w:color w:val="auto"/>
                <w:sz w:val="22"/>
                <w:highlight w:val="none"/>
              </w:rPr>
              <w:t xml:space="preserve">2.质量保证措施（包含但不限于质量控制目标、质量保障计划、质量控制流程等方面内容）。描述非常全面、详细、措施合理有效的得3-5分，基本详细的得1-2分，缺项不得分。 </w:t>
            </w:r>
          </w:p>
          <w:p w14:paraId="2D3647CF">
            <w:pPr>
              <w:pStyle w:val="14"/>
              <w:widowControl/>
              <w:spacing w:beforeAutospacing="0" w:afterAutospacing="0"/>
              <w:rPr>
                <w:bCs/>
                <w:color w:val="auto"/>
                <w:sz w:val="22"/>
                <w:highlight w:val="none"/>
              </w:rPr>
            </w:pPr>
            <w:r>
              <w:rPr>
                <w:rFonts w:hint="eastAsia"/>
                <w:color w:val="auto"/>
                <w:sz w:val="22"/>
                <w:highlight w:val="none"/>
              </w:rPr>
              <w:t>3.有完善的安装调试方案。描述非常合理、可行、全面的得3-5分，比较全面的得1-2分，缺项不得分。</w:t>
            </w:r>
            <w:bookmarkEnd w:id="236"/>
            <w:bookmarkEnd w:id="237"/>
          </w:p>
        </w:tc>
      </w:tr>
      <w:tr w14:paraId="5324EB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552" w:hRule="atLeast"/>
          <w:jc w:val="center"/>
        </w:trPr>
        <w:tc>
          <w:tcPr>
            <w:tcW w:w="1152" w:type="dxa"/>
            <w:vMerge w:val="continue"/>
            <w:vAlign w:val="center"/>
          </w:tcPr>
          <w:p w14:paraId="25AEF41A">
            <w:pPr>
              <w:jc w:val="center"/>
              <w:rPr>
                <w:bCs/>
                <w:color w:val="auto"/>
                <w:highlight w:val="none"/>
              </w:rPr>
            </w:pPr>
          </w:p>
        </w:tc>
        <w:tc>
          <w:tcPr>
            <w:tcW w:w="1128" w:type="dxa"/>
            <w:vAlign w:val="center"/>
          </w:tcPr>
          <w:p w14:paraId="5F072617">
            <w:pPr>
              <w:widowControl/>
              <w:jc w:val="center"/>
              <w:rPr>
                <w:color w:val="auto"/>
                <w:highlight w:val="none"/>
              </w:rPr>
            </w:pPr>
            <w:r>
              <w:rPr>
                <w:rFonts w:hint="eastAsia"/>
                <w:color w:val="auto"/>
                <w:highlight w:val="none"/>
              </w:rPr>
              <w:t>技术方案（7分）</w:t>
            </w:r>
          </w:p>
        </w:tc>
        <w:tc>
          <w:tcPr>
            <w:tcW w:w="7119" w:type="dxa"/>
            <w:vAlign w:val="center"/>
          </w:tcPr>
          <w:p w14:paraId="70C873AE">
            <w:pPr>
              <w:rPr>
                <w:bCs/>
                <w:color w:val="auto"/>
                <w:highlight w:val="none"/>
              </w:rPr>
            </w:pPr>
            <w:r>
              <w:rPr>
                <w:rFonts w:hint="eastAsia"/>
                <w:bCs/>
                <w:color w:val="auto"/>
                <w:highlight w:val="none"/>
              </w:rPr>
              <w:t>由评标小组根据各供应商提供的技术方案（包含项目现状描述、需求分析、架构设计、功能描述等方面）进行评审，依据如下：</w:t>
            </w:r>
          </w:p>
          <w:p w14:paraId="4BA26986">
            <w:pPr>
              <w:rPr>
                <w:bCs/>
                <w:color w:val="auto"/>
                <w:highlight w:val="none"/>
              </w:rPr>
            </w:pPr>
            <w:bookmarkStart w:id="238" w:name="OLE_LINK8"/>
            <w:bookmarkStart w:id="239" w:name="OLE_LINK9"/>
            <w:r>
              <w:rPr>
                <w:rFonts w:hint="eastAsia"/>
                <w:bCs/>
                <w:color w:val="auto"/>
                <w:highlight w:val="none"/>
              </w:rPr>
              <w:t>1、项目现状描述详细，投标人能基于现状详细阐述项目建设完成后整体系统架构、建设内容，系统架构及功能描述详细、能够完全满足招标要求、且切实可行，得7分；</w:t>
            </w:r>
          </w:p>
          <w:p w14:paraId="3C3DBC71">
            <w:pPr>
              <w:rPr>
                <w:bCs/>
                <w:color w:val="auto"/>
                <w:highlight w:val="none"/>
              </w:rPr>
            </w:pPr>
            <w:r>
              <w:rPr>
                <w:rFonts w:hint="eastAsia"/>
                <w:bCs/>
                <w:color w:val="auto"/>
                <w:highlight w:val="none"/>
              </w:rPr>
              <w:t>2、项目现状描述较详细，投标人能提供整体系统架构、建设内容，系统结构及功能描述较详细、能够满足招标要求，得4分；</w:t>
            </w:r>
          </w:p>
          <w:p w14:paraId="67E96A45">
            <w:pPr>
              <w:rPr>
                <w:bCs/>
                <w:color w:val="auto"/>
                <w:highlight w:val="none"/>
              </w:rPr>
            </w:pPr>
            <w:r>
              <w:rPr>
                <w:rFonts w:hint="eastAsia"/>
                <w:bCs/>
                <w:color w:val="auto"/>
                <w:highlight w:val="none"/>
              </w:rPr>
              <w:t>3、项目现状描述一般或无现状描述，投标人提供技术方案有缺失、合理性一般，基本满足招标要求，得1分。</w:t>
            </w:r>
            <w:bookmarkEnd w:id="238"/>
            <w:bookmarkEnd w:id="239"/>
          </w:p>
        </w:tc>
      </w:tr>
      <w:tr w14:paraId="34BD2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59" w:hRule="atLeast"/>
          <w:jc w:val="center"/>
        </w:trPr>
        <w:tc>
          <w:tcPr>
            <w:tcW w:w="1152" w:type="dxa"/>
            <w:vMerge w:val="continue"/>
            <w:vAlign w:val="center"/>
          </w:tcPr>
          <w:p w14:paraId="25E4A63A">
            <w:pPr>
              <w:jc w:val="center"/>
              <w:rPr>
                <w:bCs/>
                <w:color w:val="auto"/>
                <w:highlight w:val="none"/>
              </w:rPr>
            </w:pPr>
          </w:p>
        </w:tc>
        <w:tc>
          <w:tcPr>
            <w:tcW w:w="1128" w:type="dxa"/>
            <w:vAlign w:val="center"/>
          </w:tcPr>
          <w:p w14:paraId="24266829">
            <w:pPr>
              <w:widowControl/>
              <w:jc w:val="center"/>
              <w:rPr>
                <w:color w:val="auto"/>
                <w:highlight w:val="none"/>
              </w:rPr>
            </w:pPr>
            <w:r>
              <w:rPr>
                <w:rFonts w:hint="eastAsia"/>
                <w:color w:val="auto"/>
                <w:highlight w:val="none"/>
              </w:rPr>
              <w:t>售后服务</w:t>
            </w:r>
          </w:p>
          <w:p w14:paraId="3FBAA1B6">
            <w:pPr>
              <w:widowControl/>
              <w:jc w:val="center"/>
              <w:rPr>
                <w:color w:val="auto"/>
                <w:highlight w:val="none"/>
              </w:rPr>
            </w:pPr>
            <w:r>
              <w:rPr>
                <w:rFonts w:hint="eastAsia"/>
                <w:color w:val="auto"/>
                <w:highlight w:val="none"/>
              </w:rPr>
              <w:t>（5分）</w:t>
            </w:r>
          </w:p>
        </w:tc>
        <w:tc>
          <w:tcPr>
            <w:tcW w:w="7119" w:type="dxa"/>
            <w:vAlign w:val="center"/>
          </w:tcPr>
          <w:p w14:paraId="74BD89A1">
            <w:pPr>
              <w:rPr>
                <w:bCs/>
                <w:color w:val="auto"/>
                <w:highlight w:val="none"/>
              </w:rPr>
            </w:pPr>
            <w:r>
              <w:rPr>
                <w:rFonts w:hint="eastAsia"/>
                <w:bCs/>
                <w:color w:val="auto"/>
                <w:highlight w:val="none"/>
              </w:rPr>
              <w:t>供应商提供完整、可行、合理的技术支持与售后维护方案，详细说明售后服务的内容、形式、解决质量或操作问题的响应时间、解决问题时间、免费质保期承诺、维修单位名称、地点、维修技术人员。评标小组根据各供应商提供的售后服务方案进行评审，依据如下：</w:t>
            </w:r>
          </w:p>
          <w:p w14:paraId="1E7A82A1">
            <w:pPr>
              <w:rPr>
                <w:bCs/>
                <w:color w:val="auto"/>
                <w:highlight w:val="none"/>
              </w:rPr>
            </w:pPr>
            <w:r>
              <w:rPr>
                <w:rFonts w:hint="eastAsia"/>
                <w:bCs/>
                <w:color w:val="auto"/>
                <w:highlight w:val="none"/>
              </w:rPr>
              <w:t>（1）方案、措施及承诺全面完善、科学合理、针对性及可实施性强，能很好的满足本项目售后服务需求，得5分。</w:t>
            </w:r>
          </w:p>
          <w:p w14:paraId="7B1CBC9F">
            <w:pPr>
              <w:rPr>
                <w:bCs/>
                <w:color w:val="auto"/>
                <w:highlight w:val="none"/>
              </w:rPr>
            </w:pPr>
            <w:r>
              <w:rPr>
                <w:rFonts w:hint="eastAsia"/>
                <w:bCs/>
                <w:color w:val="auto"/>
                <w:highlight w:val="none"/>
              </w:rPr>
              <w:t>（2）方案、措施及承诺较为全面合理、针对性及可实施性一般，能较好的满足本项目售后服务需求，得3分。</w:t>
            </w:r>
          </w:p>
          <w:p w14:paraId="592A9BF4">
            <w:pPr>
              <w:rPr>
                <w:bCs/>
                <w:color w:val="auto"/>
                <w:highlight w:val="none"/>
              </w:rPr>
            </w:pPr>
            <w:r>
              <w:rPr>
                <w:rFonts w:hint="eastAsia"/>
                <w:bCs/>
                <w:color w:val="auto"/>
                <w:highlight w:val="none"/>
              </w:rPr>
              <w:t>（3）方案、措施及承诺均为通用性的说明，无针对性，能基本满足本项目售后服务需求，得1分。</w:t>
            </w:r>
          </w:p>
        </w:tc>
      </w:tr>
      <w:tr w14:paraId="7ED956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755" w:hRule="atLeast"/>
          <w:jc w:val="center"/>
        </w:trPr>
        <w:tc>
          <w:tcPr>
            <w:tcW w:w="1152" w:type="dxa"/>
            <w:vMerge w:val="continue"/>
            <w:vAlign w:val="center"/>
          </w:tcPr>
          <w:p w14:paraId="5EB30772">
            <w:pPr>
              <w:jc w:val="center"/>
              <w:rPr>
                <w:bCs/>
                <w:color w:val="auto"/>
                <w:highlight w:val="none"/>
              </w:rPr>
            </w:pPr>
          </w:p>
        </w:tc>
        <w:tc>
          <w:tcPr>
            <w:tcW w:w="1128" w:type="dxa"/>
            <w:vAlign w:val="center"/>
          </w:tcPr>
          <w:p w14:paraId="21B3C445">
            <w:pPr>
              <w:widowControl/>
              <w:jc w:val="center"/>
              <w:rPr>
                <w:color w:val="auto"/>
                <w:highlight w:val="none"/>
              </w:rPr>
            </w:pPr>
            <w:r>
              <w:rPr>
                <w:rFonts w:hint="eastAsia"/>
                <w:color w:val="auto"/>
                <w:highlight w:val="none"/>
              </w:rPr>
              <w:t>人员培训</w:t>
            </w:r>
          </w:p>
          <w:p w14:paraId="66C06AD2">
            <w:pPr>
              <w:widowControl/>
              <w:jc w:val="center"/>
              <w:rPr>
                <w:color w:val="auto"/>
                <w:highlight w:val="none"/>
              </w:rPr>
            </w:pPr>
            <w:r>
              <w:rPr>
                <w:rFonts w:hint="eastAsia"/>
                <w:color w:val="auto"/>
                <w:highlight w:val="none"/>
              </w:rPr>
              <w:t>（5分）</w:t>
            </w:r>
          </w:p>
        </w:tc>
        <w:tc>
          <w:tcPr>
            <w:tcW w:w="7119" w:type="dxa"/>
            <w:vAlign w:val="center"/>
          </w:tcPr>
          <w:p w14:paraId="6414E8BF">
            <w:pPr>
              <w:rPr>
                <w:bCs/>
                <w:color w:val="auto"/>
                <w:highlight w:val="none"/>
              </w:rPr>
            </w:pPr>
            <w:r>
              <w:rPr>
                <w:rFonts w:hint="eastAsia"/>
                <w:bCs/>
                <w:color w:val="auto"/>
                <w:highlight w:val="none"/>
              </w:rPr>
              <w:t>由评标小组根据各供应商提供完整、可行、合理的培训方案，详细说明人员技术培训内容、培训方式、培训次数以及问题解答时间，评标小组根据各供应商提供的培训方案进行评审，依据如下：</w:t>
            </w:r>
          </w:p>
          <w:p w14:paraId="6E24F6CC">
            <w:pPr>
              <w:rPr>
                <w:bCs/>
                <w:color w:val="auto"/>
                <w:highlight w:val="none"/>
              </w:rPr>
            </w:pPr>
            <w:r>
              <w:rPr>
                <w:rFonts w:hint="eastAsia"/>
                <w:bCs/>
                <w:color w:val="auto"/>
                <w:highlight w:val="none"/>
              </w:rPr>
              <w:t>（1）方案、措施及承诺全面明确、清晰合理、可行，能很好的满足本项目人员技术培训需求，得5分。</w:t>
            </w:r>
          </w:p>
          <w:p w14:paraId="79226A22">
            <w:pPr>
              <w:rPr>
                <w:bCs/>
                <w:color w:val="auto"/>
                <w:highlight w:val="none"/>
              </w:rPr>
            </w:pPr>
            <w:r>
              <w:rPr>
                <w:rFonts w:hint="eastAsia"/>
                <w:bCs/>
                <w:color w:val="auto"/>
                <w:highlight w:val="none"/>
              </w:rPr>
              <w:t>（2）方案、措施及承诺较为全面、合理、可行，能较好的满足本项目人员技术培训需求，得3分。</w:t>
            </w:r>
          </w:p>
          <w:p w14:paraId="5DEE92B0">
            <w:pPr>
              <w:rPr>
                <w:bCs/>
                <w:color w:val="auto"/>
                <w:highlight w:val="none"/>
              </w:rPr>
            </w:pPr>
            <w:r>
              <w:rPr>
                <w:rFonts w:hint="eastAsia"/>
                <w:bCs/>
                <w:color w:val="auto"/>
                <w:highlight w:val="none"/>
              </w:rPr>
              <w:t>（3）方案、措施及承诺有缺失或纰漏，合理性一般，基本满足本项目人员技术培训需求，得1分。</w:t>
            </w:r>
          </w:p>
        </w:tc>
      </w:tr>
      <w:tr w14:paraId="2FA41B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1792" w:hRule="atLeast"/>
          <w:jc w:val="center"/>
        </w:trPr>
        <w:tc>
          <w:tcPr>
            <w:tcW w:w="9399" w:type="dxa"/>
            <w:gridSpan w:val="3"/>
          </w:tcPr>
          <w:p w14:paraId="78B6C543">
            <w:pPr>
              <w:spacing w:line="360" w:lineRule="exact"/>
              <w:textAlignment w:val="baseline"/>
              <w:rPr>
                <w:color w:val="auto"/>
                <w:highlight w:val="none"/>
              </w:rPr>
            </w:pPr>
            <w:r>
              <w:rPr>
                <w:rFonts w:hint="eastAsia"/>
                <w:color w:val="auto"/>
                <w:highlight w:val="none"/>
              </w:rPr>
              <w:t>备注：</w:t>
            </w:r>
          </w:p>
          <w:p w14:paraId="01D1F1A6">
            <w:pPr>
              <w:spacing w:line="360" w:lineRule="exact"/>
              <w:ind w:firstLine="660" w:firstLineChars="300"/>
              <w:textAlignment w:val="baseline"/>
              <w:rPr>
                <w:color w:val="auto"/>
                <w:highlight w:val="none"/>
              </w:rPr>
            </w:pPr>
            <w:r>
              <w:rPr>
                <w:rFonts w:hint="eastAsia"/>
                <w:color w:val="auto"/>
                <w:highlight w:val="none"/>
              </w:rPr>
              <w:t>1、供应商综合得分＝经济标得分＋技术标得分＋商务标得分。</w:t>
            </w:r>
          </w:p>
          <w:p w14:paraId="0A1857AE">
            <w:pPr>
              <w:spacing w:line="360" w:lineRule="exact"/>
              <w:ind w:firstLine="660" w:firstLineChars="300"/>
              <w:textAlignment w:val="baseline"/>
              <w:rPr>
                <w:color w:val="auto"/>
                <w:highlight w:val="none"/>
              </w:rPr>
            </w:pPr>
            <w:r>
              <w:rPr>
                <w:rFonts w:hint="eastAsia"/>
                <w:color w:val="auto"/>
                <w:highlight w:val="none"/>
              </w:rPr>
              <w:t>2、供应商的最终得分：评标委员会完成对经济标、技术标和商务标的汇总后，取平均值作为该供应商的最终得分。</w:t>
            </w:r>
          </w:p>
          <w:p w14:paraId="6846A23F">
            <w:pPr>
              <w:spacing w:line="360" w:lineRule="exact"/>
              <w:ind w:firstLine="660" w:firstLineChars="300"/>
              <w:textAlignment w:val="baseline"/>
              <w:rPr>
                <w:color w:val="auto"/>
                <w:highlight w:val="none"/>
              </w:rPr>
            </w:pPr>
            <w:r>
              <w:rPr>
                <w:rFonts w:hint="eastAsia"/>
                <w:color w:val="auto"/>
                <w:highlight w:val="none"/>
              </w:rPr>
              <w:t>3、本办法计算过程中分值按四舍五入保留两位小数。</w:t>
            </w:r>
          </w:p>
        </w:tc>
      </w:tr>
    </w:tbl>
    <w:p w14:paraId="4D095C90">
      <w:pPr>
        <w:spacing w:line="360" w:lineRule="auto"/>
        <w:ind w:firstLine="440" w:firstLineChars="200"/>
        <w:rPr>
          <w:color w:val="auto"/>
          <w:highlight w:val="none"/>
        </w:rPr>
      </w:pPr>
      <w:r>
        <w:rPr>
          <w:rFonts w:hint="eastAsia"/>
          <w:color w:val="auto"/>
          <w:highlight w:val="none"/>
          <w:lang w:val="en-US"/>
        </w:rPr>
        <w:t>1.</w:t>
      </w:r>
      <w:r>
        <w:rPr>
          <w:rFonts w:hint="eastAsia"/>
          <w:color w:val="auto"/>
          <w:highlight w:val="none"/>
        </w:rPr>
        <w:t>评审程序</w:t>
      </w:r>
    </w:p>
    <w:p w14:paraId="117B6365">
      <w:pPr>
        <w:spacing w:line="360" w:lineRule="auto"/>
        <w:ind w:firstLine="440" w:firstLineChars="200"/>
        <w:rPr>
          <w:color w:val="auto"/>
          <w:highlight w:val="none"/>
        </w:rPr>
      </w:pPr>
      <w:r>
        <w:rPr>
          <w:rFonts w:hint="eastAsia"/>
          <w:color w:val="auto"/>
          <w:highlight w:val="none"/>
          <w:lang w:val="en-US"/>
        </w:rPr>
        <w:t>1.1</w:t>
      </w:r>
      <w:r>
        <w:rPr>
          <w:rFonts w:hint="eastAsia"/>
          <w:color w:val="auto"/>
          <w:highlight w:val="none"/>
        </w:rPr>
        <w:t>评审工作按以下程序进行：</w:t>
      </w:r>
    </w:p>
    <w:p w14:paraId="02D16B67">
      <w:pPr>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投标文件初审；</w:t>
      </w:r>
    </w:p>
    <w:p w14:paraId="79BAE919">
      <w:pPr>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澄清有关问题；</w:t>
      </w:r>
    </w:p>
    <w:p w14:paraId="1914B303">
      <w:pPr>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比较与评价；</w:t>
      </w:r>
    </w:p>
    <w:p w14:paraId="685A98E3">
      <w:pPr>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推荐中标候选人名单。</w:t>
      </w:r>
    </w:p>
    <w:p w14:paraId="66B73E71">
      <w:pPr>
        <w:spacing w:line="360" w:lineRule="auto"/>
        <w:ind w:firstLine="440" w:firstLineChars="200"/>
        <w:rPr>
          <w:color w:val="auto"/>
          <w:highlight w:val="none"/>
        </w:rPr>
      </w:pPr>
      <w:r>
        <w:rPr>
          <w:rFonts w:hint="eastAsia"/>
          <w:color w:val="auto"/>
          <w:highlight w:val="none"/>
          <w:lang w:val="en-US"/>
        </w:rPr>
        <w:t>1.2</w:t>
      </w:r>
      <w:r>
        <w:rPr>
          <w:rFonts w:hint="eastAsia"/>
          <w:color w:val="auto"/>
          <w:highlight w:val="none"/>
        </w:rPr>
        <w:t>评审小组按照上述程序审查投标人的投标文件，评审程序中的前一项程序未通过的投标文件不再进入下一程序的评审。</w:t>
      </w:r>
    </w:p>
    <w:p w14:paraId="3E5B7BAC">
      <w:pPr>
        <w:spacing w:line="360" w:lineRule="auto"/>
        <w:ind w:firstLine="440" w:firstLineChars="200"/>
        <w:rPr>
          <w:color w:val="auto"/>
          <w:highlight w:val="none"/>
        </w:rPr>
      </w:pPr>
      <w:r>
        <w:rPr>
          <w:rFonts w:hint="eastAsia"/>
          <w:color w:val="auto"/>
          <w:highlight w:val="none"/>
          <w:lang w:val="en-US"/>
        </w:rPr>
        <w:t>2.</w:t>
      </w:r>
      <w:r>
        <w:rPr>
          <w:rFonts w:hint="eastAsia"/>
          <w:color w:val="auto"/>
          <w:highlight w:val="none"/>
        </w:rPr>
        <w:t>投标文件初审</w:t>
      </w:r>
    </w:p>
    <w:p w14:paraId="29E607B3">
      <w:pPr>
        <w:spacing w:line="360" w:lineRule="auto"/>
        <w:ind w:firstLine="440" w:firstLineChars="200"/>
        <w:rPr>
          <w:color w:val="auto"/>
          <w:highlight w:val="none"/>
        </w:rPr>
      </w:pPr>
      <w:r>
        <w:rPr>
          <w:rFonts w:hint="eastAsia"/>
          <w:color w:val="auto"/>
          <w:highlight w:val="none"/>
        </w:rPr>
        <w:t>投标文件的初审分为资格审查和符合性审查。</w:t>
      </w:r>
    </w:p>
    <w:p w14:paraId="2C066272">
      <w:pPr>
        <w:spacing w:line="360" w:lineRule="auto"/>
        <w:ind w:firstLine="440" w:firstLineChars="200"/>
        <w:rPr>
          <w:color w:val="auto"/>
          <w:highlight w:val="none"/>
        </w:rPr>
      </w:pPr>
      <w:r>
        <w:rPr>
          <w:rFonts w:hint="eastAsia"/>
          <w:color w:val="auto"/>
          <w:highlight w:val="none"/>
        </w:rPr>
        <w:t>依据《政府采购货物和服务招标投标管理办法》(财政部令87号)四十四条“公开招标采购项目开标结束后，采购人应当依法对投标人的资格进行审查。”</w:t>
      </w:r>
    </w:p>
    <w:p w14:paraId="14A44BE5">
      <w:pPr>
        <w:spacing w:line="360" w:lineRule="auto"/>
        <w:ind w:firstLine="440" w:firstLineChars="200"/>
        <w:rPr>
          <w:color w:val="auto"/>
          <w:highlight w:val="none"/>
        </w:rPr>
      </w:pPr>
      <w:r>
        <w:rPr>
          <w:rFonts w:hint="eastAsia"/>
          <w:color w:val="auto"/>
          <w:highlight w:val="none"/>
          <w:lang w:val="en-US"/>
        </w:rPr>
        <w:t>2.1</w:t>
      </w:r>
      <w:r>
        <w:rPr>
          <w:rFonts w:hint="eastAsia"/>
          <w:color w:val="auto"/>
          <w:highlight w:val="none"/>
        </w:rPr>
        <w:t>资格审查</w:t>
      </w:r>
    </w:p>
    <w:p w14:paraId="57054199">
      <w:pPr>
        <w:spacing w:line="360" w:lineRule="auto"/>
        <w:ind w:firstLine="440" w:firstLineChars="200"/>
        <w:rPr>
          <w:color w:val="auto"/>
          <w:highlight w:val="none"/>
        </w:rPr>
      </w:pPr>
      <w:r>
        <w:rPr>
          <w:rFonts w:hint="eastAsia"/>
          <w:color w:val="auto"/>
          <w:highlight w:val="none"/>
          <w:lang w:val="en-US"/>
        </w:rPr>
        <w:t>2.1.1</w:t>
      </w:r>
      <w:r>
        <w:rPr>
          <w:rFonts w:hint="eastAsia"/>
          <w:color w:val="auto"/>
          <w:highlight w:val="none"/>
        </w:rPr>
        <w:t>依据法律法规和招标文件的规定，对投标文件中的资格证明进行审查，以确定投标人是否具备投标资格。资格审查评审标准：见资格审查表。</w:t>
      </w:r>
    </w:p>
    <w:p w14:paraId="331D1386">
      <w:pPr>
        <w:spacing w:line="360" w:lineRule="auto"/>
        <w:ind w:firstLine="440" w:firstLineChars="200"/>
        <w:rPr>
          <w:color w:val="auto"/>
          <w:highlight w:val="none"/>
        </w:rPr>
      </w:pPr>
      <w:r>
        <w:rPr>
          <w:rFonts w:hint="eastAsia"/>
          <w:color w:val="auto"/>
          <w:highlight w:val="none"/>
          <w:lang w:val="en-US"/>
        </w:rPr>
        <w:t>2.1.2</w:t>
      </w:r>
      <w:r>
        <w:rPr>
          <w:rFonts w:hint="eastAsia"/>
          <w:color w:val="auto"/>
          <w:highlight w:val="none"/>
        </w:rPr>
        <w:t>当投标人资格预审申请文件的内容发生重大变化时，采购人依据资格预审文件规定的审查标准对其更新资料进行评审。有一项不符合审查标准的，合格投标人不足3家的，不得评标。</w:t>
      </w:r>
    </w:p>
    <w:p w14:paraId="23848BFF">
      <w:pPr>
        <w:spacing w:line="360" w:lineRule="auto"/>
        <w:ind w:firstLine="440" w:firstLineChars="200"/>
        <w:rPr>
          <w:color w:val="auto"/>
          <w:highlight w:val="none"/>
        </w:rPr>
      </w:pPr>
      <w:r>
        <w:rPr>
          <w:rFonts w:hint="eastAsia"/>
          <w:color w:val="auto"/>
          <w:highlight w:val="none"/>
          <w:lang w:val="en-US"/>
        </w:rPr>
        <w:t>2.2</w:t>
      </w:r>
      <w:r>
        <w:rPr>
          <w:rFonts w:hint="eastAsia"/>
          <w:color w:val="auto"/>
          <w:highlight w:val="none"/>
        </w:rPr>
        <w:t>符合性审查</w:t>
      </w:r>
    </w:p>
    <w:p w14:paraId="4B20263B">
      <w:pPr>
        <w:spacing w:line="360" w:lineRule="auto"/>
        <w:ind w:firstLine="440" w:firstLineChars="200"/>
        <w:rPr>
          <w:color w:val="auto"/>
          <w:highlight w:val="none"/>
        </w:rPr>
      </w:pPr>
      <w:r>
        <w:rPr>
          <w:rFonts w:hint="eastAsia"/>
          <w:color w:val="auto"/>
          <w:highlight w:val="none"/>
        </w:rPr>
        <w:t>依据招标文件的规定，从投标文件的有效性、完整性和对招标文件的响应程度进行审查，以确定是否对招标文件的实质性要求作出响应。符合性审查评审标准：见符合性审查表。</w:t>
      </w:r>
    </w:p>
    <w:p w14:paraId="36044425">
      <w:pPr>
        <w:spacing w:line="360" w:lineRule="auto"/>
        <w:ind w:firstLine="440" w:firstLineChars="200"/>
        <w:rPr>
          <w:color w:val="auto"/>
          <w:highlight w:val="none"/>
        </w:rPr>
      </w:pPr>
      <w:r>
        <w:rPr>
          <w:rFonts w:hint="eastAsia"/>
          <w:color w:val="auto"/>
          <w:highlight w:val="none"/>
          <w:lang w:val="en-US"/>
        </w:rPr>
        <w:t>3.</w:t>
      </w:r>
      <w:r>
        <w:rPr>
          <w:rFonts w:hint="eastAsia"/>
          <w:color w:val="auto"/>
          <w:highlight w:val="none"/>
        </w:rPr>
        <w:t>澄清有关问题</w:t>
      </w:r>
    </w:p>
    <w:p w14:paraId="468A32D0">
      <w:pPr>
        <w:spacing w:line="360" w:lineRule="auto"/>
        <w:ind w:firstLine="440" w:firstLineChars="200"/>
        <w:rPr>
          <w:color w:val="auto"/>
          <w:highlight w:val="none"/>
        </w:rPr>
      </w:pPr>
      <w:r>
        <w:rPr>
          <w:rFonts w:hint="eastAsia"/>
          <w:color w:val="auto"/>
          <w:highlight w:val="none"/>
          <w:lang w:val="en-US"/>
        </w:rPr>
        <w:t>3.1</w:t>
      </w:r>
      <w:r>
        <w:rPr>
          <w:rFonts w:hint="eastAsia"/>
          <w:color w:val="auto"/>
          <w:highlight w:val="none"/>
        </w:rPr>
        <w:t>对于投标文件中含义不明确、同类问题表述不一致或者有明显文字和计算错误的内容，评标委员会应当以书面形式要求投标人作出必要的澄清、说明或者补正。</w:t>
      </w:r>
    </w:p>
    <w:p w14:paraId="5B27124B">
      <w:pPr>
        <w:spacing w:line="360" w:lineRule="auto"/>
        <w:ind w:firstLine="440" w:firstLineChars="200"/>
        <w:rPr>
          <w:color w:val="auto"/>
          <w:highlight w:val="none"/>
        </w:rPr>
      </w:pPr>
      <w:r>
        <w:rPr>
          <w:rFonts w:hint="eastAsia"/>
          <w:color w:val="auto"/>
          <w:highlight w:val="none"/>
          <w:lang w:val="en-US"/>
        </w:rPr>
        <w:t>3.2</w:t>
      </w:r>
      <w:r>
        <w:rPr>
          <w:rFonts w:hint="eastAsia"/>
          <w:color w:val="auto"/>
          <w:highlight w:val="none"/>
        </w:rPr>
        <w:t>投标人的澄清、说明或者补正应当采用书面形式，并加盖公章，或者由法定代表人或其授权的代表签字。投标人的澄清、说明或者补正不得超出投标文件的范围或者改变投标文件的实质性内容。</w:t>
      </w:r>
    </w:p>
    <w:p w14:paraId="2164C69B">
      <w:pPr>
        <w:spacing w:line="360" w:lineRule="auto"/>
        <w:ind w:firstLine="440" w:firstLineChars="200"/>
        <w:rPr>
          <w:color w:val="auto"/>
          <w:highlight w:val="none"/>
        </w:rPr>
      </w:pPr>
      <w:r>
        <w:rPr>
          <w:rFonts w:hint="eastAsia"/>
          <w:color w:val="auto"/>
          <w:highlight w:val="none"/>
          <w:lang w:val="en-US"/>
        </w:rPr>
        <w:t>4.</w:t>
      </w:r>
      <w:r>
        <w:rPr>
          <w:rFonts w:hint="eastAsia"/>
          <w:color w:val="auto"/>
          <w:highlight w:val="none"/>
        </w:rPr>
        <w:t>比较与评价</w:t>
      </w:r>
    </w:p>
    <w:p w14:paraId="28323405">
      <w:pPr>
        <w:spacing w:line="360" w:lineRule="auto"/>
        <w:ind w:firstLine="440" w:firstLineChars="200"/>
        <w:rPr>
          <w:color w:val="auto"/>
          <w:highlight w:val="none"/>
        </w:rPr>
      </w:pPr>
      <w:r>
        <w:rPr>
          <w:rFonts w:hint="eastAsia"/>
          <w:color w:val="auto"/>
          <w:highlight w:val="none"/>
          <w:lang w:val="en-US"/>
        </w:rPr>
        <w:t>4.1</w:t>
      </w:r>
      <w:r>
        <w:rPr>
          <w:rFonts w:hint="eastAsia"/>
          <w:color w:val="auto"/>
          <w:highlight w:val="none"/>
        </w:rPr>
        <w:t>投标文件报价出现前后不一致的，除招标文件另有规定外，按照下列规定修正：</w:t>
      </w:r>
    </w:p>
    <w:p w14:paraId="57F34C4A">
      <w:pPr>
        <w:spacing w:line="360" w:lineRule="auto"/>
        <w:ind w:firstLine="440" w:firstLineChars="200"/>
        <w:rPr>
          <w:color w:val="auto"/>
          <w:highlight w:val="none"/>
        </w:rPr>
      </w:pPr>
      <w:r>
        <w:rPr>
          <w:rFonts w:hint="eastAsia"/>
          <w:color w:val="auto"/>
          <w:highlight w:val="none"/>
        </w:rPr>
        <w:t>（一）投标文件中开标一览表（报价表）内容与投标文件中相应内容不一致的，以开标一览表（报价表）为准；</w:t>
      </w:r>
    </w:p>
    <w:p w14:paraId="77908260">
      <w:pPr>
        <w:spacing w:line="360" w:lineRule="auto"/>
        <w:ind w:firstLine="440" w:firstLineChars="200"/>
        <w:rPr>
          <w:color w:val="auto"/>
          <w:highlight w:val="none"/>
        </w:rPr>
      </w:pPr>
      <w:r>
        <w:rPr>
          <w:rFonts w:hint="eastAsia"/>
          <w:color w:val="auto"/>
          <w:highlight w:val="none"/>
        </w:rPr>
        <w:t>（二）大写金额和小写金额不一致的，以大写金额为准；</w:t>
      </w:r>
    </w:p>
    <w:p w14:paraId="585AC47E">
      <w:pPr>
        <w:spacing w:line="360" w:lineRule="auto"/>
        <w:ind w:firstLine="440" w:firstLineChars="200"/>
        <w:rPr>
          <w:color w:val="auto"/>
          <w:highlight w:val="none"/>
        </w:rPr>
      </w:pPr>
      <w:r>
        <w:rPr>
          <w:rFonts w:hint="eastAsia"/>
          <w:color w:val="auto"/>
          <w:highlight w:val="none"/>
        </w:rPr>
        <w:t>（三）单价金额小数点或者百分比有明显错位的，以开标一览表的总价为准，并修改单价；</w:t>
      </w:r>
    </w:p>
    <w:p w14:paraId="7013ED30">
      <w:pPr>
        <w:spacing w:line="360" w:lineRule="auto"/>
        <w:ind w:firstLine="440" w:firstLineChars="200"/>
        <w:rPr>
          <w:color w:val="auto"/>
          <w:highlight w:val="none"/>
        </w:rPr>
      </w:pPr>
      <w:r>
        <w:rPr>
          <w:rFonts w:hint="eastAsia"/>
          <w:color w:val="auto"/>
          <w:highlight w:val="none"/>
        </w:rPr>
        <w:t>（四）总价金额与按单价汇总金额不一致的，以单价金额计算结果为准。同时出现两种以上不一致的，按照前款规定的顺序修正。修正后的报价按照本章第4.2款的规定经投标人确认后产生约束力，投标人不确认的，其投标无效。</w:t>
      </w:r>
    </w:p>
    <w:p w14:paraId="245D24C2">
      <w:pPr>
        <w:spacing w:line="360" w:lineRule="auto"/>
        <w:ind w:firstLine="440" w:firstLineChars="200"/>
        <w:rPr>
          <w:color w:val="auto"/>
          <w:highlight w:val="none"/>
        </w:rPr>
      </w:pPr>
      <w:r>
        <w:rPr>
          <w:rFonts w:hint="eastAsia"/>
          <w:color w:val="auto"/>
          <w:highlight w:val="none"/>
          <w:lang w:val="en-US"/>
        </w:rPr>
        <w:t>4.2</w:t>
      </w:r>
      <w:r>
        <w:rPr>
          <w:rFonts w:hint="eastAsia"/>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1E19C93">
      <w:pPr>
        <w:spacing w:line="360" w:lineRule="auto"/>
        <w:ind w:firstLine="440" w:firstLineChars="200"/>
        <w:rPr>
          <w:color w:val="auto"/>
          <w:highlight w:val="none"/>
        </w:rPr>
      </w:pPr>
      <w:r>
        <w:rPr>
          <w:rFonts w:hint="eastAsia"/>
          <w:color w:val="auto"/>
          <w:highlight w:val="none"/>
          <w:lang w:val="en-US"/>
        </w:rPr>
        <w:t>4.3</w:t>
      </w:r>
      <w:r>
        <w:rPr>
          <w:rFonts w:hint="eastAsia"/>
          <w:color w:val="auto"/>
          <w:highlight w:val="none"/>
        </w:rPr>
        <w:t>按招标文件中规定的评标方法和标准，对资格审查和符合性审查合格的投标文件进行详细评审，详细评审的评审标准：见评分细则。</w:t>
      </w:r>
    </w:p>
    <w:p w14:paraId="1469FE3D">
      <w:pPr>
        <w:spacing w:line="360" w:lineRule="auto"/>
        <w:ind w:firstLine="440" w:firstLineChars="200"/>
        <w:rPr>
          <w:color w:val="auto"/>
          <w:highlight w:val="none"/>
        </w:rPr>
      </w:pPr>
      <w:r>
        <w:rPr>
          <w:rFonts w:hint="eastAsia"/>
          <w:color w:val="auto"/>
          <w:highlight w:val="none"/>
          <w:lang w:val="en-US"/>
        </w:rPr>
        <w:t>4.4</w:t>
      </w:r>
      <w:r>
        <w:rPr>
          <w:rFonts w:hint="eastAsia"/>
          <w:color w:val="auto"/>
          <w:highlight w:val="none"/>
        </w:rPr>
        <w:t>评标委员会按规定的量化指标和分值进行打分，并计算出综合评审得分。</w:t>
      </w:r>
    </w:p>
    <w:p w14:paraId="7980FE1F">
      <w:pPr>
        <w:spacing w:line="360" w:lineRule="auto"/>
        <w:ind w:firstLine="440" w:firstLineChars="200"/>
        <w:rPr>
          <w:color w:val="auto"/>
          <w:highlight w:val="none"/>
        </w:rPr>
      </w:pPr>
      <w:r>
        <w:rPr>
          <w:rFonts w:hint="eastAsia"/>
          <w:color w:val="auto"/>
          <w:highlight w:val="none"/>
          <w:lang w:val="en-US"/>
        </w:rPr>
        <w:t>4.5</w:t>
      </w:r>
      <w:r>
        <w:rPr>
          <w:rFonts w:hint="eastAsia"/>
          <w:color w:val="auto"/>
          <w:highlight w:val="none"/>
        </w:rPr>
        <w:t>汇总全体评审小组对各投标人的打分并计算算术平均值，即投标人的最终评审得分。</w:t>
      </w:r>
    </w:p>
    <w:p w14:paraId="4B1B8F0D">
      <w:pPr>
        <w:spacing w:line="360" w:lineRule="auto"/>
        <w:ind w:firstLine="440" w:firstLineChars="200"/>
        <w:rPr>
          <w:color w:val="auto"/>
          <w:highlight w:val="none"/>
        </w:rPr>
      </w:pPr>
      <w:r>
        <w:rPr>
          <w:rFonts w:hint="eastAsia"/>
          <w:color w:val="auto"/>
          <w:highlight w:val="none"/>
          <w:lang w:val="en-US"/>
        </w:rPr>
        <w:t>4.6</w:t>
      </w:r>
      <w:r>
        <w:rPr>
          <w:rFonts w:hint="eastAsia"/>
          <w:color w:val="auto"/>
          <w:highlight w:val="none"/>
        </w:rPr>
        <w:t>评分分值计算保留小数点后两位，小数点后第三位“四舍五入”。</w:t>
      </w:r>
    </w:p>
    <w:p w14:paraId="2D43CAA4">
      <w:pPr>
        <w:spacing w:line="360" w:lineRule="auto"/>
        <w:ind w:firstLine="440" w:firstLineChars="200"/>
        <w:rPr>
          <w:color w:val="auto"/>
          <w:highlight w:val="none"/>
          <w:lang w:val="en-US"/>
        </w:rPr>
      </w:pPr>
      <w:r>
        <w:rPr>
          <w:rFonts w:hint="eastAsia"/>
          <w:color w:val="auto"/>
          <w:highlight w:val="none"/>
          <w:lang w:val="en-US"/>
        </w:rPr>
        <w:t>4.7根据财政部、工信部关于印发《政府采购促进中小企业发展管理办法》的通知（财库〔2020〕46号）文件、《关于进一步加大政府采购支持中小企业力度的通知》（财库〔2022〕19号）规定：</w:t>
      </w:r>
    </w:p>
    <w:p w14:paraId="49BF237E">
      <w:pPr>
        <w:spacing w:line="360" w:lineRule="auto"/>
        <w:ind w:firstLine="440" w:firstLineChars="200"/>
        <w:rPr>
          <w:color w:val="auto"/>
          <w:highlight w:val="none"/>
          <w:lang w:val="en-US"/>
        </w:rPr>
      </w:pPr>
      <w:r>
        <w:rPr>
          <w:rFonts w:hint="eastAsia"/>
          <w:color w:val="auto"/>
          <w:highlight w:val="none"/>
          <w:lang w:val="en-US"/>
        </w:rPr>
        <w:t>4.7.1对于经主管预算单位统筹后未预留份额专门面向中小企业采购的采购项目，以及预留份额项目中的非预留部分采购包，应当对符合本办法规定的小微企业报价给予10%—20%的扣除，用扣除后的价格参加评审，本项目的扣除比例为20%，评标报价=投标报价*（1-20%）。参加本项目的小型或微型企业应当按照《政府采购促进中小企业发展管理办法》（财库〔2020〕46号）的规定提供《中小企业声明函》，否则在价格评审时不予考虑价格扣除。</w:t>
      </w:r>
    </w:p>
    <w:p w14:paraId="0E4BE239">
      <w:pPr>
        <w:spacing w:line="360" w:lineRule="auto"/>
        <w:ind w:firstLine="440" w:firstLineChars="200"/>
        <w:rPr>
          <w:color w:val="auto"/>
          <w:highlight w:val="none"/>
          <w:lang w:val="en-US"/>
        </w:rPr>
      </w:pPr>
      <w:r>
        <w:rPr>
          <w:rFonts w:hint="eastAsia"/>
          <w:color w:val="auto"/>
          <w:highlight w:val="none"/>
          <w:lang w:val="en-US"/>
        </w:rPr>
        <w:t>4.7.2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4%-6%的扣除，用扣除后的价格参加评审，本项目的扣除比例为4%；（本项目不适用）</w:t>
      </w:r>
    </w:p>
    <w:p w14:paraId="08DECF8E">
      <w:pPr>
        <w:spacing w:line="360" w:lineRule="auto"/>
        <w:ind w:firstLine="440" w:firstLineChars="200"/>
        <w:rPr>
          <w:color w:val="auto"/>
          <w:highlight w:val="none"/>
          <w:lang w:val="en-US"/>
        </w:rPr>
      </w:pPr>
      <w:r>
        <w:rPr>
          <w:rFonts w:hint="eastAsia"/>
          <w:color w:val="auto"/>
          <w:highlight w:val="none"/>
          <w:lang w:val="en-US"/>
        </w:rPr>
        <w:t>4.7.3关于监狱企业：视同小微企业。须提供由省级以上监狱管理局、戒毒管理局（含新疆生产建设兵团）出具的属于监狱企业的证明文件，否则不考虑价格扣除。</w:t>
      </w:r>
    </w:p>
    <w:p w14:paraId="53012E4F">
      <w:pPr>
        <w:spacing w:line="360" w:lineRule="auto"/>
        <w:ind w:firstLine="440" w:firstLineChars="200"/>
        <w:rPr>
          <w:color w:val="auto"/>
          <w:highlight w:val="none"/>
          <w:lang w:val="en-US"/>
        </w:rPr>
      </w:pPr>
      <w:r>
        <w:rPr>
          <w:rFonts w:hint="eastAsia"/>
          <w:color w:val="auto"/>
          <w:highlight w:val="none"/>
          <w:lang w:val="en-US"/>
        </w:rPr>
        <w:t>4.7.4关于残疾人福利性单位：视同小微企业。须提供完整的“残疾人福利性单位声明函”，否则在价格评审时不予考虑价格扣除。残疾人福利性单位属于小型、微型企业的，不重复享受政策。</w:t>
      </w:r>
    </w:p>
    <w:p w14:paraId="41236F01">
      <w:pPr>
        <w:spacing w:line="360" w:lineRule="auto"/>
        <w:ind w:firstLine="440" w:firstLineChars="200"/>
        <w:rPr>
          <w:color w:val="auto"/>
          <w:highlight w:val="none"/>
        </w:rPr>
      </w:pPr>
      <w:r>
        <w:rPr>
          <w:rFonts w:hint="eastAsia"/>
          <w:color w:val="auto"/>
          <w:highlight w:val="none"/>
          <w:lang w:val="en-US"/>
        </w:rPr>
        <w:t>5.</w:t>
      </w:r>
      <w:r>
        <w:rPr>
          <w:rFonts w:hint="eastAsia"/>
          <w:color w:val="auto"/>
          <w:highlight w:val="none"/>
        </w:rPr>
        <w:t>评审结果</w:t>
      </w:r>
    </w:p>
    <w:p w14:paraId="25700B71">
      <w:pPr>
        <w:spacing w:line="360" w:lineRule="auto"/>
        <w:ind w:firstLine="440" w:firstLineChars="200"/>
        <w:rPr>
          <w:color w:val="auto"/>
          <w:highlight w:val="none"/>
        </w:rPr>
      </w:pPr>
      <w:r>
        <w:rPr>
          <w:rFonts w:hint="eastAsia"/>
          <w:color w:val="auto"/>
          <w:highlight w:val="none"/>
          <w:lang w:val="en-US"/>
        </w:rPr>
        <w:t>5.1</w:t>
      </w:r>
      <w:r>
        <w:rPr>
          <w:rFonts w:hint="eastAsia"/>
          <w:color w:val="auto"/>
          <w:highlight w:val="none"/>
        </w:rPr>
        <w:t>评标委员会按照综合评审得分由高到低的顺序推荐</w:t>
      </w:r>
      <w:r>
        <w:rPr>
          <w:rFonts w:hint="eastAsia"/>
          <w:color w:val="auto"/>
          <w:highlight w:val="none"/>
          <w:lang w:val="en-US"/>
        </w:rPr>
        <w:t>1-3名中标</w:t>
      </w:r>
      <w:r>
        <w:rPr>
          <w:rFonts w:hint="eastAsia"/>
          <w:color w:val="auto"/>
          <w:highlight w:val="none"/>
        </w:rPr>
        <w:t>候选人。</w:t>
      </w:r>
    </w:p>
    <w:p w14:paraId="1CD59536">
      <w:pPr>
        <w:spacing w:line="360" w:lineRule="auto"/>
        <w:ind w:firstLine="440" w:firstLineChars="200"/>
        <w:rPr>
          <w:color w:val="auto"/>
          <w:highlight w:val="none"/>
        </w:rPr>
      </w:pPr>
      <w:r>
        <w:rPr>
          <w:rFonts w:hint="eastAsia"/>
          <w:color w:val="auto"/>
          <w:highlight w:val="none"/>
          <w:lang w:val="en-US"/>
        </w:rPr>
        <w:t>5.2</w:t>
      </w:r>
      <w:r>
        <w:rPr>
          <w:rFonts w:hint="eastAsia"/>
          <w:color w:val="auto"/>
          <w:highlight w:val="none"/>
        </w:rPr>
        <w:t>评标委员会完成评审后，应当向采购人提交书面评审报告。</w:t>
      </w:r>
    </w:p>
    <w:p w14:paraId="2C9EC364">
      <w:pPr>
        <w:spacing w:line="360" w:lineRule="auto"/>
        <w:ind w:firstLine="440" w:firstLineChars="200"/>
        <w:rPr>
          <w:color w:val="auto"/>
          <w:highlight w:val="none"/>
        </w:rPr>
      </w:pPr>
      <w:r>
        <w:rPr>
          <w:rFonts w:hint="eastAsia"/>
          <w:color w:val="auto"/>
          <w:highlight w:val="none"/>
        </w:rPr>
        <w:t>评标委员会根据全体评标成员签字的原始评标记录和评标结果编写评标报告。评标报告应当包括以下内容：</w:t>
      </w:r>
    </w:p>
    <w:p w14:paraId="72541873">
      <w:pPr>
        <w:spacing w:line="360" w:lineRule="auto"/>
        <w:ind w:firstLine="440" w:firstLineChars="200"/>
        <w:rPr>
          <w:color w:val="auto"/>
          <w:highlight w:val="none"/>
        </w:rPr>
      </w:pPr>
      <w:r>
        <w:rPr>
          <w:rFonts w:hint="eastAsia"/>
          <w:color w:val="auto"/>
          <w:highlight w:val="none"/>
        </w:rPr>
        <w:t>（一）招标公告刊登的媒体名称、开标日期和地点；</w:t>
      </w:r>
    </w:p>
    <w:p w14:paraId="6D8AAF26">
      <w:pPr>
        <w:spacing w:line="360" w:lineRule="auto"/>
        <w:ind w:firstLine="440" w:firstLineChars="200"/>
        <w:rPr>
          <w:color w:val="auto"/>
          <w:highlight w:val="none"/>
        </w:rPr>
      </w:pPr>
      <w:r>
        <w:rPr>
          <w:rFonts w:hint="eastAsia"/>
          <w:color w:val="auto"/>
          <w:highlight w:val="none"/>
        </w:rPr>
        <w:t>（二）投标人名单和评标委员会成员名单；</w:t>
      </w:r>
    </w:p>
    <w:p w14:paraId="005E00CB">
      <w:pPr>
        <w:spacing w:line="360" w:lineRule="auto"/>
        <w:ind w:firstLine="440" w:firstLineChars="200"/>
        <w:rPr>
          <w:color w:val="auto"/>
          <w:highlight w:val="none"/>
        </w:rPr>
      </w:pPr>
      <w:r>
        <w:rPr>
          <w:rFonts w:hint="eastAsia"/>
          <w:color w:val="auto"/>
          <w:highlight w:val="none"/>
        </w:rPr>
        <w:t>（三）评标方法和标准；</w:t>
      </w:r>
    </w:p>
    <w:p w14:paraId="6BD1FB99">
      <w:pPr>
        <w:spacing w:line="360" w:lineRule="auto"/>
        <w:ind w:firstLine="440" w:firstLineChars="200"/>
        <w:rPr>
          <w:color w:val="auto"/>
          <w:highlight w:val="none"/>
        </w:rPr>
      </w:pPr>
      <w:r>
        <w:rPr>
          <w:rFonts w:hint="eastAsia"/>
          <w:color w:val="auto"/>
          <w:highlight w:val="none"/>
        </w:rPr>
        <w:t>（四）开标记录和评标情况及说明，包括无效投标人名单及原因；</w:t>
      </w:r>
    </w:p>
    <w:p w14:paraId="1255572E">
      <w:pPr>
        <w:spacing w:line="360" w:lineRule="auto"/>
        <w:ind w:firstLine="440" w:firstLineChars="200"/>
        <w:rPr>
          <w:color w:val="auto"/>
          <w:highlight w:val="none"/>
        </w:rPr>
      </w:pPr>
      <w:r>
        <w:rPr>
          <w:rFonts w:hint="eastAsia"/>
          <w:color w:val="auto"/>
          <w:highlight w:val="none"/>
        </w:rPr>
        <w:t>（五）评标结果，确定的中标候选人名单或者经采购人委托直接确定的中标人；</w:t>
      </w:r>
    </w:p>
    <w:p w14:paraId="584740BE">
      <w:pPr>
        <w:spacing w:line="360" w:lineRule="auto"/>
        <w:ind w:firstLine="440" w:firstLineChars="200"/>
        <w:rPr>
          <w:color w:val="auto"/>
          <w:highlight w:val="none"/>
        </w:rPr>
      </w:pPr>
      <w:r>
        <w:rPr>
          <w:rFonts w:hint="eastAsia"/>
          <w:color w:val="auto"/>
          <w:highlight w:val="none"/>
        </w:rPr>
        <w:t>（六）其他需要说明的情况，包括评标过程中投标人根据评标委员会要求进行的澄清、说明或者补正，评标委员会成员的更换等。</w:t>
      </w:r>
    </w:p>
    <w:sectPr>
      <w:headerReference r:id="rId13" w:type="default"/>
      <w:footerReference r:id="rId14" w:type="default"/>
      <w:pgSz w:w="11911" w:h="16838"/>
      <w:pgMar w:top="1417" w:right="1531" w:bottom="1417" w:left="1531" w:header="850" w:footer="1247"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7A"/>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6B31D">
    <w:pPr>
      <w:pStyle w:val="6"/>
      <w:ind w:firstLine="540" w:firstLineChars="300"/>
      <w:rPr>
        <w:sz w:val="18"/>
        <w:szCs w:val="18"/>
        <w:lang w:val="en-US"/>
      </w:rPr>
    </w:pPr>
    <w:r>
      <w:rPr>
        <w:sz w:val="18"/>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CC9415">
                          <w:pPr>
                            <w:pStyle w:val="10"/>
                            <w:rPr>
                              <w:lang w:val="en-US"/>
                            </w:rPr>
                          </w:pPr>
                          <w:r>
                            <w:rPr>
                              <w:rFonts w:hint="eastAsia"/>
                              <w:lang w:val="en-US"/>
                            </w:rPr>
                            <w:t>2</w:t>
                          </w:r>
                        </w:p>
                      </w:txbxContent>
                    </wps:txbx>
                    <wps:bodyPr wrap="none" lIns="0" tIns="0" rIns="0" bIns="0" upright="1">
                      <a:spAutoFit/>
                    </wps:bodyPr>
                  </wps:wsp>
                </a:graphicData>
              </a:graphic>
            </wp:anchor>
          </w:drawing>
        </mc:Choice>
        <mc:Fallback>
          <w:pict>
            <v:shape id="文本框 7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LY1/9HOAQAAqAMAAA4AAAAAAAAAAQAgAAAAHgEAAGRycy9l&#10;Mm9Eb2MueG1sUEsFBgAAAAAGAAYAWQEAAF4FAAAAAA==&#10;">
              <v:fill on="f" focussize="0,0"/>
              <v:stroke on="f"/>
              <v:imagedata o:title=""/>
              <o:lock v:ext="edit" aspectratio="f"/>
              <v:textbox inset="0mm,0mm,0mm,0mm" style="mso-fit-shape-to-text:t;">
                <w:txbxContent>
                  <w:p w14:paraId="61CC9415">
                    <w:pPr>
                      <w:pStyle w:val="10"/>
                      <w:rPr>
                        <w:lang w:val="en-US"/>
                      </w:rPr>
                    </w:pPr>
                    <w:r>
                      <w:rPr>
                        <w:rFonts w:hint="eastAsia"/>
                        <w:lang w:val="en-US"/>
                      </w:rPr>
                      <w:t>2</w:t>
                    </w:r>
                  </w:p>
                </w:txbxContent>
              </v:textbox>
            </v:shape>
          </w:pict>
        </mc:Fallback>
      </mc:AlternateContent>
    </w:r>
    <w:r>
      <w:rPr>
        <w:rFonts w:hint="eastAsia"/>
        <w:sz w:val="18"/>
        <w:szCs w:val="18"/>
      </w:rPr>
      <w:t>河南以牧全过程工程咨询有限公司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5E496">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10F0F">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6F335">
    <w:pPr>
      <w:pStyle w:val="10"/>
      <w:jc w:val="center"/>
    </w:pPr>
    <w:r>
      <w:fldChar w:fldCharType="begin"/>
    </w:r>
    <w:r>
      <w:instrText xml:space="preserve">PAGE   \* MERGEFORMAT</w:instrText>
    </w:r>
    <w:r>
      <w:fldChar w:fldCharType="separate"/>
    </w:r>
    <w:r>
      <w:t>29</w:t>
    </w:r>
    <w:r>
      <w:fldChar w:fldCharType="end"/>
    </w:r>
  </w:p>
  <w:p w14:paraId="53D3C382">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7202C">
    <w:pPr>
      <w:pStyle w:val="10"/>
      <w:jc w:val="center"/>
    </w:pPr>
    <w:r>
      <w:fldChar w:fldCharType="begin"/>
    </w:r>
    <w:r>
      <w:instrText xml:space="preserve">PAGE   \* MERGEFORMAT</w:instrText>
    </w:r>
    <w:r>
      <w:fldChar w:fldCharType="separate"/>
    </w:r>
    <w:r>
      <w:t>30</w:t>
    </w:r>
    <w:r>
      <w:fldChar w:fldCharType="end"/>
    </w:r>
  </w:p>
  <w:p w14:paraId="607E5516">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C4302">
    <w:pPr>
      <w:pStyle w:val="6"/>
      <w:ind w:firstLine="540" w:firstLineChars="300"/>
      <w:rPr>
        <w:sz w:val="20"/>
      </w:rPr>
    </w:pPr>
    <w:r>
      <w:rPr>
        <w:sz w:val="18"/>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FF207E">
                          <w:pPr>
                            <w:pStyle w:val="10"/>
                          </w:pPr>
                          <w:r>
                            <w:fldChar w:fldCharType="begin"/>
                          </w:r>
                          <w:r>
                            <w:instrText xml:space="preserve"> PAGE  \* MERGEFORMAT </w:instrText>
                          </w:r>
                          <w:r>
                            <w:fldChar w:fldCharType="separate"/>
                          </w:r>
                          <w:r>
                            <w:t>72</w:t>
                          </w:r>
                          <w:r>
                            <w:fldChar w:fldCharType="end"/>
                          </w:r>
                        </w:p>
                      </w:txbxContent>
                    </wps:txbx>
                    <wps:bodyPr wrap="none" lIns="0" tIns="0" rIns="0" bIns="0" upright="1">
                      <a:spAutoFit/>
                    </wps:bodyPr>
                  </wps:wsp>
                </a:graphicData>
              </a:graphic>
            </wp:anchor>
          </w:drawing>
        </mc:Choice>
        <mc:Fallback>
          <w:pict>
            <v:shape id="文本框 6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BVEH8POAQAAqAMAAA4AAAAAAAAAAQAgAAAAHgEAAGRycy9l&#10;Mm9Eb2MueG1sUEsFBgAAAAAGAAYAWQEAAF4FAAAAAA==&#10;">
              <v:fill on="f" focussize="0,0"/>
              <v:stroke on="f"/>
              <v:imagedata o:title=""/>
              <o:lock v:ext="edit" aspectratio="f"/>
              <v:textbox inset="0mm,0mm,0mm,0mm" style="mso-fit-shape-to-text:t;">
                <w:txbxContent>
                  <w:p w14:paraId="28FF207E">
                    <w:pPr>
                      <w:pStyle w:val="10"/>
                    </w:pPr>
                    <w:r>
                      <w:fldChar w:fldCharType="begin"/>
                    </w:r>
                    <w:r>
                      <w:instrText xml:space="preserve"> PAGE  \* MERGEFORMAT </w:instrText>
                    </w:r>
                    <w:r>
                      <w:fldChar w:fldCharType="separate"/>
                    </w:r>
                    <w:r>
                      <w:t>72</w:t>
                    </w:r>
                    <w:r>
                      <w:fldChar w:fldCharType="end"/>
                    </w:r>
                  </w:p>
                </w:txbxContent>
              </v:textbox>
            </v:shape>
          </w:pict>
        </mc:Fallback>
      </mc:AlternateContent>
    </w:r>
    <w:r>
      <w:rPr>
        <w:rFonts w:hint="eastAsia"/>
        <w:sz w:val="18"/>
        <w:szCs w:val="18"/>
      </w:rPr>
      <w:t>河南以牧全过程工程咨询有限公司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DD97F">
    <w:pPr>
      <w:pBdr>
        <w:bottom w:val="single" w:color="auto" w:sz="4" w:space="0"/>
      </w:pBdr>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549275</wp:posOffset>
              </wp:positionH>
              <wp:positionV relativeFrom="page">
                <wp:posOffset>760730</wp:posOffset>
              </wp:positionV>
              <wp:extent cx="6471285" cy="635"/>
              <wp:effectExtent l="0" t="0" r="0" b="0"/>
              <wp:wrapNone/>
              <wp:docPr id="1" name="直线 5"/>
              <wp:cNvGraphicFramePr/>
              <a:graphic xmlns:a="http://schemas.openxmlformats.org/drawingml/2006/main">
                <a:graphicData uri="http://schemas.microsoft.com/office/word/2010/wordprocessingShape">
                  <wps:wsp>
                    <wps:cNvCnPr/>
                    <wps:spPr>
                      <a:xfrm>
                        <a:off x="0" y="0"/>
                        <a:ext cx="6471285" cy="635"/>
                      </a:xfrm>
                      <a:prstGeom prst="line">
                        <a:avLst/>
                      </a:prstGeom>
                      <a:ln w="6096">
                        <a:noFill/>
                      </a:ln>
                      <a:effectLst/>
                    </wps:spPr>
                    <wps:bodyPr upright="1"/>
                  </wps:wsp>
                </a:graphicData>
              </a:graphic>
            </wp:anchor>
          </w:drawing>
        </mc:Choice>
        <mc:Fallback>
          <w:pict>
            <v:line id="直线 5" o:spid="_x0000_s1026" o:spt="20" style="position:absolute;left:0pt;margin-left:43.25pt;margin-top:59.9pt;height:0.05pt;width:509.55pt;mso-position-horizontal-relative:page;mso-position-vertical-relative:page;z-index:-251657216;mso-width-relative:page;mso-height-relative:page;" filled="f" stroked="f" coordsize="21600,21600" o:gfxdata="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EOsUo9cAAAALAQAADwAA&#10;AAAAAAABACAAAAAiAAAAZHJzL2Rvd25yZXYueG1sUEsBAhQAFAAAAAgAh07iQIFOCyClAQAAPwMA&#10;AA4AAAAAAAAAAQAgAAAAJgEAAGRycy9lMm9Eb2MueG1sUEsFBgAAAAAGAAYAWQEAAD0FAAAAAA==&#10;">
              <v:fill on="f" focussize="0,0"/>
              <v:stroke on="f" weight="0.48pt"/>
              <v:imagedata o:title=""/>
              <o:lock v:ext="edit" aspectratio="f"/>
            </v:line>
          </w:pict>
        </mc:Fallback>
      </mc:AlternateContent>
    </w:r>
    <w:r>
      <w:rPr>
        <w:rFonts w:hint="eastAsia"/>
        <w:color w:val="000000"/>
        <w:sz w:val="18"/>
        <w:szCs w:val="18"/>
      </w:rPr>
      <w:t>郑州师范学院西校区监控系统升级改造项目招标文件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1EC45">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BA3F7">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237B3">
    <w:pPr>
      <w:pStyle w:val="1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E63FC">
    <w:pPr>
      <w:pStyle w:val="11"/>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219C7">
    <w:pPr>
      <w:pStyle w:val="6"/>
      <w:pBdr>
        <w:bottom w:val="single" w:color="auto" w:sz="4" w:space="0"/>
      </w:pBdr>
      <w:rPr>
        <w:sz w:val="20"/>
      </w:rPr>
    </w:pPr>
    <w:r>
      <w:rPr>
        <w:rFonts w:hint="eastAsia"/>
        <w:color w:val="000000"/>
        <w:sz w:val="18"/>
        <w:szCs w:val="18"/>
      </w:rPr>
      <w:t>郑州师范学院西校区监控系统升级改造项目招标文件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720"/>
  <w:drawingGridHorizontalSpacing w:val="220"/>
  <w:drawingGridVerticalSpacing w:val="-7946"/>
  <w:noPunctuationKerning w:val="1"/>
  <w:characterSpacingControl w:val="doNotCompress"/>
  <w:hdrShapeDefaults>
    <o:shapelayout v:ext="edit">
      <o:idmap v:ext="edit" data="2"/>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zOWQzODM2ZTEwNzY2MTEzNzg4M2RkY2ZjYjczNjQifQ=="/>
  </w:docVars>
  <w:rsids>
    <w:rsidRoot w:val="008C56E2"/>
    <w:rsid w:val="0003742B"/>
    <w:rsid w:val="00065BC9"/>
    <w:rsid w:val="00071023"/>
    <w:rsid w:val="000A5236"/>
    <w:rsid w:val="000B2FBD"/>
    <w:rsid w:val="000B514F"/>
    <w:rsid w:val="000B6C75"/>
    <w:rsid w:val="000D28CF"/>
    <w:rsid w:val="000D4CB1"/>
    <w:rsid w:val="000F6A96"/>
    <w:rsid w:val="000F7B64"/>
    <w:rsid w:val="00121B59"/>
    <w:rsid w:val="001421E6"/>
    <w:rsid w:val="00161164"/>
    <w:rsid w:val="001E5A17"/>
    <w:rsid w:val="001F7B40"/>
    <w:rsid w:val="0025124E"/>
    <w:rsid w:val="00255AA9"/>
    <w:rsid w:val="00257A85"/>
    <w:rsid w:val="00264598"/>
    <w:rsid w:val="0027785E"/>
    <w:rsid w:val="002A7E0D"/>
    <w:rsid w:val="002C45F4"/>
    <w:rsid w:val="00310553"/>
    <w:rsid w:val="00347F67"/>
    <w:rsid w:val="003A3216"/>
    <w:rsid w:val="003A4DB8"/>
    <w:rsid w:val="003E4EFE"/>
    <w:rsid w:val="00413622"/>
    <w:rsid w:val="00427317"/>
    <w:rsid w:val="00431E91"/>
    <w:rsid w:val="0043598D"/>
    <w:rsid w:val="00452F2C"/>
    <w:rsid w:val="00465B46"/>
    <w:rsid w:val="00470EB6"/>
    <w:rsid w:val="004A1A71"/>
    <w:rsid w:val="004A2F00"/>
    <w:rsid w:val="004A4D0F"/>
    <w:rsid w:val="004B193C"/>
    <w:rsid w:val="004B2196"/>
    <w:rsid w:val="004C2F45"/>
    <w:rsid w:val="004D041F"/>
    <w:rsid w:val="004D1A64"/>
    <w:rsid w:val="004D7CD3"/>
    <w:rsid w:val="004E0D83"/>
    <w:rsid w:val="004F2056"/>
    <w:rsid w:val="004F7FCE"/>
    <w:rsid w:val="00522C4C"/>
    <w:rsid w:val="00523833"/>
    <w:rsid w:val="00525D7B"/>
    <w:rsid w:val="0054189E"/>
    <w:rsid w:val="00550DCC"/>
    <w:rsid w:val="005532F5"/>
    <w:rsid w:val="005809A8"/>
    <w:rsid w:val="00615E22"/>
    <w:rsid w:val="00621F60"/>
    <w:rsid w:val="00626B6D"/>
    <w:rsid w:val="00631B7B"/>
    <w:rsid w:val="00651A52"/>
    <w:rsid w:val="0068050B"/>
    <w:rsid w:val="006907A8"/>
    <w:rsid w:val="006B4A67"/>
    <w:rsid w:val="006C19F3"/>
    <w:rsid w:val="006C2DDA"/>
    <w:rsid w:val="006D30FA"/>
    <w:rsid w:val="007075F8"/>
    <w:rsid w:val="00712F4D"/>
    <w:rsid w:val="007804AA"/>
    <w:rsid w:val="00787638"/>
    <w:rsid w:val="007E39B3"/>
    <w:rsid w:val="007F1D82"/>
    <w:rsid w:val="008012B9"/>
    <w:rsid w:val="00816A98"/>
    <w:rsid w:val="008236DC"/>
    <w:rsid w:val="008274DB"/>
    <w:rsid w:val="00830806"/>
    <w:rsid w:val="0083149C"/>
    <w:rsid w:val="00836619"/>
    <w:rsid w:val="00837750"/>
    <w:rsid w:val="00846B6B"/>
    <w:rsid w:val="008526C8"/>
    <w:rsid w:val="008A2250"/>
    <w:rsid w:val="008B0825"/>
    <w:rsid w:val="008C56E2"/>
    <w:rsid w:val="008F3B63"/>
    <w:rsid w:val="0094510C"/>
    <w:rsid w:val="00974A8E"/>
    <w:rsid w:val="009A5D7B"/>
    <w:rsid w:val="009B1869"/>
    <w:rsid w:val="009E734D"/>
    <w:rsid w:val="009F0369"/>
    <w:rsid w:val="009F5AD8"/>
    <w:rsid w:val="00A0309E"/>
    <w:rsid w:val="00A352EC"/>
    <w:rsid w:val="00A44173"/>
    <w:rsid w:val="00A607AE"/>
    <w:rsid w:val="00A609C9"/>
    <w:rsid w:val="00A7023F"/>
    <w:rsid w:val="00A72707"/>
    <w:rsid w:val="00A87892"/>
    <w:rsid w:val="00A918E8"/>
    <w:rsid w:val="00A9735A"/>
    <w:rsid w:val="00AC268E"/>
    <w:rsid w:val="00AC3305"/>
    <w:rsid w:val="00AE3E53"/>
    <w:rsid w:val="00AF561A"/>
    <w:rsid w:val="00B1401E"/>
    <w:rsid w:val="00B324EC"/>
    <w:rsid w:val="00B3417E"/>
    <w:rsid w:val="00B5464C"/>
    <w:rsid w:val="00B64930"/>
    <w:rsid w:val="00B72C35"/>
    <w:rsid w:val="00B95340"/>
    <w:rsid w:val="00BA7CB1"/>
    <w:rsid w:val="00BB31AE"/>
    <w:rsid w:val="00BD0C3C"/>
    <w:rsid w:val="00BE377A"/>
    <w:rsid w:val="00C22422"/>
    <w:rsid w:val="00C253D0"/>
    <w:rsid w:val="00C33551"/>
    <w:rsid w:val="00C4551F"/>
    <w:rsid w:val="00C55E23"/>
    <w:rsid w:val="00C87DC5"/>
    <w:rsid w:val="00C96994"/>
    <w:rsid w:val="00C97189"/>
    <w:rsid w:val="00CB78A5"/>
    <w:rsid w:val="00CE5B47"/>
    <w:rsid w:val="00CF3E19"/>
    <w:rsid w:val="00CF50DE"/>
    <w:rsid w:val="00D04A1C"/>
    <w:rsid w:val="00D13333"/>
    <w:rsid w:val="00D13FD0"/>
    <w:rsid w:val="00D35C40"/>
    <w:rsid w:val="00D626C0"/>
    <w:rsid w:val="00D657C6"/>
    <w:rsid w:val="00D8681F"/>
    <w:rsid w:val="00D91F53"/>
    <w:rsid w:val="00DC11E5"/>
    <w:rsid w:val="00DC5E6F"/>
    <w:rsid w:val="00DD0852"/>
    <w:rsid w:val="00DE6345"/>
    <w:rsid w:val="00E07A23"/>
    <w:rsid w:val="00E110A1"/>
    <w:rsid w:val="00E40E67"/>
    <w:rsid w:val="00EB0B54"/>
    <w:rsid w:val="00EE222F"/>
    <w:rsid w:val="00F01EC5"/>
    <w:rsid w:val="00F36D86"/>
    <w:rsid w:val="00F41417"/>
    <w:rsid w:val="00F51991"/>
    <w:rsid w:val="00F606E0"/>
    <w:rsid w:val="00F62FB0"/>
    <w:rsid w:val="00F7406F"/>
    <w:rsid w:val="00F82C0E"/>
    <w:rsid w:val="00F83D7E"/>
    <w:rsid w:val="00F90DB8"/>
    <w:rsid w:val="00F960D1"/>
    <w:rsid w:val="00FA328C"/>
    <w:rsid w:val="00FA51D8"/>
    <w:rsid w:val="00FE33CB"/>
    <w:rsid w:val="00FE74AB"/>
    <w:rsid w:val="0104725D"/>
    <w:rsid w:val="0109790C"/>
    <w:rsid w:val="01161381"/>
    <w:rsid w:val="01311D17"/>
    <w:rsid w:val="01423F24"/>
    <w:rsid w:val="014E1D99"/>
    <w:rsid w:val="016A5229"/>
    <w:rsid w:val="018B5D09"/>
    <w:rsid w:val="0190659F"/>
    <w:rsid w:val="01967DCC"/>
    <w:rsid w:val="01BF37C7"/>
    <w:rsid w:val="01D67296"/>
    <w:rsid w:val="01F94C00"/>
    <w:rsid w:val="021533E7"/>
    <w:rsid w:val="02360E04"/>
    <w:rsid w:val="02511F45"/>
    <w:rsid w:val="02746E34"/>
    <w:rsid w:val="027844E2"/>
    <w:rsid w:val="0288005D"/>
    <w:rsid w:val="028E4F47"/>
    <w:rsid w:val="02975C84"/>
    <w:rsid w:val="02A1111E"/>
    <w:rsid w:val="02CD5FD0"/>
    <w:rsid w:val="02D064C4"/>
    <w:rsid w:val="02D63EF9"/>
    <w:rsid w:val="02F72C34"/>
    <w:rsid w:val="03082F4B"/>
    <w:rsid w:val="032F2286"/>
    <w:rsid w:val="03395963"/>
    <w:rsid w:val="033E1C8E"/>
    <w:rsid w:val="03484CF8"/>
    <w:rsid w:val="035148F2"/>
    <w:rsid w:val="036208AE"/>
    <w:rsid w:val="0371289F"/>
    <w:rsid w:val="037405E1"/>
    <w:rsid w:val="03B60474"/>
    <w:rsid w:val="03D575A8"/>
    <w:rsid w:val="03E72EFC"/>
    <w:rsid w:val="03EC461B"/>
    <w:rsid w:val="043365F2"/>
    <w:rsid w:val="043A35D9"/>
    <w:rsid w:val="046176D3"/>
    <w:rsid w:val="046B19E4"/>
    <w:rsid w:val="0475190E"/>
    <w:rsid w:val="04752A07"/>
    <w:rsid w:val="04950DE6"/>
    <w:rsid w:val="04A65314"/>
    <w:rsid w:val="04B86A02"/>
    <w:rsid w:val="04BA5763"/>
    <w:rsid w:val="04BF3ADE"/>
    <w:rsid w:val="04CA1322"/>
    <w:rsid w:val="04E32AB3"/>
    <w:rsid w:val="04E90B5B"/>
    <w:rsid w:val="05191440"/>
    <w:rsid w:val="053242B0"/>
    <w:rsid w:val="055661F0"/>
    <w:rsid w:val="056A1C9B"/>
    <w:rsid w:val="056F2E0E"/>
    <w:rsid w:val="058E4CEC"/>
    <w:rsid w:val="05926AFC"/>
    <w:rsid w:val="05976809"/>
    <w:rsid w:val="05A351AD"/>
    <w:rsid w:val="05F931DB"/>
    <w:rsid w:val="062955B2"/>
    <w:rsid w:val="06314D83"/>
    <w:rsid w:val="063E0547"/>
    <w:rsid w:val="06454F94"/>
    <w:rsid w:val="06C20F73"/>
    <w:rsid w:val="06C36831"/>
    <w:rsid w:val="06C90748"/>
    <w:rsid w:val="06D3561E"/>
    <w:rsid w:val="06DB08CB"/>
    <w:rsid w:val="07103B49"/>
    <w:rsid w:val="071351C6"/>
    <w:rsid w:val="07163DF5"/>
    <w:rsid w:val="07183C7D"/>
    <w:rsid w:val="0726617D"/>
    <w:rsid w:val="073360BD"/>
    <w:rsid w:val="07390980"/>
    <w:rsid w:val="075C75B8"/>
    <w:rsid w:val="077617DF"/>
    <w:rsid w:val="07A1396F"/>
    <w:rsid w:val="07CA2204"/>
    <w:rsid w:val="07CE7CA0"/>
    <w:rsid w:val="07EC2E3C"/>
    <w:rsid w:val="07ED2710"/>
    <w:rsid w:val="07EF46DA"/>
    <w:rsid w:val="07F046C2"/>
    <w:rsid w:val="07F910B5"/>
    <w:rsid w:val="08191757"/>
    <w:rsid w:val="084D31AF"/>
    <w:rsid w:val="086A298A"/>
    <w:rsid w:val="087B41C0"/>
    <w:rsid w:val="08843074"/>
    <w:rsid w:val="08971A59"/>
    <w:rsid w:val="089737D1"/>
    <w:rsid w:val="089808CE"/>
    <w:rsid w:val="08CA47FF"/>
    <w:rsid w:val="08D00067"/>
    <w:rsid w:val="08D15B8E"/>
    <w:rsid w:val="08DF64FD"/>
    <w:rsid w:val="08FB3E0F"/>
    <w:rsid w:val="08FE0DD1"/>
    <w:rsid w:val="091B505B"/>
    <w:rsid w:val="092D370C"/>
    <w:rsid w:val="09322541"/>
    <w:rsid w:val="09546F55"/>
    <w:rsid w:val="0963712E"/>
    <w:rsid w:val="098541B1"/>
    <w:rsid w:val="098D5F59"/>
    <w:rsid w:val="09B4709D"/>
    <w:rsid w:val="09CB6A81"/>
    <w:rsid w:val="09D04FA8"/>
    <w:rsid w:val="09D41DD9"/>
    <w:rsid w:val="09DB4F16"/>
    <w:rsid w:val="09F91840"/>
    <w:rsid w:val="0A287A2F"/>
    <w:rsid w:val="0A375EC4"/>
    <w:rsid w:val="0A486323"/>
    <w:rsid w:val="0A5565C2"/>
    <w:rsid w:val="0A751AC5"/>
    <w:rsid w:val="0A8D7167"/>
    <w:rsid w:val="0A956C72"/>
    <w:rsid w:val="0A9B28F7"/>
    <w:rsid w:val="0A9C34BC"/>
    <w:rsid w:val="0AA07F0D"/>
    <w:rsid w:val="0AE93662"/>
    <w:rsid w:val="0AEB6130"/>
    <w:rsid w:val="0B2D3C10"/>
    <w:rsid w:val="0B2E30AA"/>
    <w:rsid w:val="0B5C5BE2"/>
    <w:rsid w:val="0B785BD2"/>
    <w:rsid w:val="0BA10127"/>
    <w:rsid w:val="0BA61553"/>
    <w:rsid w:val="0BA83C3D"/>
    <w:rsid w:val="0BAD4690"/>
    <w:rsid w:val="0BB643CC"/>
    <w:rsid w:val="0BC96FF0"/>
    <w:rsid w:val="0BCD6C34"/>
    <w:rsid w:val="0BCE214A"/>
    <w:rsid w:val="0BDF3087"/>
    <w:rsid w:val="0C206784"/>
    <w:rsid w:val="0C2D3A23"/>
    <w:rsid w:val="0C3923C8"/>
    <w:rsid w:val="0C3B6140"/>
    <w:rsid w:val="0C3E353A"/>
    <w:rsid w:val="0C470B90"/>
    <w:rsid w:val="0C542D5E"/>
    <w:rsid w:val="0C6D20DD"/>
    <w:rsid w:val="0C7D420F"/>
    <w:rsid w:val="0C807FF6"/>
    <w:rsid w:val="0C8119F8"/>
    <w:rsid w:val="0C82013B"/>
    <w:rsid w:val="0C8428ED"/>
    <w:rsid w:val="0CAC4948"/>
    <w:rsid w:val="0CB734BD"/>
    <w:rsid w:val="0CCA3020"/>
    <w:rsid w:val="0CD73E39"/>
    <w:rsid w:val="0CD81BE1"/>
    <w:rsid w:val="0CEC743A"/>
    <w:rsid w:val="0CFA2BB3"/>
    <w:rsid w:val="0CFD51A3"/>
    <w:rsid w:val="0CFF0EF8"/>
    <w:rsid w:val="0D0834A8"/>
    <w:rsid w:val="0D182644"/>
    <w:rsid w:val="0D2210AE"/>
    <w:rsid w:val="0D234548"/>
    <w:rsid w:val="0D2739F0"/>
    <w:rsid w:val="0D440B63"/>
    <w:rsid w:val="0D5079C9"/>
    <w:rsid w:val="0D5F04EC"/>
    <w:rsid w:val="0D6A4310"/>
    <w:rsid w:val="0D6B7419"/>
    <w:rsid w:val="0D913B3D"/>
    <w:rsid w:val="0D9F625A"/>
    <w:rsid w:val="0DA13293"/>
    <w:rsid w:val="0DA455FA"/>
    <w:rsid w:val="0DAE2941"/>
    <w:rsid w:val="0DB0345C"/>
    <w:rsid w:val="0DB31A52"/>
    <w:rsid w:val="0DC83A03"/>
    <w:rsid w:val="0DD26630"/>
    <w:rsid w:val="0DE545B5"/>
    <w:rsid w:val="0DE81267"/>
    <w:rsid w:val="0DE819AF"/>
    <w:rsid w:val="0DEA2B82"/>
    <w:rsid w:val="0DEE4814"/>
    <w:rsid w:val="0E0E3AA4"/>
    <w:rsid w:val="0E295838"/>
    <w:rsid w:val="0E2B3F92"/>
    <w:rsid w:val="0E5A5303"/>
    <w:rsid w:val="0E91667F"/>
    <w:rsid w:val="0EA0228A"/>
    <w:rsid w:val="0EAD49A7"/>
    <w:rsid w:val="0EC30DAB"/>
    <w:rsid w:val="0EC3697F"/>
    <w:rsid w:val="0ECA2C4D"/>
    <w:rsid w:val="0ED62150"/>
    <w:rsid w:val="0ED75416"/>
    <w:rsid w:val="0ED85410"/>
    <w:rsid w:val="0EE06E79"/>
    <w:rsid w:val="0F072309"/>
    <w:rsid w:val="0F0740B7"/>
    <w:rsid w:val="0F19203C"/>
    <w:rsid w:val="0F2E3D3A"/>
    <w:rsid w:val="0F303C07"/>
    <w:rsid w:val="0F515C7A"/>
    <w:rsid w:val="0F6B742B"/>
    <w:rsid w:val="0F6E43F9"/>
    <w:rsid w:val="0F7524AC"/>
    <w:rsid w:val="0F8971C2"/>
    <w:rsid w:val="0F8C2F69"/>
    <w:rsid w:val="0FCD3553"/>
    <w:rsid w:val="0FF21BC1"/>
    <w:rsid w:val="101C6F4F"/>
    <w:rsid w:val="107874EF"/>
    <w:rsid w:val="108A41EB"/>
    <w:rsid w:val="109127D2"/>
    <w:rsid w:val="10B54EC0"/>
    <w:rsid w:val="10B85FB1"/>
    <w:rsid w:val="10B97124"/>
    <w:rsid w:val="10C00D69"/>
    <w:rsid w:val="10F67C69"/>
    <w:rsid w:val="113B34E3"/>
    <w:rsid w:val="115A7068"/>
    <w:rsid w:val="11872A4F"/>
    <w:rsid w:val="1192184E"/>
    <w:rsid w:val="1193625D"/>
    <w:rsid w:val="11B61DC5"/>
    <w:rsid w:val="11BC147B"/>
    <w:rsid w:val="11BE139E"/>
    <w:rsid w:val="11C646FD"/>
    <w:rsid w:val="11D92218"/>
    <w:rsid w:val="11E06E41"/>
    <w:rsid w:val="11FC011F"/>
    <w:rsid w:val="11FC7FB6"/>
    <w:rsid w:val="120854E2"/>
    <w:rsid w:val="12144BFC"/>
    <w:rsid w:val="12285327"/>
    <w:rsid w:val="12301B77"/>
    <w:rsid w:val="12390412"/>
    <w:rsid w:val="12463148"/>
    <w:rsid w:val="12635AA8"/>
    <w:rsid w:val="12791770"/>
    <w:rsid w:val="129025C6"/>
    <w:rsid w:val="12934C1A"/>
    <w:rsid w:val="12A10CC7"/>
    <w:rsid w:val="12BF1B60"/>
    <w:rsid w:val="12D4040C"/>
    <w:rsid w:val="12D44805"/>
    <w:rsid w:val="13017D09"/>
    <w:rsid w:val="1309044B"/>
    <w:rsid w:val="131B2827"/>
    <w:rsid w:val="13201640"/>
    <w:rsid w:val="132316DC"/>
    <w:rsid w:val="132F5BB5"/>
    <w:rsid w:val="132F708E"/>
    <w:rsid w:val="13327F22"/>
    <w:rsid w:val="13516249"/>
    <w:rsid w:val="13531FC1"/>
    <w:rsid w:val="1358541A"/>
    <w:rsid w:val="13693592"/>
    <w:rsid w:val="138854DC"/>
    <w:rsid w:val="138D3066"/>
    <w:rsid w:val="139368ED"/>
    <w:rsid w:val="13B27BEB"/>
    <w:rsid w:val="13B42078"/>
    <w:rsid w:val="14291A18"/>
    <w:rsid w:val="14327E28"/>
    <w:rsid w:val="143376FC"/>
    <w:rsid w:val="14344372"/>
    <w:rsid w:val="14495172"/>
    <w:rsid w:val="1469467A"/>
    <w:rsid w:val="147D380A"/>
    <w:rsid w:val="14A571B3"/>
    <w:rsid w:val="14C36CD2"/>
    <w:rsid w:val="14EF1875"/>
    <w:rsid w:val="14F670A8"/>
    <w:rsid w:val="152A6D51"/>
    <w:rsid w:val="152D62CA"/>
    <w:rsid w:val="154D0C92"/>
    <w:rsid w:val="156F7617"/>
    <w:rsid w:val="157015AB"/>
    <w:rsid w:val="15712BD2"/>
    <w:rsid w:val="15724254"/>
    <w:rsid w:val="15727EAD"/>
    <w:rsid w:val="15811569"/>
    <w:rsid w:val="15BF4A8D"/>
    <w:rsid w:val="15C076B6"/>
    <w:rsid w:val="15CE1DD3"/>
    <w:rsid w:val="15DA2525"/>
    <w:rsid w:val="15DB1C58"/>
    <w:rsid w:val="15E11E82"/>
    <w:rsid w:val="15F630D7"/>
    <w:rsid w:val="15FA1C03"/>
    <w:rsid w:val="160475A2"/>
    <w:rsid w:val="16325144"/>
    <w:rsid w:val="167D21F2"/>
    <w:rsid w:val="168453BD"/>
    <w:rsid w:val="168E3310"/>
    <w:rsid w:val="16994FC8"/>
    <w:rsid w:val="16BA4105"/>
    <w:rsid w:val="16EA462E"/>
    <w:rsid w:val="16F21AF1"/>
    <w:rsid w:val="16FA172B"/>
    <w:rsid w:val="16FE3A0C"/>
    <w:rsid w:val="17127A9D"/>
    <w:rsid w:val="17326391"/>
    <w:rsid w:val="17477383"/>
    <w:rsid w:val="175C1108"/>
    <w:rsid w:val="1775269B"/>
    <w:rsid w:val="177B3894"/>
    <w:rsid w:val="177C2F53"/>
    <w:rsid w:val="17800EAB"/>
    <w:rsid w:val="179D385D"/>
    <w:rsid w:val="179E1713"/>
    <w:rsid w:val="17AD5A18"/>
    <w:rsid w:val="17C4465B"/>
    <w:rsid w:val="17EC67DE"/>
    <w:rsid w:val="17EE7F79"/>
    <w:rsid w:val="1800023D"/>
    <w:rsid w:val="187A4670"/>
    <w:rsid w:val="189327F4"/>
    <w:rsid w:val="189746FE"/>
    <w:rsid w:val="18A57AC6"/>
    <w:rsid w:val="18B21538"/>
    <w:rsid w:val="18BA663E"/>
    <w:rsid w:val="18DD60E9"/>
    <w:rsid w:val="18ED431E"/>
    <w:rsid w:val="1900779D"/>
    <w:rsid w:val="191125FB"/>
    <w:rsid w:val="19186D7E"/>
    <w:rsid w:val="1921046B"/>
    <w:rsid w:val="194E4F94"/>
    <w:rsid w:val="19545200"/>
    <w:rsid w:val="195B1BCF"/>
    <w:rsid w:val="19667686"/>
    <w:rsid w:val="198729C4"/>
    <w:rsid w:val="199E63EB"/>
    <w:rsid w:val="19A424E5"/>
    <w:rsid w:val="19B66E06"/>
    <w:rsid w:val="19B80DD0"/>
    <w:rsid w:val="19C13A5A"/>
    <w:rsid w:val="19D60523"/>
    <w:rsid w:val="19DD2D01"/>
    <w:rsid w:val="19FB0E44"/>
    <w:rsid w:val="1A165AF6"/>
    <w:rsid w:val="1A214A43"/>
    <w:rsid w:val="1A2E40BB"/>
    <w:rsid w:val="1A2E4FD6"/>
    <w:rsid w:val="1A46462D"/>
    <w:rsid w:val="1A6E5932"/>
    <w:rsid w:val="1A7B3BAB"/>
    <w:rsid w:val="1A830786"/>
    <w:rsid w:val="1AAB1963"/>
    <w:rsid w:val="1AB05F4B"/>
    <w:rsid w:val="1AB8162A"/>
    <w:rsid w:val="1ABC044C"/>
    <w:rsid w:val="1AD072EE"/>
    <w:rsid w:val="1AFE5D48"/>
    <w:rsid w:val="1AFF2A2E"/>
    <w:rsid w:val="1B0C39DD"/>
    <w:rsid w:val="1B1F4E7E"/>
    <w:rsid w:val="1B1F62FF"/>
    <w:rsid w:val="1B4C76E9"/>
    <w:rsid w:val="1B5239A9"/>
    <w:rsid w:val="1B5D781A"/>
    <w:rsid w:val="1B5E34E0"/>
    <w:rsid w:val="1B917B2A"/>
    <w:rsid w:val="1B9C0852"/>
    <w:rsid w:val="1BAB29F7"/>
    <w:rsid w:val="1BB83309"/>
    <w:rsid w:val="1BC625DE"/>
    <w:rsid w:val="1BF637E5"/>
    <w:rsid w:val="1C055E22"/>
    <w:rsid w:val="1C0915B2"/>
    <w:rsid w:val="1C252021"/>
    <w:rsid w:val="1C282E5B"/>
    <w:rsid w:val="1C2C1601"/>
    <w:rsid w:val="1C512E16"/>
    <w:rsid w:val="1C673674"/>
    <w:rsid w:val="1C8054A9"/>
    <w:rsid w:val="1C8653F7"/>
    <w:rsid w:val="1C9B22E3"/>
    <w:rsid w:val="1CA05B4B"/>
    <w:rsid w:val="1CB57848"/>
    <w:rsid w:val="1CCE4466"/>
    <w:rsid w:val="1CDD6D19"/>
    <w:rsid w:val="1CE20BC6"/>
    <w:rsid w:val="1CE343B6"/>
    <w:rsid w:val="1CF93072"/>
    <w:rsid w:val="1CFD4D4B"/>
    <w:rsid w:val="1D066892"/>
    <w:rsid w:val="1D0E1C66"/>
    <w:rsid w:val="1D357176"/>
    <w:rsid w:val="1D7D6490"/>
    <w:rsid w:val="1DB55626"/>
    <w:rsid w:val="1DCD63AA"/>
    <w:rsid w:val="1DDA4553"/>
    <w:rsid w:val="1E0571F2"/>
    <w:rsid w:val="1E1862E1"/>
    <w:rsid w:val="1E1B06FB"/>
    <w:rsid w:val="1E234C86"/>
    <w:rsid w:val="1E340FA6"/>
    <w:rsid w:val="1E4C318C"/>
    <w:rsid w:val="1E7B2570"/>
    <w:rsid w:val="1E870D71"/>
    <w:rsid w:val="1E875215"/>
    <w:rsid w:val="1E9640C2"/>
    <w:rsid w:val="1E9B71C9"/>
    <w:rsid w:val="1EA90CE7"/>
    <w:rsid w:val="1EA9274F"/>
    <w:rsid w:val="1EB53B30"/>
    <w:rsid w:val="1EBD2F10"/>
    <w:rsid w:val="1EE00481"/>
    <w:rsid w:val="1EE75CB3"/>
    <w:rsid w:val="1F010B23"/>
    <w:rsid w:val="1F25759A"/>
    <w:rsid w:val="1F38650F"/>
    <w:rsid w:val="1F392C90"/>
    <w:rsid w:val="1F3F1D98"/>
    <w:rsid w:val="1F3F3C87"/>
    <w:rsid w:val="1F4A3CC2"/>
    <w:rsid w:val="1F4E1289"/>
    <w:rsid w:val="1F525822"/>
    <w:rsid w:val="1F5D440C"/>
    <w:rsid w:val="1F66307C"/>
    <w:rsid w:val="1F824FFF"/>
    <w:rsid w:val="1F860329"/>
    <w:rsid w:val="1F890B18"/>
    <w:rsid w:val="1F8953B6"/>
    <w:rsid w:val="1F8A2CED"/>
    <w:rsid w:val="1F8B2AE2"/>
    <w:rsid w:val="1F953D42"/>
    <w:rsid w:val="1FE8583F"/>
    <w:rsid w:val="20104623"/>
    <w:rsid w:val="2033239E"/>
    <w:rsid w:val="20375FA9"/>
    <w:rsid w:val="203B02B2"/>
    <w:rsid w:val="20427645"/>
    <w:rsid w:val="20487AE5"/>
    <w:rsid w:val="20621B02"/>
    <w:rsid w:val="208E4638"/>
    <w:rsid w:val="20925B99"/>
    <w:rsid w:val="20B61DE1"/>
    <w:rsid w:val="20C242E2"/>
    <w:rsid w:val="20D34741"/>
    <w:rsid w:val="20E347CB"/>
    <w:rsid w:val="20E701EC"/>
    <w:rsid w:val="20F403D3"/>
    <w:rsid w:val="210678F7"/>
    <w:rsid w:val="210D1AFA"/>
    <w:rsid w:val="217D4A30"/>
    <w:rsid w:val="21815F4B"/>
    <w:rsid w:val="218B0B78"/>
    <w:rsid w:val="218B0DE1"/>
    <w:rsid w:val="21C73AD1"/>
    <w:rsid w:val="21E738F6"/>
    <w:rsid w:val="21F11323"/>
    <w:rsid w:val="21F7445F"/>
    <w:rsid w:val="22192627"/>
    <w:rsid w:val="222A0600"/>
    <w:rsid w:val="223034CD"/>
    <w:rsid w:val="223905D4"/>
    <w:rsid w:val="225C68EA"/>
    <w:rsid w:val="226F399B"/>
    <w:rsid w:val="22A55C69"/>
    <w:rsid w:val="22B20386"/>
    <w:rsid w:val="22B53478"/>
    <w:rsid w:val="22B97967"/>
    <w:rsid w:val="22BA5BB9"/>
    <w:rsid w:val="22BE4F7D"/>
    <w:rsid w:val="22F372BD"/>
    <w:rsid w:val="2308498F"/>
    <w:rsid w:val="23090493"/>
    <w:rsid w:val="231B5F2B"/>
    <w:rsid w:val="23256DAA"/>
    <w:rsid w:val="2335188B"/>
    <w:rsid w:val="23384D2F"/>
    <w:rsid w:val="23672FDA"/>
    <w:rsid w:val="236839CB"/>
    <w:rsid w:val="237F1E9D"/>
    <w:rsid w:val="23887A65"/>
    <w:rsid w:val="23D17DC4"/>
    <w:rsid w:val="23D5432C"/>
    <w:rsid w:val="23EA3671"/>
    <w:rsid w:val="23F24284"/>
    <w:rsid w:val="24005F40"/>
    <w:rsid w:val="24134E54"/>
    <w:rsid w:val="241B7A45"/>
    <w:rsid w:val="242A27DB"/>
    <w:rsid w:val="242D5F16"/>
    <w:rsid w:val="2460453E"/>
    <w:rsid w:val="246B5E5C"/>
    <w:rsid w:val="247A77CD"/>
    <w:rsid w:val="248C70E1"/>
    <w:rsid w:val="24A563F4"/>
    <w:rsid w:val="24D67700"/>
    <w:rsid w:val="24DA5663"/>
    <w:rsid w:val="24DC16EA"/>
    <w:rsid w:val="24F84776"/>
    <w:rsid w:val="2500074F"/>
    <w:rsid w:val="25071156"/>
    <w:rsid w:val="25093817"/>
    <w:rsid w:val="250F2740"/>
    <w:rsid w:val="251168D6"/>
    <w:rsid w:val="25243960"/>
    <w:rsid w:val="253432D4"/>
    <w:rsid w:val="25363891"/>
    <w:rsid w:val="2536529E"/>
    <w:rsid w:val="253A20F1"/>
    <w:rsid w:val="25524367"/>
    <w:rsid w:val="255B2F57"/>
    <w:rsid w:val="255D6CCF"/>
    <w:rsid w:val="256329A4"/>
    <w:rsid w:val="256E0FB2"/>
    <w:rsid w:val="257D111F"/>
    <w:rsid w:val="25A246E2"/>
    <w:rsid w:val="25A71CF8"/>
    <w:rsid w:val="25BA5ED0"/>
    <w:rsid w:val="25BD3BE6"/>
    <w:rsid w:val="25DB14CF"/>
    <w:rsid w:val="25E5030A"/>
    <w:rsid w:val="25ED1E01"/>
    <w:rsid w:val="25EE5B79"/>
    <w:rsid w:val="26007E71"/>
    <w:rsid w:val="26050BD3"/>
    <w:rsid w:val="26121B03"/>
    <w:rsid w:val="26192BF6"/>
    <w:rsid w:val="261C201F"/>
    <w:rsid w:val="262703E1"/>
    <w:rsid w:val="2628108B"/>
    <w:rsid w:val="2646358A"/>
    <w:rsid w:val="2658104D"/>
    <w:rsid w:val="265E7752"/>
    <w:rsid w:val="26647BE9"/>
    <w:rsid w:val="2666570F"/>
    <w:rsid w:val="26733CCF"/>
    <w:rsid w:val="26864E30"/>
    <w:rsid w:val="268706B0"/>
    <w:rsid w:val="26972DEC"/>
    <w:rsid w:val="26B91CE3"/>
    <w:rsid w:val="26EC20B9"/>
    <w:rsid w:val="26F92A28"/>
    <w:rsid w:val="270E7A92"/>
    <w:rsid w:val="271B3206"/>
    <w:rsid w:val="27221F7E"/>
    <w:rsid w:val="27473793"/>
    <w:rsid w:val="27594EE9"/>
    <w:rsid w:val="279726E2"/>
    <w:rsid w:val="27A200F2"/>
    <w:rsid w:val="27B30E28"/>
    <w:rsid w:val="27B64475"/>
    <w:rsid w:val="27C546B8"/>
    <w:rsid w:val="27D46FCE"/>
    <w:rsid w:val="27FC632B"/>
    <w:rsid w:val="2815563F"/>
    <w:rsid w:val="281B7A0A"/>
    <w:rsid w:val="28333D3E"/>
    <w:rsid w:val="28353375"/>
    <w:rsid w:val="283751BF"/>
    <w:rsid w:val="284251CC"/>
    <w:rsid w:val="28537BEB"/>
    <w:rsid w:val="28650802"/>
    <w:rsid w:val="28787D1E"/>
    <w:rsid w:val="287E3C50"/>
    <w:rsid w:val="288D3267"/>
    <w:rsid w:val="288F4A70"/>
    <w:rsid w:val="289016AA"/>
    <w:rsid w:val="28C11323"/>
    <w:rsid w:val="28D2551C"/>
    <w:rsid w:val="28E82AF4"/>
    <w:rsid w:val="29110A85"/>
    <w:rsid w:val="291E69B1"/>
    <w:rsid w:val="293715E5"/>
    <w:rsid w:val="2959155B"/>
    <w:rsid w:val="295A7959"/>
    <w:rsid w:val="29626662"/>
    <w:rsid w:val="2973261D"/>
    <w:rsid w:val="29C04E89"/>
    <w:rsid w:val="29D01656"/>
    <w:rsid w:val="29E661DE"/>
    <w:rsid w:val="2A68414C"/>
    <w:rsid w:val="2A874DFC"/>
    <w:rsid w:val="2A8940C2"/>
    <w:rsid w:val="2A924D25"/>
    <w:rsid w:val="2ADD554B"/>
    <w:rsid w:val="2AE15160"/>
    <w:rsid w:val="2AF64C0B"/>
    <w:rsid w:val="2B110EEE"/>
    <w:rsid w:val="2B326508"/>
    <w:rsid w:val="2B34500A"/>
    <w:rsid w:val="2B3C2EE3"/>
    <w:rsid w:val="2B5C576E"/>
    <w:rsid w:val="2B794B8B"/>
    <w:rsid w:val="2B8E7BE2"/>
    <w:rsid w:val="2B8F395A"/>
    <w:rsid w:val="2BAF1907"/>
    <w:rsid w:val="2BC0197A"/>
    <w:rsid w:val="2BDC1404"/>
    <w:rsid w:val="2BDD46C6"/>
    <w:rsid w:val="2BDE68B8"/>
    <w:rsid w:val="2BE439D2"/>
    <w:rsid w:val="2BEF6D24"/>
    <w:rsid w:val="2BF0264B"/>
    <w:rsid w:val="2C04417E"/>
    <w:rsid w:val="2C0B74A3"/>
    <w:rsid w:val="2C112329"/>
    <w:rsid w:val="2C172A8F"/>
    <w:rsid w:val="2C297706"/>
    <w:rsid w:val="2C392D48"/>
    <w:rsid w:val="2C414C55"/>
    <w:rsid w:val="2C536736"/>
    <w:rsid w:val="2C5C1A8E"/>
    <w:rsid w:val="2C6941AB"/>
    <w:rsid w:val="2C6943A1"/>
    <w:rsid w:val="2C6F7FDB"/>
    <w:rsid w:val="2C7E22A6"/>
    <w:rsid w:val="2C7F71E2"/>
    <w:rsid w:val="2C862667"/>
    <w:rsid w:val="2C961B9B"/>
    <w:rsid w:val="2CA47090"/>
    <w:rsid w:val="2CCC5751"/>
    <w:rsid w:val="2CD9577F"/>
    <w:rsid w:val="2CE52375"/>
    <w:rsid w:val="2D0E041E"/>
    <w:rsid w:val="2D35439A"/>
    <w:rsid w:val="2D446AB3"/>
    <w:rsid w:val="2D535391"/>
    <w:rsid w:val="2D71156A"/>
    <w:rsid w:val="2D71367B"/>
    <w:rsid w:val="2D813F67"/>
    <w:rsid w:val="2DAE2E10"/>
    <w:rsid w:val="2DC23B73"/>
    <w:rsid w:val="2DDB69E3"/>
    <w:rsid w:val="2DF45CF7"/>
    <w:rsid w:val="2DF74BDC"/>
    <w:rsid w:val="2E0F48DF"/>
    <w:rsid w:val="2E183449"/>
    <w:rsid w:val="2E276698"/>
    <w:rsid w:val="2E2C5491"/>
    <w:rsid w:val="2E2E1209"/>
    <w:rsid w:val="2E776A4C"/>
    <w:rsid w:val="2E861045"/>
    <w:rsid w:val="2E8B0409"/>
    <w:rsid w:val="2EFE0BDB"/>
    <w:rsid w:val="2F00641D"/>
    <w:rsid w:val="2F04774E"/>
    <w:rsid w:val="2F2C5402"/>
    <w:rsid w:val="2F331AF8"/>
    <w:rsid w:val="2F591CE7"/>
    <w:rsid w:val="2F792957"/>
    <w:rsid w:val="2F9257C7"/>
    <w:rsid w:val="2F950E14"/>
    <w:rsid w:val="2FA33530"/>
    <w:rsid w:val="2FA84FEB"/>
    <w:rsid w:val="2FAB45D1"/>
    <w:rsid w:val="2FAF136C"/>
    <w:rsid w:val="2FB41BE1"/>
    <w:rsid w:val="2FCA1AD4"/>
    <w:rsid w:val="2FCE2CA3"/>
    <w:rsid w:val="2FF67B04"/>
    <w:rsid w:val="2FF87D20"/>
    <w:rsid w:val="30124701"/>
    <w:rsid w:val="30185CCC"/>
    <w:rsid w:val="303D0035"/>
    <w:rsid w:val="306968F4"/>
    <w:rsid w:val="30A6777C"/>
    <w:rsid w:val="30BB0676"/>
    <w:rsid w:val="30DA76A0"/>
    <w:rsid w:val="30DD790B"/>
    <w:rsid w:val="30E402EE"/>
    <w:rsid w:val="31186139"/>
    <w:rsid w:val="3129272A"/>
    <w:rsid w:val="3138366B"/>
    <w:rsid w:val="313A20AD"/>
    <w:rsid w:val="313B1D24"/>
    <w:rsid w:val="3163566D"/>
    <w:rsid w:val="31A34D06"/>
    <w:rsid w:val="31C603A8"/>
    <w:rsid w:val="31DC5311"/>
    <w:rsid w:val="31DF7B6F"/>
    <w:rsid w:val="32025952"/>
    <w:rsid w:val="322F37A1"/>
    <w:rsid w:val="32346D31"/>
    <w:rsid w:val="324921B5"/>
    <w:rsid w:val="324C6101"/>
    <w:rsid w:val="325F4B35"/>
    <w:rsid w:val="328A279C"/>
    <w:rsid w:val="32932942"/>
    <w:rsid w:val="32A07E54"/>
    <w:rsid w:val="32AC3044"/>
    <w:rsid w:val="32B72C06"/>
    <w:rsid w:val="32C83D55"/>
    <w:rsid w:val="32DB1233"/>
    <w:rsid w:val="32E16B1E"/>
    <w:rsid w:val="32E703FF"/>
    <w:rsid w:val="32F742BF"/>
    <w:rsid w:val="33395AA8"/>
    <w:rsid w:val="333C43C8"/>
    <w:rsid w:val="335601B3"/>
    <w:rsid w:val="335A65AA"/>
    <w:rsid w:val="33791178"/>
    <w:rsid w:val="337F42B4"/>
    <w:rsid w:val="33802506"/>
    <w:rsid w:val="33945FB2"/>
    <w:rsid w:val="339F7C4C"/>
    <w:rsid w:val="33B0446E"/>
    <w:rsid w:val="33CB7921"/>
    <w:rsid w:val="340D2D70"/>
    <w:rsid w:val="34117602"/>
    <w:rsid w:val="341D5FA7"/>
    <w:rsid w:val="342F6A17"/>
    <w:rsid w:val="34374CED"/>
    <w:rsid w:val="34500757"/>
    <w:rsid w:val="345303CA"/>
    <w:rsid w:val="34B61F58"/>
    <w:rsid w:val="34CB78A0"/>
    <w:rsid w:val="34E70363"/>
    <w:rsid w:val="34E97C37"/>
    <w:rsid w:val="34EB0081"/>
    <w:rsid w:val="34EB7E53"/>
    <w:rsid w:val="34ED55F7"/>
    <w:rsid w:val="34F565DC"/>
    <w:rsid w:val="34FD7B87"/>
    <w:rsid w:val="353247BA"/>
    <w:rsid w:val="356523DA"/>
    <w:rsid w:val="356B689E"/>
    <w:rsid w:val="3571696B"/>
    <w:rsid w:val="35724964"/>
    <w:rsid w:val="35727C2D"/>
    <w:rsid w:val="35847960"/>
    <w:rsid w:val="359978AF"/>
    <w:rsid w:val="359F6D17"/>
    <w:rsid w:val="35B446E9"/>
    <w:rsid w:val="35B552D3"/>
    <w:rsid w:val="35BF045E"/>
    <w:rsid w:val="35C42453"/>
    <w:rsid w:val="35C80195"/>
    <w:rsid w:val="35D703D8"/>
    <w:rsid w:val="35E87EEF"/>
    <w:rsid w:val="35F4115D"/>
    <w:rsid w:val="36062D4E"/>
    <w:rsid w:val="36064819"/>
    <w:rsid w:val="360867E3"/>
    <w:rsid w:val="364F4412"/>
    <w:rsid w:val="36513CE6"/>
    <w:rsid w:val="36745C27"/>
    <w:rsid w:val="368E1ACE"/>
    <w:rsid w:val="36A54032"/>
    <w:rsid w:val="36AA33F6"/>
    <w:rsid w:val="36B27E66"/>
    <w:rsid w:val="36BC13F6"/>
    <w:rsid w:val="36C546D4"/>
    <w:rsid w:val="36E032BC"/>
    <w:rsid w:val="370B6C8F"/>
    <w:rsid w:val="37360908"/>
    <w:rsid w:val="377F61FD"/>
    <w:rsid w:val="37917ECC"/>
    <w:rsid w:val="379A346B"/>
    <w:rsid w:val="379C71B4"/>
    <w:rsid w:val="37B26A07"/>
    <w:rsid w:val="37E40B8A"/>
    <w:rsid w:val="37F14C52"/>
    <w:rsid w:val="380F20AB"/>
    <w:rsid w:val="38203DBD"/>
    <w:rsid w:val="38580981"/>
    <w:rsid w:val="38790CA5"/>
    <w:rsid w:val="387939C8"/>
    <w:rsid w:val="387E0FDF"/>
    <w:rsid w:val="38A2649C"/>
    <w:rsid w:val="38A27BE9"/>
    <w:rsid w:val="38C5276A"/>
    <w:rsid w:val="38EC419A"/>
    <w:rsid w:val="3912408C"/>
    <w:rsid w:val="39194863"/>
    <w:rsid w:val="392A33D6"/>
    <w:rsid w:val="393D64E1"/>
    <w:rsid w:val="393F5111"/>
    <w:rsid w:val="397973DC"/>
    <w:rsid w:val="397D12D6"/>
    <w:rsid w:val="399C2E5B"/>
    <w:rsid w:val="39B97A9F"/>
    <w:rsid w:val="39BF18AF"/>
    <w:rsid w:val="39C90037"/>
    <w:rsid w:val="39CF5D64"/>
    <w:rsid w:val="39FC21BB"/>
    <w:rsid w:val="3A0775CE"/>
    <w:rsid w:val="3A147956"/>
    <w:rsid w:val="3A29554F"/>
    <w:rsid w:val="3A663AD8"/>
    <w:rsid w:val="3A887EF3"/>
    <w:rsid w:val="3A9F76F9"/>
    <w:rsid w:val="3AA14877"/>
    <w:rsid w:val="3AA308B3"/>
    <w:rsid w:val="3AB17273"/>
    <w:rsid w:val="3AC92105"/>
    <w:rsid w:val="3AD2116E"/>
    <w:rsid w:val="3AE07D2F"/>
    <w:rsid w:val="3AE55345"/>
    <w:rsid w:val="3AF6321B"/>
    <w:rsid w:val="3B070E17"/>
    <w:rsid w:val="3B0D2E9B"/>
    <w:rsid w:val="3B204864"/>
    <w:rsid w:val="3B223EA3"/>
    <w:rsid w:val="3B2C2FE6"/>
    <w:rsid w:val="3B31058A"/>
    <w:rsid w:val="3B35081B"/>
    <w:rsid w:val="3B604E1F"/>
    <w:rsid w:val="3B716BD9"/>
    <w:rsid w:val="3B844B5E"/>
    <w:rsid w:val="3B9D79CE"/>
    <w:rsid w:val="3BA84E7A"/>
    <w:rsid w:val="3BC27434"/>
    <w:rsid w:val="3BEB24E7"/>
    <w:rsid w:val="3BF857AB"/>
    <w:rsid w:val="3C12216A"/>
    <w:rsid w:val="3C396037"/>
    <w:rsid w:val="3C4018D2"/>
    <w:rsid w:val="3C4A1903"/>
    <w:rsid w:val="3C595CDD"/>
    <w:rsid w:val="3C65015A"/>
    <w:rsid w:val="3C812E4B"/>
    <w:rsid w:val="3C830972"/>
    <w:rsid w:val="3CAD3C40"/>
    <w:rsid w:val="3CED6005"/>
    <w:rsid w:val="3CF45844"/>
    <w:rsid w:val="3CFE53A8"/>
    <w:rsid w:val="3D141E8B"/>
    <w:rsid w:val="3D2612DD"/>
    <w:rsid w:val="3D2C1009"/>
    <w:rsid w:val="3D3140AA"/>
    <w:rsid w:val="3D314871"/>
    <w:rsid w:val="3D346110"/>
    <w:rsid w:val="3D6764E5"/>
    <w:rsid w:val="3D762154"/>
    <w:rsid w:val="3D8E3A72"/>
    <w:rsid w:val="3D9F5C7F"/>
    <w:rsid w:val="3DA300A2"/>
    <w:rsid w:val="3DAD7791"/>
    <w:rsid w:val="3DDA6CB7"/>
    <w:rsid w:val="3DDD0555"/>
    <w:rsid w:val="3DF24001"/>
    <w:rsid w:val="3E121F02"/>
    <w:rsid w:val="3E1B797E"/>
    <w:rsid w:val="3E1F291C"/>
    <w:rsid w:val="3E3A5995"/>
    <w:rsid w:val="3E4A2597"/>
    <w:rsid w:val="3E691DE9"/>
    <w:rsid w:val="3E6F1C30"/>
    <w:rsid w:val="3E756102"/>
    <w:rsid w:val="3E81088A"/>
    <w:rsid w:val="3E810B27"/>
    <w:rsid w:val="3E8207D6"/>
    <w:rsid w:val="3E9E118A"/>
    <w:rsid w:val="3EAD617A"/>
    <w:rsid w:val="3ECF482B"/>
    <w:rsid w:val="3EDA0ABA"/>
    <w:rsid w:val="3EDC6B72"/>
    <w:rsid w:val="3EE753AE"/>
    <w:rsid w:val="3EEF22EE"/>
    <w:rsid w:val="3EFE2C69"/>
    <w:rsid w:val="3F036A90"/>
    <w:rsid w:val="3F0B4C4E"/>
    <w:rsid w:val="3F185A88"/>
    <w:rsid w:val="3F1D024A"/>
    <w:rsid w:val="3F3004AD"/>
    <w:rsid w:val="3F421496"/>
    <w:rsid w:val="3F436D88"/>
    <w:rsid w:val="3F733A5E"/>
    <w:rsid w:val="3F757C79"/>
    <w:rsid w:val="3F9F1F66"/>
    <w:rsid w:val="3FA532F5"/>
    <w:rsid w:val="3FAB6ABD"/>
    <w:rsid w:val="3FB636A9"/>
    <w:rsid w:val="3FBB0422"/>
    <w:rsid w:val="3FDB2873"/>
    <w:rsid w:val="3FE658B7"/>
    <w:rsid w:val="3FEC117D"/>
    <w:rsid w:val="3FED0540"/>
    <w:rsid w:val="3FFB2F15"/>
    <w:rsid w:val="400E404A"/>
    <w:rsid w:val="401C5365"/>
    <w:rsid w:val="40436D96"/>
    <w:rsid w:val="404D5A60"/>
    <w:rsid w:val="405A40DF"/>
    <w:rsid w:val="406001CD"/>
    <w:rsid w:val="4061721C"/>
    <w:rsid w:val="407E624C"/>
    <w:rsid w:val="408D1DBF"/>
    <w:rsid w:val="40952AB4"/>
    <w:rsid w:val="409749EB"/>
    <w:rsid w:val="409831B4"/>
    <w:rsid w:val="40AD2461"/>
    <w:rsid w:val="40B1224E"/>
    <w:rsid w:val="40C663A6"/>
    <w:rsid w:val="40C8729B"/>
    <w:rsid w:val="40D15652"/>
    <w:rsid w:val="40D774DE"/>
    <w:rsid w:val="40E974C4"/>
    <w:rsid w:val="40F97648"/>
    <w:rsid w:val="40FD1F08"/>
    <w:rsid w:val="41055DF9"/>
    <w:rsid w:val="411249BA"/>
    <w:rsid w:val="41140732"/>
    <w:rsid w:val="41354204"/>
    <w:rsid w:val="414B2A9C"/>
    <w:rsid w:val="41927FF6"/>
    <w:rsid w:val="4194717D"/>
    <w:rsid w:val="41A970CC"/>
    <w:rsid w:val="41B45A71"/>
    <w:rsid w:val="41B74183"/>
    <w:rsid w:val="41C05048"/>
    <w:rsid w:val="41CE6B33"/>
    <w:rsid w:val="41E41EB2"/>
    <w:rsid w:val="41EB5F80"/>
    <w:rsid w:val="41EF0857"/>
    <w:rsid w:val="42040F30"/>
    <w:rsid w:val="42082740"/>
    <w:rsid w:val="4215216F"/>
    <w:rsid w:val="42163B17"/>
    <w:rsid w:val="42226C91"/>
    <w:rsid w:val="422958E2"/>
    <w:rsid w:val="42585E4B"/>
    <w:rsid w:val="4278069F"/>
    <w:rsid w:val="427F788A"/>
    <w:rsid w:val="42826B04"/>
    <w:rsid w:val="429C09DF"/>
    <w:rsid w:val="42B31885"/>
    <w:rsid w:val="42C1083E"/>
    <w:rsid w:val="42D71A17"/>
    <w:rsid w:val="42DF08CC"/>
    <w:rsid w:val="42F6374E"/>
    <w:rsid w:val="42FD3273"/>
    <w:rsid w:val="43363D88"/>
    <w:rsid w:val="43486471"/>
    <w:rsid w:val="43601A0D"/>
    <w:rsid w:val="43615791"/>
    <w:rsid w:val="43715488"/>
    <w:rsid w:val="43754D8C"/>
    <w:rsid w:val="437D2210"/>
    <w:rsid w:val="43853221"/>
    <w:rsid w:val="43B374B3"/>
    <w:rsid w:val="43D032C2"/>
    <w:rsid w:val="441E71D2"/>
    <w:rsid w:val="442944F4"/>
    <w:rsid w:val="44392116"/>
    <w:rsid w:val="447119F7"/>
    <w:rsid w:val="44934AD8"/>
    <w:rsid w:val="449B0822"/>
    <w:rsid w:val="449D3285"/>
    <w:rsid w:val="44B108C7"/>
    <w:rsid w:val="44D83825"/>
    <w:rsid w:val="44E334AF"/>
    <w:rsid w:val="45390767"/>
    <w:rsid w:val="45630272"/>
    <w:rsid w:val="457357D7"/>
    <w:rsid w:val="4574179F"/>
    <w:rsid w:val="45802ADB"/>
    <w:rsid w:val="4588524B"/>
    <w:rsid w:val="45AD4CB1"/>
    <w:rsid w:val="45FB3C6E"/>
    <w:rsid w:val="4604021B"/>
    <w:rsid w:val="46085FDC"/>
    <w:rsid w:val="46250B8C"/>
    <w:rsid w:val="466E4440"/>
    <w:rsid w:val="4670501A"/>
    <w:rsid w:val="467919EF"/>
    <w:rsid w:val="469A7032"/>
    <w:rsid w:val="46B75DE7"/>
    <w:rsid w:val="46BD0F24"/>
    <w:rsid w:val="46BF55FB"/>
    <w:rsid w:val="46C978C9"/>
    <w:rsid w:val="46CD0831"/>
    <w:rsid w:val="46DC3859"/>
    <w:rsid w:val="46E93AC7"/>
    <w:rsid w:val="470B110B"/>
    <w:rsid w:val="47170634"/>
    <w:rsid w:val="47245267"/>
    <w:rsid w:val="4746716B"/>
    <w:rsid w:val="474D0B0A"/>
    <w:rsid w:val="47562CCB"/>
    <w:rsid w:val="475A6773"/>
    <w:rsid w:val="475E6263"/>
    <w:rsid w:val="476808C6"/>
    <w:rsid w:val="47685334"/>
    <w:rsid w:val="478D3A7F"/>
    <w:rsid w:val="479675D2"/>
    <w:rsid w:val="47BB36B5"/>
    <w:rsid w:val="47BC5B88"/>
    <w:rsid w:val="47F6649C"/>
    <w:rsid w:val="47FB1D04"/>
    <w:rsid w:val="4803505C"/>
    <w:rsid w:val="4806752C"/>
    <w:rsid w:val="48483D7F"/>
    <w:rsid w:val="4852553D"/>
    <w:rsid w:val="486D3EE2"/>
    <w:rsid w:val="486F19CE"/>
    <w:rsid w:val="4874603D"/>
    <w:rsid w:val="48AF2AEE"/>
    <w:rsid w:val="48B87E02"/>
    <w:rsid w:val="48C41630"/>
    <w:rsid w:val="48D9025E"/>
    <w:rsid w:val="48D9530B"/>
    <w:rsid w:val="48EE1E29"/>
    <w:rsid w:val="48F73D4C"/>
    <w:rsid w:val="48F848BE"/>
    <w:rsid w:val="4933371F"/>
    <w:rsid w:val="493F0316"/>
    <w:rsid w:val="49461559"/>
    <w:rsid w:val="495C6984"/>
    <w:rsid w:val="497E1C18"/>
    <w:rsid w:val="499D5531"/>
    <w:rsid w:val="49AF0FF8"/>
    <w:rsid w:val="49B760FE"/>
    <w:rsid w:val="49BC54C3"/>
    <w:rsid w:val="49C4398F"/>
    <w:rsid w:val="49CA5E32"/>
    <w:rsid w:val="49ED7D72"/>
    <w:rsid w:val="49FF6EDE"/>
    <w:rsid w:val="4A0C461D"/>
    <w:rsid w:val="4A137E7F"/>
    <w:rsid w:val="4A230DD9"/>
    <w:rsid w:val="4A286FFC"/>
    <w:rsid w:val="4A3855BE"/>
    <w:rsid w:val="4A392FB7"/>
    <w:rsid w:val="4A3B1C41"/>
    <w:rsid w:val="4A5E47CC"/>
    <w:rsid w:val="4A7933B4"/>
    <w:rsid w:val="4A800BE6"/>
    <w:rsid w:val="4A883556"/>
    <w:rsid w:val="4A963F66"/>
    <w:rsid w:val="4A981A8C"/>
    <w:rsid w:val="4A9B2722"/>
    <w:rsid w:val="4AAF6BA5"/>
    <w:rsid w:val="4AB85B5C"/>
    <w:rsid w:val="4AD51CB3"/>
    <w:rsid w:val="4AD920B6"/>
    <w:rsid w:val="4AE96B69"/>
    <w:rsid w:val="4B186FF8"/>
    <w:rsid w:val="4B7F3E14"/>
    <w:rsid w:val="4B892723"/>
    <w:rsid w:val="4BA803F5"/>
    <w:rsid w:val="4BB548C0"/>
    <w:rsid w:val="4BB83152"/>
    <w:rsid w:val="4BBA3C84"/>
    <w:rsid w:val="4C22409C"/>
    <w:rsid w:val="4C4776B4"/>
    <w:rsid w:val="4C602A7D"/>
    <w:rsid w:val="4C851A06"/>
    <w:rsid w:val="4C8A2450"/>
    <w:rsid w:val="4CA0005F"/>
    <w:rsid w:val="4CA23096"/>
    <w:rsid w:val="4CE3564D"/>
    <w:rsid w:val="4CEA0599"/>
    <w:rsid w:val="4D004273"/>
    <w:rsid w:val="4D1B69D8"/>
    <w:rsid w:val="4D677E3B"/>
    <w:rsid w:val="4D7F1044"/>
    <w:rsid w:val="4D950505"/>
    <w:rsid w:val="4D983863"/>
    <w:rsid w:val="4D9F4A95"/>
    <w:rsid w:val="4DA9732B"/>
    <w:rsid w:val="4DCE1C69"/>
    <w:rsid w:val="4DD059E1"/>
    <w:rsid w:val="4DFB65D5"/>
    <w:rsid w:val="4DFE42FC"/>
    <w:rsid w:val="4E275D85"/>
    <w:rsid w:val="4E355844"/>
    <w:rsid w:val="4E3C6BD2"/>
    <w:rsid w:val="4E551878"/>
    <w:rsid w:val="4E5C1022"/>
    <w:rsid w:val="4E6664F6"/>
    <w:rsid w:val="4E854A1D"/>
    <w:rsid w:val="4E9550D8"/>
    <w:rsid w:val="4EB3158A"/>
    <w:rsid w:val="4EC07D0E"/>
    <w:rsid w:val="4EDA79A5"/>
    <w:rsid w:val="4EDD6607"/>
    <w:rsid w:val="4EF33E71"/>
    <w:rsid w:val="4EF676C9"/>
    <w:rsid w:val="4F062B8C"/>
    <w:rsid w:val="4F0911AA"/>
    <w:rsid w:val="4F373E86"/>
    <w:rsid w:val="4F642884"/>
    <w:rsid w:val="4F66438F"/>
    <w:rsid w:val="4F705AD9"/>
    <w:rsid w:val="4F8E4C93"/>
    <w:rsid w:val="4F93316A"/>
    <w:rsid w:val="4FAF2B37"/>
    <w:rsid w:val="4FB15607"/>
    <w:rsid w:val="4FB86D69"/>
    <w:rsid w:val="4FBD2F95"/>
    <w:rsid w:val="4FD07613"/>
    <w:rsid w:val="50153B7F"/>
    <w:rsid w:val="501C315F"/>
    <w:rsid w:val="50465393"/>
    <w:rsid w:val="504D22CA"/>
    <w:rsid w:val="509D5F4A"/>
    <w:rsid w:val="50B8641C"/>
    <w:rsid w:val="50D37CC2"/>
    <w:rsid w:val="50D838C2"/>
    <w:rsid w:val="50E72923"/>
    <w:rsid w:val="50FF2237"/>
    <w:rsid w:val="51132CB3"/>
    <w:rsid w:val="51256043"/>
    <w:rsid w:val="512E4BFD"/>
    <w:rsid w:val="51532AE4"/>
    <w:rsid w:val="51671C05"/>
    <w:rsid w:val="516A673C"/>
    <w:rsid w:val="517400EE"/>
    <w:rsid w:val="51745436"/>
    <w:rsid w:val="517F5754"/>
    <w:rsid w:val="51890913"/>
    <w:rsid w:val="51932194"/>
    <w:rsid w:val="51A53A38"/>
    <w:rsid w:val="51D44C35"/>
    <w:rsid w:val="51E57E78"/>
    <w:rsid w:val="52114D1F"/>
    <w:rsid w:val="52397FF8"/>
    <w:rsid w:val="525E7A5F"/>
    <w:rsid w:val="525F10E1"/>
    <w:rsid w:val="527E1EAF"/>
    <w:rsid w:val="529012A0"/>
    <w:rsid w:val="529D5ADB"/>
    <w:rsid w:val="52A05D3C"/>
    <w:rsid w:val="52A541AD"/>
    <w:rsid w:val="52B045EE"/>
    <w:rsid w:val="52CA6EA2"/>
    <w:rsid w:val="52CD019C"/>
    <w:rsid w:val="52DB10B0"/>
    <w:rsid w:val="52F12681"/>
    <w:rsid w:val="52F757BE"/>
    <w:rsid w:val="52FB705C"/>
    <w:rsid w:val="52FC384A"/>
    <w:rsid w:val="52FF001D"/>
    <w:rsid w:val="531A59D2"/>
    <w:rsid w:val="5348403A"/>
    <w:rsid w:val="535350EA"/>
    <w:rsid w:val="535D439F"/>
    <w:rsid w:val="538766E4"/>
    <w:rsid w:val="53B06098"/>
    <w:rsid w:val="53BF0089"/>
    <w:rsid w:val="541111C9"/>
    <w:rsid w:val="54260108"/>
    <w:rsid w:val="54336CC9"/>
    <w:rsid w:val="54694499"/>
    <w:rsid w:val="549302D0"/>
    <w:rsid w:val="549F610D"/>
    <w:rsid w:val="54B8014A"/>
    <w:rsid w:val="54BF5933"/>
    <w:rsid w:val="551D59AF"/>
    <w:rsid w:val="55293C91"/>
    <w:rsid w:val="552B174F"/>
    <w:rsid w:val="55515659"/>
    <w:rsid w:val="55572544"/>
    <w:rsid w:val="55751786"/>
    <w:rsid w:val="55833339"/>
    <w:rsid w:val="55A90FF1"/>
    <w:rsid w:val="55C67DF5"/>
    <w:rsid w:val="55D96E5B"/>
    <w:rsid w:val="55ED44D5"/>
    <w:rsid w:val="55FB11AA"/>
    <w:rsid w:val="56311D8C"/>
    <w:rsid w:val="56955A19"/>
    <w:rsid w:val="569752EE"/>
    <w:rsid w:val="56A65531"/>
    <w:rsid w:val="56AA12B5"/>
    <w:rsid w:val="56B63203"/>
    <w:rsid w:val="56C33654"/>
    <w:rsid w:val="570566FB"/>
    <w:rsid w:val="574A2360"/>
    <w:rsid w:val="57704A02"/>
    <w:rsid w:val="57725C37"/>
    <w:rsid w:val="5778511F"/>
    <w:rsid w:val="577E200A"/>
    <w:rsid w:val="577F26DB"/>
    <w:rsid w:val="57A23F4A"/>
    <w:rsid w:val="57A258EB"/>
    <w:rsid w:val="57A53A3A"/>
    <w:rsid w:val="57B8259C"/>
    <w:rsid w:val="57F4051E"/>
    <w:rsid w:val="580F4F41"/>
    <w:rsid w:val="58133C73"/>
    <w:rsid w:val="581806B0"/>
    <w:rsid w:val="58493DDC"/>
    <w:rsid w:val="58550FBC"/>
    <w:rsid w:val="585A4825"/>
    <w:rsid w:val="585F39DF"/>
    <w:rsid w:val="586B07E0"/>
    <w:rsid w:val="5870259C"/>
    <w:rsid w:val="588875E4"/>
    <w:rsid w:val="588B70D4"/>
    <w:rsid w:val="58B55EFF"/>
    <w:rsid w:val="58BA52C3"/>
    <w:rsid w:val="59096489"/>
    <w:rsid w:val="591075D9"/>
    <w:rsid w:val="591305FD"/>
    <w:rsid w:val="591932FF"/>
    <w:rsid w:val="59277860"/>
    <w:rsid w:val="592A060C"/>
    <w:rsid w:val="593A1708"/>
    <w:rsid w:val="594A22AC"/>
    <w:rsid w:val="59503123"/>
    <w:rsid w:val="59531819"/>
    <w:rsid w:val="597F55A7"/>
    <w:rsid w:val="59913742"/>
    <w:rsid w:val="59BF57D9"/>
    <w:rsid w:val="59D16D68"/>
    <w:rsid w:val="59D4186B"/>
    <w:rsid w:val="59E52814"/>
    <w:rsid w:val="59E92893"/>
    <w:rsid w:val="59F11F99"/>
    <w:rsid w:val="59F94CA8"/>
    <w:rsid w:val="5A010541"/>
    <w:rsid w:val="5A0A6274"/>
    <w:rsid w:val="5A1924BD"/>
    <w:rsid w:val="5A1A1D45"/>
    <w:rsid w:val="5A425B6B"/>
    <w:rsid w:val="5A4B6B1B"/>
    <w:rsid w:val="5A7616BE"/>
    <w:rsid w:val="5A8913F1"/>
    <w:rsid w:val="5A901510"/>
    <w:rsid w:val="5AA81F46"/>
    <w:rsid w:val="5AB53F94"/>
    <w:rsid w:val="5ABF3065"/>
    <w:rsid w:val="5AC452F6"/>
    <w:rsid w:val="5AC468CD"/>
    <w:rsid w:val="5ACF5366"/>
    <w:rsid w:val="5ACF5A02"/>
    <w:rsid w:val="5ADC7773"/>
    <w:rsid w:val="5AE44879"/>
    <w:rsid w:val="5AFE30FE"/>
    <w:rsid w:val="5B021398"/>
    <w:rsid w:val="5B204ECC"/>
    <w:rsid w:val="5B2958B9"/>
    <w:rsid w:val="5B3F73A2"/>
    <w:rsid w:val="5B41531D"/>
    <w:rsid w:val="5B5102F9"/>
    <w:rsid w:val="5B694126"/>
    <w:rsid w:val="5B6A1223"/>
    <w:rsid w:val="5B716F5E"/>
    <w:rsid w:val="5B743E4F"/>
    <w:rsid w:val="5B7D2AD8"/>
    <w:rsid w:val="5B845ADE"/>
    <w:rsid w:val="5B8C0975"/>
    <w:rsid w:val="5B8F34D4"/>
    <w:rsid w:val="5B90615D"/>
    <w:rsid w:val="5B926223"/>
    <w:rsid w:val="5B9E0ECC"/>
    <w:rsid w:val="5BAA6601"/>
    <w:rsid w:val="5BB71F8E"/>
    <w:rsid w:val="5BB94C28"/>
    <w:rsid w:val="5BD409B2"/>
    <w:rsid w:val="5BE3532D"/>
    <w:rsid w:val="5BE663CF"/>
    <w:rsid w:val="5C050F4B"/>
    <w:rsid w:val="5C103206"/>
    <w:rsid w:val="5C12290F"/>
    <w:rsid w:val="5C1B076F"/>
    <w:rsid w:val="5C255A7F"/>
    <w:rsid w:val="5C2C297C"/>
    <w:rsid w:val="5C337866"/>
    <w:rsid w:val="5C3951CF"/>
    <w:rsid w:val="5C410C1D"/>
    <w:rsid w:val="5C553C81"/>
    <w:rsid w:val="5C9010A2"/>
    <w:rsid w:val="5C9522CF"/>
    <w:rsid w:val="5CA72002"/>
    <w:rsid w:val="5CAB05CB"/>
    <w:rsid w:val="5CD526CC"/>
    <w:rsid w:val="5CE60D7D"/>
    <w:rsid w:val="5CF41238"/>
    <w:rsid w:val="5D1C654D"/>
    <w:rsid w:val="5D230796"/>
    <w:rsid w:val="5D261179"/>
    <w:rsid w:val="5D3715D8"/>
    <w:rsid w:val="5D455B0B"/>
    <w:rsid w:val="5D4810F0"/>
    <w:rsid w:val="5D48181F"/>
    <w:rsid w:val="5D551A5E"/>
    <w:rsid w:val="5D6A375C"/>
    <w:rsid w:val="5D7F0889"/>
    <w:rsid w:val="5D951F0F"/>
    <w:rsid w:val="5DA206D5"/>
    <w:rsid w:val="5DA95217"/>
    <w:rsid w:val="5DB87C04"/>
    <w:rsid w:val="5DDF59A8"/>
    <w:rsid w:val="5E196F30"/>
    <w:rsid w:val="5E352BC8"/>
    <w:rsid w:val="5E3B446A"/>
    <w:rsid w:val="5E3E28A9"/>
    <w:rsid w:val="5E5D4688"/>
    <w:rsid w:val="5E621A1E"/>
    <w:rsid w:val="5E6463FD"/>
    <w:rsid w:val="5E761C8C"/>
    <w:rsid w:val="5E7A1EFB"/>
    <w:rsid w:val="5E832E17"/>
    <w:rsid w:val="5E8C287D"/>
    <w:rsid w:val="5E8F295D"/>
    <w:rsid w:val="5EA52572"/>
    <w:rsid w:val="5EBE6EDE"/>
    <w:rsid w:val="5ED115B9"/>
    <w:rsid w:val="5EEA61D6"/>
    <w:rsid w:val="5F1A2F60"/>
    <w:rsid w:val="5F2D5D10"/>
    <w:rsid w:val="5F3F4774"/>
    <w:rsid w:val="5F443B39"/>
    <w:rsid w:val="5FB76A00"/>
    <w:rsid w:val="60412EFF"/>
    <w:rsid w:val="604D11A9"/>
    <w:rsid w:val="606A3A73"/>
    <w:rsid w:val="606E3563"/>
    <w:rsid w:val="60766B51"/>
    <w:rsid w:val="60781416"/>
    <w:rsid w:val="607B5372"/>
    <w:rsid w:val="60872E9E"/>
    <w:rsid w:val="609805E0"/>
    <w:rsid w:val="609A4358"/>
    <w:rsid w:val="609C372E"/>
    <w:rsid w:val="60AA0313"/>
    <w:rsid w:val="60B87012"/>
    <w:rsid w:val="60C70EC5"/>
    <w:rsid w:val="60C71744"/>
    <w:rsid w:val="60F104DD"/>
    <w:rsid w:val="60FD48E7"/>
    <w:rsid w:val="611D2893"/>
    <w:rsid w:val="6120173F"/>
    <w:rsid w:val="6129235F"/>
    <w:rsid w:val="613F6426"/>
    <w:rsid w:val="614771D5"/>
    <w:rsid w:val="614C2096"/>
    <w:rsid w:val="614E6748"/>
    <w:rsid w:val="61565DA5"/>
    <w:rsid w:val="61722BDF"/>
    <w:rsid w:val="61972646"/>
    <w:rsid w:val="61A11716"/>
    <w:rsid w:val="61AE2DE0"/>
    <w:rsid w:val="61CB48E9"/>
    <w:rsid w:val="61F4460F"/>
    <w:rsid w:val="61FF6DD7"/>
    <w:rsid w:val="62170B4B"/>
    <w:rsid w:val="622814F0"/>
    <w:rsid w:val="6241775E"/>
    <w:rsid w:val="626418B5"/>
    <w:rsid w:val="629D2604"/>
    <w:rsid w:val="62A10061"/>
    <w:rsid w:val="62B45479"/>
    <w:rsid w:val="62C2491A"/>
    <w:rsid w:val="62D578C9"/>
    <w:rsid w:val="62FD472A"/>
    <w:rsid w:val="630730E5"/>
    <w:rsid w:val="632B573B"/>
    <w:rsid w:val="635079F3"/>
    <w:rsid w:val="635D78BF"/>
    <w:rsid w:val="63611F3E"/>
    <w:rsid w:val="637B06F1"/>
    <w:rsid w:val="63886ADC"/>
    <w:rsid w:val="638E7912"/>
    <w:rsid w:val="63A1155A"/>
    <w:rsid w:val="63AE3C76"/>
    <w:rsid w:val="63CE0504"/>
    <w:rsid w:val="63DA4A05"/>
    <w:rsid w:val="63E70DE3"/>
    <w:rsid w:val="641A130C"/>
    <w:rsid w:val="642903EF"/>
    <w:rsid w:val="642E2475"/>
    <w:rsid w:val="643C25D6"/>
    <w:rsid w:val="64560940"/>
    <w:rsid w:val="645D622E"/>
    <w:rsid w:val="6464757D"/>
    <w:rsid w:val="648D6380"/>
    <w:rsid w:val="64917820"/>
    <w:rsid w:val="64AA4EBE"/>
    <w:rsid w:val="64B33C3A"/>
    <w:rsid w:val="64BD0F8D"/>
    <w:rsid w:val="64CC0858"/>
    <w:rsid w:val="6509385A"/>
    <w:rsid w:val="652213B9"/>
    <w:rsid w:val="65273883"/>
    <w:rsid w:val="653161DA"/>
    <w:rsid w:val="655D1CAA"/>
    <w:rsid w:val="65736191"/>
    <w:rsid w:val="65BB23E5"/>
    <w:rsid w:val="65D52ED0"/>
    <w:rsid w:val="65ED16BE"/>
    <w:rsid w:val="66044022"/>
    <w:rsid w:val="66093859"/>
    <w:rsid w:val="660B3AD4"/>
    <w:rsid w:val="6631021E"/>
    <w:rsid w:val="665241EF"/>
    <w:rsid w:val="665B1D4F"/>
    <w:rsid w:val="665C2942"/>
    <w:rsid w:val="668021B0"/>
    <w:rsid w:val="6681679D"/>
    <w:rsid w:val="6682357E"/>
    <w:rsid w:val="66833198"/>
    <w:rsid w:val="66A870FF"/>
    <w:rsid w:val="6707201B"/>
    <w:rsid w:val="670C13E0"/>
    <w:rsid w:val="673567A4"/>
    <w:rsid w:val="67363035"/>
    <w:rsid w:val="67381A0B"/>
    <w:rsid w:val="6740552D"/>
    <w:rsid w:val="6751734B"/>
    <w:rsid w:val="677539BC"/>
    <w:rsid w:val="677F3E59"/>
    <w:rsid w:val="67853BD3"/>
    <w:rsid w:val="678D2C60"/>
    <w:rsid w:val="67BA0E3C"/>
    <w:rsid w:val="67CD5013"/>
    <w:rsid w:val="67D102E5"/>
    <w:rsid w:val="67D619EE"/>
    <w:rsid w:val="67E00525"/>
    <w:rsid w:val="67EC3514"/>
    <w:rsid w:val="67FF6513"/>
    <w:rsid w:val="68143BAD"/>
    <w:rsid w:val="683E7CBF"/>
    <w:rsid w:val="68515EFA"/>
    <w:rsid w:val="68555008"/>
    <w:rsid w:val="685968A7"/>
    <w:rsid w:val="686E1841"/>
    <w:rsid w:val="68703BF0"/>
    <w:rsid w:val="687F1C41"/>
    <w:rsid w:val="68955676"/>
    <w:rsid w:val="68BC0506"/>
    <w:rsid w:val="68C53F3C"/>
    <w:rsid w:val="68CA1B97"/>
    <w:rsid w:val="68D3540C"/>
    <w:rsid w:val="68EB3798"/>
    <w:rsid w:val="690578E1"/>
    <w:rsid w:val="69265C39"/>
    <w:rsid w:val="692B31CE"/>
    <w:rsid w:val="6937666D"/>
    <w:rsid w:val="694F3806"/>
    <w:rsid w:val="69512A12"/>
    <w:rsid w:val="6951757E"/>
    <w:rsid w:val="695B664F"/>
    <w:rsid w:val="698F4B40"/>
    <w:rsid w:val="69AF2603"/>
    <w:rsid w:val="69B0699A"/>
    <w:rsid w:val="69D646DB"/>
    <w:rsid w:val="69F06D97"/>
    <w:rsid w:val="6A097E59"/>
    <w:rsid w:val="6A0A7F03"/>
    <w:rsid w:val="6A0B1BDD"/>
    <w:rsid w:val="6A2151A2"/>
    <w:rsid w:val="6A40179B"/>
    <w:rsid w:val="6A627569"/>
    <w:rsid w:val="6A635EE3"/>
    <w:rsid w:val="6A6D6639"/>
    <w:rsid w:val="6A6D779D"/>
    <w:rsid w:val="6AAE12C9"/>
    <w:rsid w:val="6AB85958"/>
    <w:rsid w:val="6AD249D7"/>
    <w:rsid w:val="6AEE38B8"/>
    <w:rsid w:val="6AF2504C"/>
    <w:rsid w:val="6B3A2F28"/>
    <w:rsid w:val="6B5670CE"/>
    <w:rsid w:val="6B760CC0"/>
    <w:rsid w:val="6B8A4FC9"/>
    <w:rsid w:val="6B8E2D0B"/>
    <w:rsid w:val="6B985938"/>
    <w:rsid w:val="6BAF2B89"/>
    <w:rsid w:val="6BAF4286"/>
    <w:rsid w:val="6BB34520"/>
    <w:rsid w:val="6BC56001"/>
    <w:rsid w:val="6BD330EF"/>
    <w:rsid w:val="6BD9385B"/>
    <w:rsid w:val="6BE80093"/>
    <w:rsid w:val="6BEA5A68"/>
    <w:rsid w:val="6BFA3EFD"/>
    <w:rsid w:val="6BFD01AE"/>
    <w:rsid w:val="6BFF1513"/>
    <w:rsid w:val="6C117498"/>
    <w:rsid w:val="6C253219"/>
    <w:rsid w:val="6C353187"/>
    <w:rsid w:val="6C60621C"/>
    <w:rsid w:val="6C6972D4"/>
    <w:rsid w:val="6C802758"/>
    <w:rsid w:val="6C865790"/>
    <w:rsid w:val="6C9205D9"/>
    <w:rsid w:val="6CC62031"/>
    <w:rsid w:val="6CE3182A"/>
    <w:rsid w:val="6CF272CA"/>
    <w:rsid w:val="6CFA51E4"/>
    <w:rsid w:val="6CFE7A1D"/>
    <w:rsid w:val="6D035033"/>
    <w:rsid w:val="6D0A412D"/>
    <w:rsid w:val="6D3978A6"/>
    <w:rsid w:val="6D731725"/>
    <w:rsid w:val="6D7B2792"/>
    <w:rsid w:val="6D7D0F07"/>
    <w:rsid w:val="6D976BAF"/>
    <w:rsid w:val="6DBA45E0"/>
    <w:rsid w:val="6DE24C48"/>
    <w:rsid w:val="6DEC5162"/>
    <w:rsid w:val="6E15524C"/>
    <w:rsid w:val="6E413111"/>
    <w:rsid w:val="6E4B11E6"/>
    <w:rsid w:val="6E526272"/>
    <w:rsid w:val="6E794705"/>
    <w:rsid w:val="6E8C2C5D"/>
    <w:rsid w:val="6E900C06"/>
    <w:rsid w:val="6EB33F44"/>
    <w:rsid w:val="6EBE3907"/>
    <w:rsid w:val="6ECA55B8"/>
    <w:rsid w:val="6F0D2199"/>
    <w:rsid w:val="6F255735"/>
    <w:rsid w:val="6F3E2352"/>
    <w:rsid w:val="6F5B2041"/>
    <w:rsid w:val="6F5C4D10"/>
    <w:rsid w:val="6F60676D"/>
    <w:rsid w:val="6F683873"/>
    <w:rsid w:val="6F7B3852"/>
    <w:rsid w:val="6F7E3097"/>
    <w:rsid w:val="6F8A5598"/>
    <w:rsid w:val="6FCD36D6"/>
    <w:rsid w:val="6FDD7DBD"/>
    <w:rsid w:val="700919BC"/>
    <w:rsid w:val="700F1F41"/>
    <w:rsid w:val="70116E50"/>
    <w:rsid w:val="70275C90"/>
    <w:rsid w:val="70421EE5"/>
    <w:rsid w:val="704C08C9"/>
    <w:rsid w:val="70537195"/>
    <w:rsid w:val="705475B1"/>
    <w:rsid w:val="70581F3D"/>
    <w:rsid w:val="7060279C"/>
    <w:rsid w:val="70664100"/>
    <w:rsid w:val="707C4C78"/>
    <w:rsid w:val="707D334E"/>
    <w:rsid w:val="70930AD4"/>
    <w:rsid w:val="709F5073"/>
    <w:rsid w:val="70AF2EEC"/>
    <w:rsid w:val="70B25B27"/>
    <w:rsid w:val="70CA7F95"/>
    <w:rsid w:val="70CF10A4"/>
    <w:rsid w:val="70FC24C5"/>
    <w:rsid w:val="71162EE3"/>
    <w:rsid w:val="71201E0C"/>
    <w:rsid w:val="71260D56"/>
    <w:rsid w:val="712A449A"/>
    <w:rsid w:val="715D72FD"/>
    <w:rsid w:val="717A6596"/>
    <w:rsid w:val="717E112C"/>
    <w:rsid w:val="719A1462"/>
    <w:rsid w:val="71C50B09"/>
    <w:rsid w:val="71CA25C3"/>
    <w:rsid w:val="71CE75DA"/>
    <w:rsid w:val="71D2502E"/>
    <w:rsid w:val="71F47305"/>
    <w:rsid w:val="71FD48FE"/>
    <w:rsid w:val="72042537"/>
    <w:rsid w:val="7216618D"/>
    <w:rsid w:val="721A7FA6"/>
    <w:rsid w:val="721F49ED"/>
    <w:rsid w:val="722F05E8"/>
    <w:rsid w:val="72372E7F"/>
    <w:rsid w:val="72394D74"/>
    <w:rsid w:val="724C2FD8"/>
    <w:rsid w:val="724D5517"/>
    <w:rsid w:val="72B84CF8"/>
    <w:rsid w:val="72B96083"/>
    <w:rsid w:val="72F0605A"/>
    <w:rsid w:val="731E3251"/>
    <w:rsid w:val="73334983"/>
    <w:rsid w:val="73466A6A"/>
    <w:rsid w:val="734819F2"/>
    <w:rsid w:val="7363748A"/>
    <w:rsid w:val="73754CD7"/>
    <w:rsid w:val="73A0182E"/>
    <w:rsid w:val="73AE2C3B"/>
    <w:rsid w:val="73D115CE"/>
    <w:rsid w:val="73D13981"/>
    <w:rsid w:val="73E6625C"/>
    <w:rsid w:val="73F12089"/>
    <w:rsid w:val="73F41B79"/>
    <w:rsid w:val="73F92CEC"/>
    <w:rsid w:val="73F944C3"/>
    <w:rsid w:val="74100036"/>
    <w:rsid w:val="74161AF0"/>
    <w:rsid w:val="7428486D"/>
    <w:rsid w:val="74345BEB"/>
    <w:rsid w:val="74393A30"/>
    <w:rsid w:val="745C590D"/>
    <w:rsid w:val="745F2863"/>
    <w:rsid w:val="747157C0"/>
    <w:rsid w:val="74784559"/>
    <w:rsid w:val="747F3FFC"/>
    <w:rsid w:val="74A500B5"/>
    <w:rsid w:val="74AA51E4"/>
    <w:rsid w:val="74B1561A"/>
    <w:rsid w:val="74C1172B"/>
    <w:rsid w:val="74DE2CF8"/>
    <w:rsid w:val="74F45EBA"/>
    <w:rsid w:val="74F82FA3"/>
    <w:rsid w:val="74FD19CB"/>
    <w:rsid w:val="750B34BD"/>
    <w:rsid w:val="7530273D"/>
    <w:rsid w:val="75352BED"/>
    <w:rsid w:val="75486759"/>
    <w:rsid w:val="75524DAA"/>
    <w:rsid w:val="756845CD"/>
    <w:rsid w:val="75803601"/>
    <w:rsid w:val="75A8271B"/>
    <w:rsid w:val="75BD244A"/>
    <w:rsid w:val="75D237F5"/>
    <w:rsid w:val="76551A22"/>
    <w:rsid w:val="766034F6"/>
    <w:rsid w:val="7677439C"/>
    <w:rsid w:val="76B0679D"/>
    <w:rsid w:val="76D76049"/>
    <w:rsid w:val="76F36118"/>
    <w:rsid w:val="77222409"/>
    <w:rsid w:val="772C33D8"/>
    <w:rsid w:val="774150D6"/>
    <w:rsid w:val="778E33CA"/>
    <w:rsid w:val="77E80728"/>
    <w:rsid w:val="78061E7B"/>
    <w:rsid w:val="780E2ADE"/>
    <w:rsid w:val="781037E4"/>
    <w:rsid w:val="781719BD"/>
    <w:rsid w:val="781B5927"/>
    <w:rsid w:val="782C204F"/>
    <w:rsid w:val="782E4FE4"/>
    <w:rsid w:val="783267CC"/>
    <w:rsid w:val="7859739F"/>
    <w:rsid w:val="787A4D25"/>
    <w:rsid w:val="788259A6"/>
    <w:rsid w:val="78963AFE"/>
    <w:rsid w:val="78984A36"/>
    <w:rsid w:val="78BC4A4F"/>
    <w:rsid w:val="78C935D5"/>
    <w:rsid w:val="78CF226D"/>
    <w:rsid w:val="78D41F79"/>
    <w:rsid w:val="78F341AE"/>
    <w:rsid w:val="78FB5758"/>
    <w:rsid w:val="79042905"/>
    <w:rsid w:val="7908577F"/>
    <w:rsid w:val="790C4FC3"/>
    <w:rsid w:val="790D7AFC"/>
    <w:rsid w:val="790F69C1"/>
    <w:rsid w:val="79137206"/>
    <w:rsid w:val="791F6D10"/>
    <w:rsid w:val="79384E32"/>
    <w:rsid w:val="79567F8E"/>
    <w:rsid w:val="796A1CC7"/>
    <w:rsid w:val="797204F3"/>
    <w:rsid w:val="79766973"/>
    <w:rsid w:val="79921C19"/>
    <w:rsid w:val="79DE4E5E"/>
    <w:rsid w:val="79FE4490"/>
    <w:rsid w:val="7A34239D"/>
    <w:rsid w:val="7A395190"/>
    <w:rsid w:val="7A4B626B"/>
    <w:rsid w:val="7A7E3F4B"/>
    <w:rsid w:val="7A8552D9"/>
    <w:rsid w:val="7A871945"/>
    <w:rsid w:val="7A8B2979"/>
    <w:rsid w:val="7AA240DD"/>
    <w:rsid w:val="7ABF2FD6"/>
    <w:rsid w:val="7AD1051F"/>
    <w:rsid w:val="7ADA7150"/>
    <w:rsid w:val="7AEA338E"/>
    <w:rsid w:val="7B0E1773"/>
    <w:rsid w:val="7B1A3856"/>
    <w:rsid w:val="7B1E74DC"/>
    <w:rsid w:val="7B2A7C2F"/>
    <w:rsid w:val="7B2E5971"/>
    <w:rsid w:val="7B340AAD"/>
    <w:rsid w:val="7B445FD8"/>
    <w:rsid w:val="7B4E7DC1"/>
    <w:rsid w:val="7B6F1AE6"/>
    <w:rsid w:val="7B781114"/>
    <w:rsid w:val="7B9B6803"/>
    <w:rsid w:val="7B9F686F"/>
    <w:rsid w:val="7BAE1D67"/>
    <w:rsid w:val="7BB629B8"/>
    <w:rsid w:val="7BBD0AA3"/>
    <w:rsid w:val="7C1903CF"/>
    <w:rsid w:val="7C543C95"/>
    <w:rsid w:val="7C6855A8"/>
    <w:rsid w:val="7C6920DD"/>
    <w:rsid w:val="7C7575D0"/>
    <w:rsid w:val="7C7A5BF1"/>
    <w:rsid w:val="7C7F14AA"/>
    <w:rsid w:val="7C811335"/>
    <w:rsid w:val="7C896BD7"/>
    <w:rsid w:val="7C9324E0"/>
    <w:rsid w:val="7C97680A"/>
    <w:rsid w:val="7CAA7279"/>
    <w:rsid w:val="7CB522CF"/>
    <w:rsid w:val="7CCC2030"/>
    <w:rsid w:val="7CD91F24"/>
    <w:rsid w:val="7CDE5D16"/>
    <w:rsid w:val="7CE47ED8"/>
    <w:rsid w:val="7CEC1640"/>
    <w:rsid w:val="7CED53B8"/>
    <w:rsid w:val="7D105717"/>
    <w:rsid w:val="7D31799A"/>
    <w:rsid w:val="7D3A35FC"/>
    <w:rsid w:val="7D625DA6"/>
    <w:rsid w:val="7D652319"/>
    <w:rsid w:val="7D6C6647"/>
    <w:rsid w:val="7D717D97"/>
    <w:rsid w:val="7DA737B9"/>
    <w:rsid w:val="7DBA25C5"/>
    <w:rsid w:val="7DC37985"/>
    <w:rsid w:val="7DCE6F97"/>
    <w:rsid w:val="7DE41E08"/>
    <w:rsid w:val="7DE523B5"/>
    <w:rsid w:val="7DE844FD"/>
    <w:rsid w:val="7DEC3262"/>
    <w:rsid w:val="7E1D1CCD"/>
    <w:rsid w:val="7E2A6EE8"/>
    <w:rsid w:val="7E2D0915"/>
    <w:rsid w:val="7E2E7F04"/>
    <w:rsid w:val="7E3A27D2"/>
    <w:rsid w:val="7E4B4A8C"/>
    <w:rsid w:val="7E520B21"/>
    <w:rsid w:val="7E573431"/>
    <w:rsid w:val="7E5877E9"/>
    <w:rsid w:val="7E774228"/>
    <w:rsid w:val="7E991353"/>
    <w:rsid w:val="7EC80403"/>
    <w:rsid w:val="7EDA7889"/>
    <w:rsid w:val="7EFA4DD2"/>
    <w:rsid w:val="7EFC7B34"/>
    <w:rsid w:val="7F102BEB"/>
    <w:rsid w:val="7F114D94"/>
    <w:rsid w:val="7F117395"/>
    <w:rsid w:val="7F2C0419"/>
    <w:rsid w:val="7F3867D5"/>
    <w:rsid w:val="7F5F13B3"/>
    <w:rsid w:val="7F7818B1"/>
    <w:rsid w:val="7F7A4343"/>
    <w:rsid w:val="7F912972"/>
    <w:rsid w:val="7FA63511"/>
    <w:rsid w:val="7FB52841"/>
    <w:rsid w:val="7FB81CAD"/>
    <w:rsid w:val="7FC34F2A"/>
    <w:rsid w:val="7FEE1B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autoRedefine/>
    <w:qFormat/>
    <w:uiPriority w:val="1"/>
    <w:pPr>
      <w:spacing w:before="54"/>
      <w:ind w:left="137"/>
      <w:jc w:val="center"/>
      <w:outlineLvl w:val="0"/>
    </w:pPr>
    <w:rPr>
      <w:b/>
      <w:bCs/>
      <w:sz w:val="32"/>
      <w:szCs w:val="32"/>
    </w:rPr>
  </w:style>
  <w:style w:type="paragraph" w:styleId="3">
    <w:name w:val="heading 2"/>
    <w:basedOn w:val="1"/>
    <w:next w:val="1"/>
    <w:autoRedefine/>
    <w:unhideWhenUsed/>
    <w:qFormat/>
    <w:uiPriority w:val="0"/>
    <w:pPr>
      <w:keepNext/>
      <w:keepLines/>
      <w:spacing w:line="413" w:lineRule="auto"/>
      <w:outlineLvl w:val="1"/>
    </w:pPr>
    <w:rPr>
      <w:rFonts w:ascii="Arial" w:hAnsi="Arial" w:eastAsia="黑体"/>
      <w:b/>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pPr>
    <w:rPr>
      <w:sz w:val="20"/>
    </w:rPr>
  </w:style>
  <w:style w:type="paragraph" w:styleId="5">
    <w:name w:val="annotation text"/>
    <w:basedOn w:val="1"/>
    <w:link w:val="31"/>
    <w:autoRedefine/>
    <w:qFormat/>
    <w:uiPriority w:val="0"/>
  </w:style>
  <w:style w:type="paragraph" w:styleId="6">
    <w:name w:val="Body Text"/>
    <w:basedOn w:val="1"/>
    <w:next w:val="1"/>
    <w:autoRedefine/>
    <w:qFormat/>
    <w:uiPriority w:val="1"/>
    <w:rPr>
      <w:sz w:val="21"/>
      <w:szCs w:val="21"/>
    </w:rPr>
  </w:style>
  <w:style w:type="paragraph" w:styleId="7">
    <w:name w:val="Body Text Indent"/>
    <w:basedOn w:val="1"/>
    <w:next w:val="8"/>
    <w:autoRedefine/>
    <w:qFormat/>
    <w:uiPriority w:val="0"/>
    <w:pPr>
      <w:ind w:firstLine="538" w:firstLineChars="192"/>
    </w:pPr>
    <w:rPr>
      <w:rFonts w:eastAsia="楷体_GB2312"/>
      <w:sz w:val="28"/>
    </w:rPr>
  </w:style>
  <w:style w:type="paragraph" w:customStyle="1" w:styleId="8">
    <w:name w:val="biaoti1"/>
    <w:basedOn w:val="2"/>
    <w:autoRedefine/>
    <w:qFormat/>
    <w:uiPriority w:val="0"/>
    <w:pPr>
      <w:tabs>
        <w:tab w:val="left" w:pos="432"/>
      </w:tabs>
      <w:spacing w:line="360" w:lineRule="auto"/>
      <w:ind w:left="431" w:hanging="431" w:hangingChars="200"/>
      <w:jc w:val="left"/>
    </w:pPr>
    <w:rPr>
      <w:rFonts w:ascii="Times New Roman" w:hAnsi="Times New Roman" w:cs="Times New Roman"/>
    </w:rPr>
  </w:style>
  <w:style w:type="paragraph" w:styleId="9">
    <w:name w:val="Balloon Text"/>
    <w:basedOn w:val="1"/>
    <w:link w:val="33"/>
    <w:autoRedefine/>
    <w:qFormat/>
    <w:uiPriority w:val="0"/>
    <w:rPr>
      <w:sz w:val="18"/>
      <w:szCs w:val="18"/>
    </w:rPr>
  </w:style>
  <w:style w:type="paragraph" w:styleId="10">
    <w:name w:val="footer"/>
    <w:basedOn w:val="1"/>
    <w:autoRedefine/>
    <w:qFormat/>
    <w:uiPriority w:val="0"/>
    <w:pPr>
      <w:tabs>
        <w:tab w:val="center" w:pos="4153"/>
        <w:tab w:val="right" w:pos="8306"/>
      </w:tabs>
      <w:snapToGrid w:val="0"/>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2">
    <w:name w:val="toc 1"/>
    <w:basedOn w:val="1"/>
    <w:next w:val="1"/>
    <w:autoRedefine/>
    <w:qFormat/>
    <w:uiPriority w:val="1"/>
    <w:pPr>
      <w:spacing w:before="132"/>
      <w:ind w:right="247" w:hanging="1220"/>
      <w:jc w:val="right"/>
    </w:pPr>
    <w:rPr>
      <w:sz w:val="24"/>
      <w:szCs w:val="24"/>
    </w:rPr>
  </w:style>
  <w:style w:type="paragraph" w:styleId="13">
    <w:name w:val="toc 2"/>
    <w:basedOn w:val="1"/>
    <w:next w:val="1"/>
    <w:autoRedefine/>
    <w:qFormat/>
    <w:uiPriority w:val="0"/>
    <w:pPr>
      <w:ind w:left="420" w:leftChars="200"/>
    </w:pPr>
  </w:style>
  <w:style w:type="paragraph" w:styleId="14">
    <w:name w:val="Normal (Web)"/>
    <w:basedOn w:val="1"/>
    <w:autoRedefine/>
    <w:unhideWhenUsed/>
    <w:qFormat/>
    <w:uiPriority w:val="99"/>
    <w:pPr>
      <w:spacing w:beforeAutospacing="1" w:afterAutospacing="1"/>
    </w:pPr>
    <w:rPr>
      <w:sz w:val="24"/>
    </w:rPr>
  </w:style>
  <w:style w:type="paragraph" w:styleId="15">
    <w:name w:val="annotation subject"/>
    <w:basedOn w:val="5"/>
    <w:next w:val="5"/>
    <w:link w:val="32"/>
    <w:autoRedefine/>
    <w:qFormat/>
    <w:uiPriority w:val="0"/>
    <w:rPr>
      <w:b/>
      <w:bCs/>
    </w:rPr>
  </w:style>
  <w:style w:type="paragraph" w:styleId="16">
    <w:name w:val="Body Text First Indent"/>
    <w:basedOn w:val="6"/>
    <w:next w:val="17"/>
    <w:autoRedefine/>
    <w:qFormat/>
    <w:uiPriority w:val="0"/>
    <w:pPr>
      <w:ind w:firstLine="420" w:firstLineChars="100"/>
      <w:jc w:val="both"/>
    </w:pPr>
    <w:rPr>
      <w:rFonts w:ascii="Times New Roman" w:hAnsi="Times New Roman"/>
    </w:rPr>
  </w:style>
  <w:style w:type="paragraph" w:styleId="17">
    <w:name w:val="Body Text First Indent 2"/>
    <w:basedOn w:val="7"/>
    <w:next w:val="1"/>
    <w:autoRedefine/>
    <w:qFormat/>
    <w:uiPriority w:val="0"/>
    <w:pPr>
      <w:adjustRightInd w:val="0"/>
      <w:ind w:left="540" w:firstLine="420"/>
    </w:pPr>
    <w:rPr>
      <w:rFonts w:hint="eastAsia" w:eastAsia="宋体"/>
      <w:color w:val="000000"/>
      <w:szCs w:val="28"/>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autoRedefine/>
    <w:qFormat/>
    <w:uiPriority w:val="0"/>
  </w:style>
  <w:style w:type="character" w:styleId="22">
    <w:name w:val="FollowedHyperlink"/>
    <w:basedOn w:val="20"/>
    <w:autoRedefine/>
    <w:qFormat/>
    <w:uiPriority w:val="0"/>
    <w:rPr>
      <w:color w:val="444444"/>
      <w:sz w:val="21"/>
      <w:szCs w:val="21"/>
      <w:u w:val="none"/>
    </w:rPr>
  </w:style>
  <w:style w:type="character" w:styleId="23">
    <w:name w:val="Hyperlink"/>
    <w:basedOn w:val="20"/>
    <w:autoRedefine/>
    <w:qFormat/>
    <w:uiPriority w:val="0"/>
    <w:rPr>
      <w:color w:val="444444"/>
      <w:sz w:val="21"/>
      <w:szCs w:val="21"/>
      <w:u w:val="none"/>
    </w:rPr>
  </w:style>
  <w:style w:type="character" w:styleId="24">
    <w:name w:val="annotation reference"/>
    <w:basedOn w:val="20"/>
    <w:autoRedefine/>
    <w:qFormat/>
    <w:uiPriority w:val="0"/>
    <w:rPr>
      <w:sz w:val="21"/>
      <w:szCs w:val="21"/>
    </w:rPr>
  </w:style>
  <w:style w:type="paragraph" w:customStyle="1" w:styleId="25">
    <w:name w:val="无间隔1"/>
    <w:basedOn w:val="1"/>
    <w:next w:val="4"/>
    <w:autoRedefine/>
    <w:qFormat/>
    <w:uiPriority w:val="1"/>
    <w:pPr>
      <w:spacing w:line="400" w:lineRule="exact"/>
    </w:pPr>
    <w:rPr>
      <w:sz w:val="24"/>
    </w:rPr>
  </w:style>
  <w:style w:type="table" w:customStyle="1" w:styleId="26">
    <w:name w:val="Table Normal"/>
    <w:autoRedefine/>
    <w:semiHidden/>
    <w:unhideWhenUsed/>
    <w:qFormat/>
    <w:uiPriority w:val="2"/>
    <w:tblPr>
      <w:tblCellMar>
        <w:top w:w="0" w:type="dxa"/>
        <w:left w:w="0" w:type="dxa"/>
        <w:bottom w:w="0" w:type="dxa"/>
        <w:right w:w="0" w:type="dxa"/>
      </w:tblCellMar>
    </w:tblPr>
  </w:style>
  <w:style w:type="paragraph" w:styleId="27">
    <w:name w:val="List Paragraph"/>
    <w:basedOn w:val="1"/>
    <w:autoRedefine/>
    <w:qFormat/>
    <w:uiPriority w:val="1"/>
    <w:pPr>
      <w:ind w:left="432" w:firstLine="420"/>
    </w:pPr>
  </w:style>
  <w:style w:type="paragraph" w:customStyle="1" w:styleId="28">
    <w:name w:val="Table Paragraph"/>
    <w:basedOn w:val="1"/>
    <w:autoRedefine/>
    <w:qFormat/>
    <w:uiPriority w:val="1"/>
  </w:style>
  <w:style w:type="paragraph" w:customStyle="1" w:styleId="29">
    <w:name w:val="列出段落1"/>
    <w:basedOn w:val="1"/>
    <w:autoRedefine/>
    <w:qFormat/>
    <w:uiPriority w:val="0"/>
    <w:pPr>
      <w:ind w:firstLine="420" w:firstLineChars="200"/>
    </w:pPr>
    <w:rPr>
      <w:rFonts w:ascii="Calibri" w:hAnsi="Calibri"/>
      <w:sz w:val="20"/>
    </w:rPr>
  </w:style>
  <w:style w:type="paragraph" w:customStyle="1" w:styleId="30">
    <w:name w:val="列出段落2"/>
    <w:basedOn w:val="1"/>
    <w:autoRedefine/>
    <w:qFormat/>
    <w:uiPriority w:val="0"/>
    <w:pPr>
      <w:ind w:firstLine="420" w:firstLineChars="200"/>
    </w:pPr>
    <w:rPr>
      <w:rFonts w:cs="Times New Roman"/>
    </w:rPr>
  </w:style>
  <w:style w:type="character" w:customStyle="1" w:styleId="31">
    <w:name w:val="批注文字 Char"/>
    <w:basedOn w:val="20"/>
    <w:link w:val="5"/>
    <w:autoRedefine/>
    <w:qFormat/>
    <w:uiPriority w:val="0"/>
    <w:rPr>
      <w:rFonts w:ascii="宋体" w:hAnsi="宋体" w:cs="宋体"/>
      <w:sz w:val="22"/>
      <w:szCs w:val="22"/>
      <w:lang w:val="zh-CN" w:bidi="zh-CN"/>
    </w:rPr>
  </w:style>
  <w:style w:type="character" w:customStyle="1" w:styleId="32">
    <w:name w:val="批注主题 Char"/>
    <w:basedOn w:val="31"/>
    <w:link w:val="15"/>
    <w:autoRedefine/>
    <w:qFormat/>
    <w:uiPriority w:val="0"/>
    <w:rPr>
      <w:rFonts w:ascii="宋体" w:hAnsi="宋体" w:cs="宋体"/>
      <w:sz w:val="22"/>
      <w:szCs w:val="22"/>
      <w:lang w:val="zh-CN" w:bidi="zh-CN"/>
    </w:rPr>
  </w:style>
  <w:style w:type="character" w:customStyle="1" w:styleId="33">
    <w:name w:val="批注框文本 Char"/>
    <w:basedOn w:val="20"/>
    <w:link w:val="9"/>
    <w:autoRedefine/>
    <w:qFormat/>
    <w:uiPriority w:val="0"/>
    <w:rPr>
      <w:rFonts w:ascii="宋体" w:hAnsi="宋体" w:cs="宋体"/>
      <w:sz w:val="18"/>
      <w:szCs w:val="18"/>
      <w:lang w:val="zh-CN" w:bidi="zh-CN"/>
    </w:rPr>
  </w:style>
  <w:style w:type="character" w:customStyle="1" w:styleId="34">
    <w:name w:val="hover17"/>
    <w:basedOn w:val="20"/>
    <w:autoRedefine/>
    <w:qFormat/>
    <w:uiPriority w:val="0"/>
  </w:style>
  <w:style w:type="paragraph" w:customStyle="1" w:styleId="35">
    <w:name w:val="列出段落3"/>
    <w:basedOn w:val="1"/>
    <w:autoRedefine/>
    <w:qFormat/>
    <w:uiPriority w:val="0"/>
    <w:pPr>
      <w:ind w:firstLine="420" w:firstLineChars="200"/>
    </w:pPr>
    <w:rPr>
      <w:rFonts w:ascii="Calibri" w:hAnsi="Calibri"/>
      <w:sz w:val="20"/>
    </w:rPr>
  </w:style>
  <w:style w:type="paragraph" w:customStyle="1" w:styleId="36">
    <w:name w:val="正文1"/>
    <w:basedOn w:val="1"/>
    <w:autoRedefine/>
    <w:qFormat/>
    <w:uiPriority w:val="0"/>
    <w:pPr>
      <w:widowControl/>
      <w:adjustRightInd w:val="0"/>
      <w:ind w:firstLine="200" w:firstLineChars="200"/>
      <w:contextualSpacing/>
    </w:pPr>
    <w:rPr>
      <w:rFonts w:ascii="Calibri" w:hAnsi="Calibri" w:eastAsia="Adobe 仿宋 Std R"/>
      <w:szCs w:val="21"/>
    </w:rPr>
  </w:style>
  <w:style w:type="paragraph" w:customStyle="1" w:styleId="37">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p0"/>
    <w:basedOn w:val="1"/>
    <w:autoRedefine/>
    <w:qFormat/>
    <w:uiPriority w:val="0"/>
    <w:pPr>
      <w:widowControl/>
    </w:pPr>
    <w:rPr>
      <w:szCs w:val="21"/>
    </w:rPr>
  </w:style>
  <w:style w:type="character" w:customStyle="1" w:styleId="39">
    <w:name w:val="font51"/>
    <w:basedOn w:val="20"/>
    <w:autoRedefine/>
    <w:qFormat/>
    <w:uiPriority w:val="0"/>
    <w:rPr>
      <w:rFonts w:hint="eastAsia" w:ascii="宋体" w:hAnsi="宋体" w:eastAsia="宋体" w:cs="宋体"/>
      <w:color w:val="000000"/>
      <w:sz w:val="20"/>
      <w:szCs w:val="20"/>
      <w:u w:val="none"/>
    </w:rPr>
  </w:style>
  <w:style w:type="paragraph" w:customStyle="1" w:styleId="40">
    <w:name w:val="Table Text"/>
    <w:basedOn w:val="1"/>
    <w:semiHidden/>
    <w:qFormat/>
    <w:uiPriority w:val="0"/>
    <w:rPr>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77</Pages>
  <Words>15598</Words>
  <Characters>17615</Characters>
  <Lines>314</Lines>
  <Paragraphs>88</Paragraphs>
  <TotalTime>2</TotalTime>
  <ScaleCrop>false</ScaleCrop>
  <LinksUpToDate>false</LinksUpToDate>
  <CharactersWithSpaces>17690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2024-05-20T07:04:00Z</dcterms:created>
  <dc:creator>USER</dc:creator>
  <cp:lastModifiedBy>王    振</cp:lastModifiedBy>
  <cp:lastPrinted>2024-11-11T06:41:00Z</cp:lastPrinted>
  <dcterms:modified xsi:type="dcterms:W3CDTF">2024-12-05T05:50:48Z</dcterms:modified>
  <dc:title>总 目 录</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2021-06-07T00:00:00Z</vt:filetime>
  </property>
  <property fmtid="{D5CDD505-2E9C-101B-9397-08002B2CF9AE}" pid="3" name="Creator">
    <vt:lpwstr>WPS 文字</vt:lpwstr>
  </property>
  <property fmtid="{D5CDD505-2E9C-101B-9397-08002B2CF9AE}" pid="4" name="LastSaved">
    <vt:filetime>2021-06-16T00:00:00Z</vt:filetime>
  </property>
  <property fmtid="{D5CDD505-2E9C-101B-9397-08002B2CF9AE}" pid="5" name="KSOProductBuildVer">
    <vt:lpwstr>2052-12.1.0.19302</vt:lpwstr>
  </property>
  <property fmtid="{D5CDD505-2E9C-101B-9397-08002B2CF9AE}" pid="6" name="ICV">
    <vt:lpwstr>D6861195280B4F4F8E6A2080E7A447B2_13</vt:lpwstr>
  </property>
</Properties>
</file>