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E7EA9">
      <w:pPr>
        <w:pStyle w:val="6"/>
        <w:jc w:val="center"/>
        <w:rPr>
          <w:rFonts w:hint="eastAsia" w:ascii="仿宋" w:hAnsi="仿宋" w:eastAsia="仿宋"/>
          <w:color w:val="auto"/>
          <w:sz w:val="28"/>
          <w:szCs w:val="28"/>
          <w:highlight w:val="none"/>
        </w:rPr>
      </w:pPr>
      <w:bookmarkStart w:id="0" w:name="OLE_LINK12"/>
      <w:r>
        <w:rPr>
          <w:rFonts w:hint="eastAsia" w:ascii="仿宋" w:hAnsi="仿宋" w:eastAsia="仿宋"/>
          <w:color w:val="auto"/>
          <w:sz w:val="28"/>
          <w:szCs w:val="28"/>
          <w:highlight w:val="none"/>
        </w:rPr>
        <w:t>河南南水北调博物馆维护、更新项目-博物馆、文物仓库修缮工程</w:t>
      </w:r>
    </w:p>
    <w:p w14:paraId="619A8F1F">
      <w:pPr>
        <w:pStyle w:val="6"/>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项目</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A包）</w:t>
      </w:r>
      <w:r>
        <w:rPr>
          <w:rFonts w:ascii="仿宋" w:hAnsi="仿宋" w:eastAsia="仿宋"/>
          <w:color w:val="auto"/>
          <w:sz w:val="28"/>
          <w:szCs w:val="28"/>
          <w:highlight w:val="none"/>
        </w:rPr>
        <w:t>竞争性</w:t>
      </w:r>
      <w:r>
        <w:rPr>
          <w:rFonts w:hint="eastAsia" w:ascii="仿宋" w:hAnsi="仿宋" w:eastAsia="仿宋"/>
          <w:color w:val="auto"/>
          <w:sz w:val="28"/>
          <w:szCs w:val="28"/>
          <w:highlight w:val="none"/>
        </w:rPr>
        <w:t>磋商</w:t>
      </w:r>
      <w:r>
        <w:rPr>
          <w:rFonts w:ascii="仿宋" w:hAnsi="仿宋" w:eastAsia="仿宋"/>
          <w:color w:val="auto"/>
          <w:sz w:val="28"/>
          <w:szCs w:val="28"/>
          <w:highlight w:val="none"/>
        </w:rPr>
        <w:t>公告</w:t>
      </w:r>
    </w:p>
    <w:p w14:paraId="405EC711">
      <w:pPr>
        <w:pStyle w:val="2"/>
        <w:numPr>
          <w:ilvl w:val="1"/>
          <w:numId w:val="0"/>
        </w:numPr>
        <w:spacing w:before="0" w:after="0" w:line="360" w:lineRule="auto"/>
        <w:ind w:right="240"/>
        <w:rPr>
          <w:rFonts w:ascii="仿宋" w:hAnsi="仿宋" w:eastAsia="仿宋"/>
          <w:bCs w:val="0"/>
          <w:color w:val="auto"/>
          <w:sz w:val="24"/>
          <w:szCs w:val="24"/>
          <w:highlight w:val="none"/>
        </w:rPr>
      </w:pPr>
      <w:bookmarkStart w:id="1" w:name="_Toc192931796"/>
      <w:bookmarkStart w:id="2" w:name="_Toc5151"/>
      <w:bookmarkStart w:id="3" w:name="_Toc145009823"/>
      <w:bookmarkStart w:id="4" w:name="_Toc152572417"/>
      <w:bookmarkStart w:id="5" w:name="_Toc7076"/>
      <w:bookmarkStart w:id="6" w:name="_Toc32375"/>
      <w:bookmarkStart w:id="7" w:name="_Toc162685649"/>
      <w:bookmarkStart w:id="8" w:name="_Toc22176"/>
      <w:r>
        <w:rPr>
          <w:rFonts w:hint="eastAsia" w:ascii="仿宋" w:hAnsi="仿宋" w:eastAsia="仿宋"/>
          <w:bCs w:val="0"/>
          <w:color w:val="auto"/>
          <w:sz w:val="24"/>
          <w:szCs w:val="24"/>
          <w:highlight w:val="none"/>
        </w:rPr>
        <w:t>一、</w:t>
      </w:r>
      <w:r>
        <w:rPr>
          <w:rFonts w:ascii="仿宋" w:hAnsi="仿宋" w:eastAsia="仿宋"/>
          <w:bCs w:val="0"/>
          <w:color w:val="auto"/>
          <w:sz w:val="24"/>
          <w:szCs w:val="24"/>
          <w:highlight w:val="none"/>
        </w:rPr>
        <w:t>项目基本情况</w:t>
      </w:r>
      <w:bookmarkEnd w:id="1"/>
      <w:bookmarkEnd w:id="2"/>
      <w:bookmarkEnd w:id="3"/>
      <w:bookmarkEnd w:id="4"/>
      <w:bookmarkEnd w:id="5"/>
      <w:bookmarkEnd w:id="6"/>
      <w:bookmarkEnd w:id="7"/>
      <w:bookmarkEnd w:id="8"/>
    </w:p>
    <w:p w14:paraId="003D83E5">
      <w:pPr>
        <w:pStyle w:val="6"/>
        <w:ind w:firstLine="420" w:firstLineChars="200"/>
        <w:rPr>
          <w:rFonts w:ascii="仿宋" w:hAnsi="仿宋" w:eastAsia="仿宋"/>
          <w:color w:val="auto"/>
          <w:sz w:val="21"/>
          <w:highlight w:val="none"/>
        </w:rPr>
      </w:pPr>
      <w:r>
        <w:rPr>
          <w:rFonts w:hint="eastAsia" w:ascii="仿宋" w:hAnsi="仿宋" w:eastAsia="仿宋"/>
          <w:color w:val="auto"/>
          <w:sz w:val="21"/>
          <w:highlight w:val="none"/>
        </w:rPr>
        <w:t>1.项目编号：郑财磋商采购-2025-76</w:t>
      </w:r>
    </w:p>
    <w:p w14:paraId="45CF6774">
      <w:pPr>
        <w:pStyle w:val="6"/>
        <w:ind w:firstLine="420" w:firstLineChars="200"/>
        <w:rPr>
          <w:rFonts w:ascii="仿宋" w:hAnsi="仿宋" w:eastAsia="仿宋"/>
          <w:color w:val="auto"/>
          <w:sz w:val="21"/>
          <w:highlight w:val="none"/>
        </w:rPr>
      </w:pPr>
      <w:r>
        <w:rPr>
          <w:rFonts w:hint="eastAsia" w:ascii="仿宋" w:hAnsi="仿宋" w:eastAsia="仿宋"/>
          <w:color w:val="auto"/>
          <w:sz w:val="21"/>
          <w:highlight w:val="none"/>
        </w:rPr>
        <w:t>2.项目名称：河南南水北调博物馆维护、更新项目-博物馆、文物仓库修缮工程项目</w:t>
      </w:r>
    </w:p>
    <w:p w14:paraId="2257FCEF">
      <w:pPr>
        <w:pStyle w:val="6"/>
        <w:ind w:firstLine="420" w:firstLineChars="200"/>
        <w:rPr>
          <w:rFonts w:ascii="仿宋" w:hAnsi="仿宋" w:eastAsia="仿宋"/>
          <w:color w:val="auto"/>
          <w:sz w:val="21"/>
          <w:highlight w:val="none"/>
        </w:rPr>
      </w:pPr>
      <w:r>
        <w:rPr>
          <w:rFonts w:hint="eastAsia" w:ascii="仿宋" w:hAnsi="仿宋" w:eastAsia="仿宋"/>
          <w:color w:val="auto"/>
          <w:sz w:val="21"/>
          <w:highlight w:val="none"/>
        </w:rPr>
        <w:t>3.采购方式：竞争性磋商</w:t>
      </w:r>
    </w:p>
    <w:p w14:paraId="03B1363B">
      <w:pPr>
        <w:pStyle w:val="6"/>
        <w:ind w:firstLine="420" w:firstLineChars="200"/>
        <w:rPr>
          <w:rFonts w:ascii="仿宋" w:hAnsi="仿宋" w:eastAsia="仿宋"/>
          <w:color w:val="auto"/>
          <w:sz w:val="21"/>
          <w:highlight w:val="none"/>
        </w:rPr>
      </w:pPr>
      <w:r>
        <w:rPr>
          <w:rFonts w:hint="eastAsia" w:ascii="仿宋" w:hAnsi="仿宋" w:eastAsia="仿宋"/>
          <w:color w:val="auto"/>
          <w:sz w:val="21"/>
          <w:highlight w:val="none"/>
        </w:rPr>
        <w:t>4.预算金额：1804041.46元；最高限价：1804041.46元。</w:t>
      </w:r>
    </w:p>
    <w:tbl>
      <w:tblPr>
        <w:tblStyle w:val="4"/>
        <w:tblW w:w="77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4"/>
        <w:gridCol w:w="898"/>
        <w:gridCol w:w="2949"/>
        <w:gridCol w:w="1458"/>
        <w:gridCol w:w="1735"/>
      </w:tblGrid>
      <w:tr w14:paraId="48A73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734" w:type="dxa"/>
            <w:noWrap/>
            <w:vAlign w:val="center"/>
          </w:tcPr>
          <w:p w14:paraId="15E56FF8">
            <w:pPr>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序号</w:t>
            </w:r>
          </w:p>
        </w:tc>
        <w:tc>
          <w:tcPr>
            <w:tcW w:w="898" w:type="dxa"/>
            <w:noWrap/>
            <w:vAlign w:val="center"/>
          </w:tcPr>
          <w:p w14:paraId="3AFE8D52">
            <w:pPr>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包号</w:t>
            </w:r>
          </w:p>
        </w:tc>
        <w:tc>
          <w:tcPr>
            <w:tcW w:w="2949" w:type="dxa"/>
            <w:noWrap/>
            <w:vAlign w:val="center"/>
          </w:tcPr>
          <w:p w14:paraId="7A8DBDF0">
            <w:pPr>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包名称</w:t>
            </w:r>
          </w:p>
        </w:tc>
        <w:tc>
          <w:tcPr>
            <w:tcW w:w="1458" w:type="dxa"/>
            <w:noWrap/>
            <w:vAlign w:val="center"/>
          </w:tcPr>
          <w:p w14:paraId="4E66E955">
            <w:pPr>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包预算（元）</w:t>
            </w:r>
          </w:p>
        </w:tc>
        <w:tc>
          <w:tcPr>
            <w:tcW w:w="1735" w:type="dxa"/>
            <w:tcBorders>
              <w:right w:val="single" w:color="auto" w:sz="4" w:space="0"/>
            </w:tcBorders>
            <w:noWrap/>
            <w:vAlign w:val="center"/>
          </w:tcPr>
          <w:p w14:paraId="298B1E37">
            <w:pPr>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包最高限价（元）</w:t>
            </w:r>
          </w:p>
        </w:tc>
      </w:tr>
      <w:tr w14:paraId="7C081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34" w:type="dxa"/>
            <w:noWrap/>
            <w:vAlign w:val="center"/>
          </w:tcPr>
          <w:p w14:paraId="6B2A0D88">
            <w:pPr>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1</w:t>
            </w:r>
          </w:p>
        </w:tc>
        <w:tc>
          <w:tcPr>
            <w:tcW w:w="898" w:type="dxa"/>
            <w:noWrap/>
            <w:vAlign w:val="center"/>
          </w:tcPr>
          <w:p w14:paraId="4B93B573">
            <w:pPr>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A包</w:t>
            </w:r>
          </w:p>
        </w:tc>
        <w:tc>
          <w:tcPr>
            <w:tcW w:w="2949" w:type="dxa"/>
            <w:noWrap/>
            <w:vAlign w:val="center"/>
          </w:tcPr>
          <w:p w14:paraId="4E14B125">
            <w:pPr>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通风空调工程</w:t>
            </w:r>
          </w:p>
        </w:tc>
        <w:tc>
          <w:tcPr>
            <w:tcW w:w="1458" w:type="dxa"/>
            <w:noWrap/>
            <w:vAlign w:val="center"/>
          </w:tcPr>
          <w:p w14:paraId="17D0CA76">
            <w:pPr>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670909.22</w:t>
            </w:r>
          </w:p>
        </w:tc>
        <w:tc>
          <w:tcPr>
            <w:tcW w:w="1735" w:type="dxa"/>
            <w:tcBorders>
              <w:right w:val="single" w:color="auto" w:sz="4" w:space="0"/>
            </w:tcBorders>
            <w:noWrap/>
            <w:vAlign w:val="center"/>
          </w:tcPr>
          <w:p w14:paraId="33F595F2">
            <w:pPr>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670909.22</w:t>
            </w:r>
          </w:p>
        </w:tc>
      </w:tr>
    </w:tbl>
    <w:p w14:paraId="19FA7C20">
      <w:pPr>
        <w:ind w:firstLine="424" w:firstLineChars="202"/>
        <w:rPr>
          <w:rFonts w:ascii="仿宋" w:hAnsi="仿宋" w:eastAsia="仿宋"/>
          <w:color w:val="auto"/>
          <w:sz w:val="21"/>
          <w:szCs w:val="21"/>
          <w:highlight w:val="none"/>
        </w:rPr>
      </w:pPr>
      <w:r>
        <w:rPr>
          <w:rFonts w:ascii="仿宋" w:hAnsi="仿宋" w:eastAsia="仿宋"/>
          <w:color w:val="auto"/>
          <w:sz w:val="21"/>
          <w:szCs w:val="21"/>
          <w:highlight w:val="none"/>
        </w:rPr>
        <w:t>5</w:t>
      </w:r>
      <w:r>
        <w:rPr>
          <w:rFonts w:hint="eastAsia" w:ascii="仿宋" w:hAnsi="仿宋" w:eastAsia="仿宋"/>
          <w:color w:val="auto"/>
          <w:sz w:val="21"/>
          <w:szCs w:val="21"/>
          <w:highlight w:val="none"/>
        </w:rPr>
        <w:t>.</w:t>
      </w:r>
      <w:r>
        <w:rPr>
          <w:rFonts w:ascii="仿宋" w:hAnsi="仿宋" w:eastAsia="仿宋"/>
          <w:color w:val="auto"/>
          <w:sz w:val="21"/>
          <w:szCs w:val="21"/>
          <w:highlight w:val="none"/>
        </w:rPr>
        <w:t>采购需求（包括但不限于标的的名称、数量、简要技术需求或服务要求等）</w:t>
      </w:r>
    </w:p>
    <w:p w14:paraId="699A0F3F">
      <w:pPr>
        <w:pStyle w:val="3"/>
        <w:ind w:firstLine="424" w:firstLineChars="202"/>
        <w:rPr>
          <w:rFonts w:ascii="仿宋" w:hAnsi="仿宋" w:eastAsia="仿宋" w:cs="仿宋"/>
          <w:color w:val="auto"/>
          <w:szCs w:val="21"/>
          <w:highlight w:val="none"/>
        </w:rPr>
      </w:pPr>
      <w:r>
        <w:rPr>
          <w:rFonts w:hint="eastAsia" w:ascii="仿宋" w:hAnsi="仿宋" w:eastAsia="仿宋"/>
          <w:color w:val="auto"/>
          <w:szCs w:val="21"/>
          <w:highlight w:val="none"/>
        </w:rPr>
        <w:t>5.1项目概况：</w:t>
      </w:r>
      <w:r>
        <w:rPr>
          <w:rFonts w:hint="eastAsia" w:ascii="仿宋" w:hAnsi="仿宋" w:eastAsia="仿宋" w:cs="仿宋"/>
          <w:color w:val="auto"/>
          <w:szCs w:val="21"/>
          <w:highlight w:val="none"/>
        </w:rPr>
        <w:t>根据本项目现场实际，结合设计图纸要求，</w:t>
      </w:r>
      <w:r>
        <w:rPr>
          <w:rFonts w:hint="eastAsia" w:ascii="仿宋" w:hAnsi="仿宋" w:eastAsia="仿宋"/>
          <w:color w:val="auto"/>
          <w:szCs w:val="21"/>
          <w:highlight w:val="none"/>
        </w:rPr>
        <w:t>将3层网架所有违规吊挂设施全部移位至合适位置、对空调末端大部分管路及设施进行拆除更新、对库房防水层进行铲除修复、对馆区下沉及渗水地方进行开挖维修等。</w:t>
      </w:r>
      <w:r>
        <w:rPr>
          <w:rFonts w:hint="eastAsia" w:ascii="仿宋" w:hAnsi="仿宋" w:eastAsia="仿宋" w:cs="仿宋"/>
          <w:color w:val="auto"/>
          <w:szCs w:val="21"/>
          <w:highlight w:val="none"/>
        </w:rPr>
        <w:t>现场地面保护清理保洁，现场设施及物品防尘保护，垃圾处理外运等相关工作内容。详见图纸及招标工程量清单。</w:t>
      </w:r>
    </w:p>
    <w:p w14:paraId="1CD51EE0">
      <w:pPr>
        <w:pStyle w:val="6"/>
        <w:ind w:firstLine="420" w:firstLineChars="200"/>
        <w:rPr>
          <w:rFonts w:ascii="仿宋" w:hAnsi="仿宋" w:eastAsia="仿宋"/>
          <w:color w:val="auto"/>
          <w:sz w:val="21"/>
          <w:highlight w:val="none"/>
        </w:rPr>
      </w:pPr>
      <w:r>
        <w:rPr>
          <w:rFonts w:hint="eastAsia" w:ascii="仿宋" w:hAnsi="仿宋" w:eastAsia="仿宋"/>
          <w:color w:val="auto"/>
          <w:sz w:val="21"/>
          <w:highlight w:val="none"/>
        </w:rPr>
        <w:t>5.3磋商范围：施工图纸及工程量清单内的全部内容（以工程量清单为准）。</w:t>
      </w:r>
    </w:p>
    <w:p w14:paraId="68FF75F0">
      <w:pPr>
        <w:pStyle w:val="6"/>
        <w:ind w:firstLine="420" w:firstLineChars="200"/>
        <w:rPr>
          <w:rFonts w:hint="eastAsia" w:ascii="仿宋" w:hAnsi="仿宋" w:eastAsia="仿宋" w:cs="仿宋"/>
          <w:color w:val="auto"/>
          <w:sz w:val="21"/>
          <w:highlight w:val="none"/>
        </w:rPr>
      </w:pPr>
      <w:r>
        <w:rPr>
          <w:rFonts w:hint="eastAsia" w:ascii="仿宋" w:hAnsi="仿宋" w:eastAsia="仿宋"/>
          <w:color w:val="auto"/>
          <w:sz w:val="21"/>
          <w:highlight w:val="none"/>
        </w:rPr>
        <w:t>5.4</w:t>
      </w:r>
      <w:r>
        <w:rPr>
          <w:rFonts w:hint="eastAsia" w:ascii="仿宋" w:hAnsi="仿宋" w:eastAsia="仿宋" w:cs="仿宋"/>
          <w:color w:val="auto"/>
          <w:sz w:val="21"/>
          <w:highlight w:val="none"/>
        </w:rPr>
        <w:t>计划工期</w:t>
      </w:r>
    </w:p>
    <w:p w14:paraId="6516DF34">
      <w:pPr>
        <w:spacing w:after="0" w:line="400" w:lineRule="exact"/>
        <w:ind w:firstLine="840" w:firstLineChars="400"/>
        <w:jc w:val="both"/>
        <w:rPr>
          <w:rFonts w:ascii="仿宋" w:hAnsi="仿宋" w:eastAsia="仿宋" w:cs="仿宋"/>
          <w:color w:val="auto"/>
          <w:sz w:val="21"/>
          <w:highlight w:val="none"/>
        </w:rPr>
      </w:pPr>
      <w:r>
        <w:rPr>
          <w:rFonts w:hint="eastAsia" w:ascii="仿宋" w:hAnsi="仿宋" w:eastAsia="仿宋" w:cs="仿宋"/>
          <w:color w:val="auto"/>
          <w:sz w:val="21"/>
          <w:highlight w:val="none"/>
          <w:lang w:val="en-US" w:eastAsia="zh-CN"/>
        </w:rPr>
        <w:t>A包：80</w:t>
      </w:r>
      <w:r>
        <w:rPr>
          <w:rFonts w:hint="eastAsia" w:ascii="仿宋" w:hAnsi="仿宋" w:eastAsia="仿宋" w:cs="仿宋"/>
          <w:color w:val="auto"/>
          <w:sz w:val="21"/>
          <w:highlight w:val="none"/>
        </w:rPr>
        <w:t>日历天（具体开工日期以采购人开工令为准）</w:t>
      </w:r>
    </w:p>
    <w:p w14:paraId="563BDB05">
      <w:pPr>
        <w:pStyle w:val="3"/>
        <w:ind w:firstLine="424" w:firstLineChars="202"/>
        <w:rPr>
          <w:rFonts w:ascii="仿宋" w:hAnsi="仿宋" w:eastAsia="仿宋"/>
          <w:color w:val="auto"/>
          <w:szCs w:val="21"/>
          <w:highlight w:val="none"/>
        </w:rPr>
      </w:pPr>
      <w:r>
        <w:rPr>
          <w:rFonts w:hint="eastAsia" w:ascii="仿宋" w:hAnsi="仿宋" w:eastAsia="仿宋"/>
          <w:color w:val="auto"/>
          <w:szCs w:val="21"/>
          <w:highlight w:val="none"/>
        </w:rPr>
        <w:t>5.5质量要求：</w:t>
      </w:r>
      <w:r>
        <w:rPr>
          <w:rFonts w:hint="eastAsia" w:ascii="仿宋" w:hAnsi="仿宋" w:eastAsia="仿宋" w:cs="仿宋"/>
          <w:bCs/>
          <w:color w:val="auto"/>
          <w:szCs w:val="21"/>
          <w:highlight w:val="none"/>
        </w:rPr>
        <w:t>合格</w:t>
      </w:r>
      <w:r>
        <w:rPr>
          <w:rFonts w:hint="eastAsia" w:ascii="仿宋" w:hAnsi="仿宋" w:eastAsia="仿宋" w:cs="仿宋"/>
          <w:color w:val="auto"/>
          <w:szCs w:val="21"/>
          <w:highlight w:val="none"/>
        </w:rPr>
        <w:t>。</w:t>
      </w:r>
    </w:p>
    <w:p w14:paraId="05C0B0A4">
      <w:pPr>
        <w:pStyle w:val="6"/>
        <w:ind w:firstLine="420" w:firstLineChars="200"/>
        <w:rPr>
          <w:rFonts w:ascii="仿宋" w:hAnsi="仿宋" w:eastAsia="仿宋"/>
          <w:color w:val="auto"/>
          <w:sz w:val="21"/>
          <w:highlight w:val="none"/>
        </w:rPr>
      </w:pPr>
      <w:r>
        <w:rPr>
          <w:rFonts w:hint="eastAsia" w:ascii="仿宋" w:hAnsi="仿宋" w:eastAsia="仿宋"/>
          <w:color w:val="auto"/>
          <w:sz w:val="21"/>
          <w:highlight w:val="none"/>
        </w:rPr>
        <w:t>5.6</w:t>
      </w:r>
      <w:r>
        <w:rPr>
          <w:rFonts w:hint="eastAsia" w:ascii="仿宋" w:hAnsi="仿宋" w:eastAsia="仿宋"/>
          <w:color w:val="auto"/>
          <w:sz w:val="21"/>
          <w:highlight w:val="none"/>
        </w:rPr>
        <w:tab/>
      </w:r>
      <w:r>
        <w:rPr>
          <w:rFonts w:hint="eastAsia" w:ascii="仿宋" w:hAnsi="仿宋" w:eastAsia="仿宋"/>
          <w:color w:val="auto"/>
          <w:sz w:val="21"/>
          <w:highlight w:val="none"/>
        </w:rPr>
        <w:t>缺陷责任期：</w:t>
      </w:r>
      <w:r>
        <w:rPr>
          <w:rFonts w:hint="eastAsia" w:ascii="仿宋" w:hAnsi="仿宋" w:eastAsia="仿宋" w:cs="仿宋"/>
          <w:color w:val="auto"/>
          <w:sz w:val="21"/>
          <w:highlight w:val="none"/>
        </w:rPr>
        <w:t>自竣工验收合格之日起24个月。</w:t>
      </w:r>
    </w:p>
    <w:p w14:paraId="76955AB4">
      <w:pPr>
        <w:ind w:firstLine="424" w:firstLineChars="202"/>
        <w:rPr>
          <w:rFonts w:ascii="仿宋" w:hAnsi="仿宋" w:eastAsia="仿宋"/>
          <w:color w:val="auto"/>
          <w:sz w:val="21"/>
          <w:szCs w:val="21"/>
          <w:highlight w:val="none"/>
        </w:rPr>
      </w:pPr>
      <w:r>
        <w:rPr>
          <w:rFonts w:ascii="仿宋" w:hAnsi="仿宋" w:eastAsia="仿宋"/>
          <w:color w:val="auto"/>
          <w:sz w:val="21"/>
          <w:szCs w:val="21"/>
          <w:highlight w:val="none"/>
        </w:rPr>
        <w:t>6</w:t>
      </w:r>
      <w:r>
        <w:rPr>
          <w:rFonts w:hint="eastAsia" w:ascii="仿宋" w:hAnsi="仿宋" w:eastAsia="仿宋"/>
          <w:color w:val="auto"/>
          <w:sz w:val="21"/>
          <w:szCs w:val="21"/>
          <w:highlight w:val="none"/>
        </w:rPr>
        <w:t>.合同履行期限：自合同订立之日起至缺陷责任期结束止。</w:t>
      </w:r>
    </w:p>
    <w:p w14:paraId="2213B4D3">
      <w:pPr>
        <w:ind w:firstLine="424" w:firstLineChars="202"/>
        <w:rPr>
          <w:rFonts w:ascii="仿宋" w:hAnsi="仿宋" w:eastAsia="仿宋"/>
          <w:color w:val="auto"/>
          <w:sz w:val="21"/>
          <w:szCs w:val="21"/>
          <w:highlight w:val="none"/>
        </w:rPr>
      </w:pPr>
      <w:r>
        <w:rPr>
          <w:rFonts w:ascii="仿宋" w:hAnsi="仿宋" w:eastAsia="仿宋"/>
          <w:color w:val="auto"/>
          <w:sz w:val="21"/>
          <w:szCs w:val="21"/>
          <w:highlight w:val="none"/>
        </w:rPr>
        <w:t>7</w:t>
      </w:r>
      <w:r>
        <w:rPr>
          <w:rFonts w:hint="eastAsia" w:ascii="仿宋" w:hAnsi="仿宋" w:eastAsia="仿宋"/>
          <w:color w:val="auto"/>
          <w:sz w:val="21"/>
          <w:szCs w:val="21"/>
          <w:highlight w:val="none"/>
        </w:rPr>
        <w:t>.本项目是否接受联合体投标</w:t>
      </w:r>
      <w:r>
        <w:rPr>
          <w:rFonts w:ascii="仿宋" w:hAnsi="仿宋" w:eastAsia="仿宋"/>
          <w:color w:val="auto"/>
          <w:sz w:val="21"/>
          <w:szCs w:val="21"/>
          <w:highlight w:val="none"/>
        </w:rPr>
        <w:t>：否</w:t>
      </w:r>
      <w:r>
        <w:rPr>
          <w:rFonts w:hint="eastAsia" w:ascii="仿宋" w:hAnsi="仿宋" w:eastAsia="仿宋"/>
          <w:color w:val="auto"/>
          <w:sz w:val="21"/>
          <w:szCs w:val="21"/>
          <w:highlight w:val="none"/>
        </w:rPr>
        <w:t>。</w:t>
      </w:r>
    </w:p>
    <w:p w14:paraId="5C77E434">
      <w:pPr>
        <w:ind w:firstLine="424" w:firstLineChars="202"/>
        <w:rPr>
          <w:rFonts w:ascii="仿宋" w:hAnsi="仿宋" w:eastAsia="仿宋"/>
          <w:color w:val="auto"/>
          <w:sz w:val="21"/>
          <w:szCs w:val="21"/>
          <w:highlight w:val="none"/>
        </w:rPr>
      </w:pPr>
      <w:r>
        <w:rPr>
          <w:rFonts w:ascii="仿宋" w:hAnsi="仿宋" w:eastAsia="仿宋"/>
          <w:color w:val="auto"/>
          <w:sz w:val="21"/>
          <w:szCs w:val="21"/>
          <w:highlight w:val="none"/>
        </w:rPr>
        <w:t>8</w:t>
      </w:r>
      <w:r>
        <w:rPr>
          <w:rFonts w:hint="eastAsia" w:ascii="仿宋" w:hAnsi="仿宋" w:eastAsia="仿宋"/>
          <w:color w:val="auto"/>
          <w:sz w:val="21"/>
          <w:szCs w:val="21"/>
          <w:highlight w:val="none"/>
        </w:rPr>
        <w:t>.</w:t>
      </w:r>
      <w:r>
        <w:rPr>
          <w:rFonts w:ascii="仿宋" w:hAnsi="仿宋" w:eastAsia="仿宋"/>
          <w:color w:val="auto"/>
          <w:sz w:val="21"/>
          <w:szCs w:val="21"/>
          <w:highlight w:val="none"/>
        </w:rPr>
        <w:t>是否接受进口产品：</w:t>
      </w:r>
      <w:r>
        <w:rPr>
          <w:rFonts w:hint="eastAsia" w:ascii="仿宋" w:hAnsi="仿宋" w:eastAsia="仿宋"/>
          <w:color w:val="auto"/>
          <w:sz w:val="21"/>
          <w:szCs w:val="21"/>
          <w:highlight w:val="none"/>
        </w:rPr>
        <w:t>否。</w:t>
      </w:r>
    </w:p>
    <w:p w14:paraId="71F07E26">
      <w:pPr>
        <w:ind w:firstLine="424" w:firstLineChars="202"/>
        <w:rPr>
          <w:rFonts w:ascii="仿宋" w:hAnsi="仿宋" w:eastAsia="仿宋"/>
          <w:color w:val="auto"/>
          <w:sz w:val="21"/>
          <w:szCs w:val="21"/>
          <w:highlight w:val="none"/>
        </w:rPr>
      </w:pPr>
      <w:r>
        <w:rPr>
          <w:rFonts w:hint="eastAsia" w:ascii="仿宋" w:hAnsi="仿宋" w:eastAsia="仿宋"/>
          <w:color w:val="auto"/>
          <w:sz w:val="21"/>
          <w:szCs w:val="21"/>
          <w:highlight w:val="none"/>
        </w:rPr>
        <w:t>9.是否为只面向中小企业采购：否</w:t>
      </w:r>
    </w:p>
    <w:p w14:paraId="17333A6D">
      <w:pPr>
        <w:pStyle w:val="2"/>
        <w:numPr>
          <w:ilvl w:val="1"/>
          <w:numId w:val="0"/>
        </w:numPr>
        <w:spacing w:before="0" w:after="0" w:line="360" w:lineRule="auto"/>
        <w:ind w:right="240"/>
        <w:rPr>
          <w:rFonts w:ascii="仿宋" w:hAnsi="仿宋" w:eastAsia="仿宋"/>
          <w:bCs w:val="0"/>
          <w:color w:val="auto"/>
          <w:sz w:val="24"/>
          <w:szCs w:val="24"/>
          <w:highlight w:val="none"/>
        </w:rPr>
      </w:pPr>
      <w:bookmarkStart w:id="9" w:name="_Toc162685650"/>
      <w:bookmarkStart w:id="10" w:name="_Toc152572418"/>
      <w:bookmarkStart w:id="11" w:name="_Toc21274"/>
      <w:bookmarkStart w:id="12" w:name="_Toc7881"/>
      <w:bookmarkStart w:id="13" w:name="_Toc145009824"/>
      <w:bookmarkStart w:id="14" w:name="_Toc192931797"/>
      <w:bookmarkStart w:id="15" w:name="_Toc5913"/>
      <w:bookmarkStart w:id="16" w:name="_Toc2905"/>
      <w:bookmarkStart w:id="17" w:name="_Toc83559387"/>
      <w:bookmarkStart w:id="18" w:name="_Toc16525595"/>
      <w:bookmarkStart w:id="19" w:name="_Toc16088506"/>
      <w:r>
        <w:rPr>
          <w:rFonts w:ascii="仿宋" w:hAnsi="仿宋" w:eastAsia="仿宋"/>
          <w:bCs w:val="0"/>
          <w:color w:val="auto"/>
          <w:sz w:val="24"/>
          <w:szCs w:val="24"/>
          <w:highlight w:val="none"/>
        </w:rPr>
        <w:t>二、申请人资格要求</w:t>
      </w:r>
      <w:bookmarkEnd w:id="9"/>
      <w:bookmarkEnd w:id="10"/>
      <w:bookmarkEnd w:id="11"/>
      <w:bookmarkEnd w:id="12"/>
      <w:bookmarkEnd w:id="13"/>
      <w:bookmarkEnd w:id="14"/>
      <w:bookmarkEnd w:id="15"/>
      <w:bookmarkEnd w:id="16"/>
      <w:bookmarkEnd w:id="17"/>
    </w:p>
    <w:p w14:paraId="3BAEC648">
      <w:pPr>
        <w:ind w:firstLine="420" w:firstLineChars="200"/>
        <w:jc w:val="left"/>
        <w:rPr>
          <w:rFonts w:ascii="仿宋" w:hAnsi="仿宋" w:eastAsia="仿宋"/>
          <w:color w:val="auto"/>
          <w:sz w:val="21"/>
          <w:szCs w:val="21"/>
          <w:highlight w:val="none"/>
        </w:rPr>
      </w:pPr>
      <w:r>
        <w:rPr>
          <w:rFonts w:ascii="仿宋" w:hAnsi="仿宋" w:eastAsia="仿宋"/>
          <w:color w:val="auto"/>
          <w:sz w:val="21"/>
          <w:szCs w:val="21"/>
          <w:highlight w:val="none"/>
        </w:rPr>
        <w:t>1</w:t>
      </w:r>
      <w:r>
        <w:rPr>
          <w:rFonts w:hint="eastAsia" w:ascii="仿宋" w:hAnsi="仿宋" w:eastAsia="仿宋"/>
          <w:color w:val="auto"/>
          <w:sz w:val="21"/>
          <w:szCs w:val="21"/>
          <w:highlight w:val="none"/>
        </w:rPr>
        <w:t>.</w:t>
      </w:r>
      <w:r>
        <w:rPr>
          <w:rFonts w:ascii="仿宋" w:hAnsi="仿宋" w:eastAsia="仿宋"/>
          <w:color w:val="auto"/>
          <w:sz w:val="21"/>
          <w:szCs w:val="21"/>
          <w:highlight w:val="none"/>
        </w:rPr>
        <w:t>满足《中华人民共和国政府采购法》第二十二条规定</w:t>
      </w:r>
      <w:r>
        <w:rPr>
          <w:rFonts w:hint="eastAsia" w:ascii="仿宋" w:hAnsi="仿宋" w:eastAsia="仿宋"/>
          <w:color w:val="auto"/>
          <w:sz w:val="21"/>
          <w:szCs w:val="21"/>
          <w:highlight w:val="none"/>
        </w:rPr>
        <w:t>。</w:t>
      </w:r>
    </w:p>
    <w:p w14:paraId="33E59E22">
      <w:pPr>
        <w:ind w:firstLine="420" w:firstLineChars="200"/>
        <w:jc w:val="left"/>
        <w:rPr>
          <w:rFonts w:ascii="仿宋" w:hAnsi="仿宋" w:eastAsia="仿宋"/>
          <w:color w:val="auto"/>
          <w:sz w:val="21"/>
          <w:szCs w:val="21"/>
          <w:highlight w:val="none"/>
        </w:rPr>
      </w:pPr>
      <w:r>
        <w:rPr>
          <w:rFonts w:hint="eastAsia" w:ascii="仿宋" w:hAnsi="仿宋" w:eastAsia="仿宋"/>
          <w:color w:val="auto"/>
          <w:sz w:val="21"/>
          <w:szCs w:val="21"/>
          <w:highlight w:val="none"/>
        </w:rPr>
        <w:t>2.</w:t>
      </w:r>
      <w:r>
        <w:rPr>
          <w:rFonts w:ascii="仿宋" w:hAnsi="仿宋" w:eastAsia="仿宋"/>
          <w:color w:val="auto"/>
          <w:sz w:val="21"/>
          <w:szCs w:val="21"/>
          <w:highlight w:val="none"/>
        </w:rPr>
        <w:t>落实政府采购政策满足的资格要求</w:t>
      </w:r>
      <w:r>
        <w:rPr>
          <w:rFonts w:hint="eastAsia" w:ascii="仿宋" w:hAnsi="仿宋" w:eastAsia="仿宋"/>
          <w:color w:val="auto"/>
          <w:sz w:val="21"/>
          <w:szCs w:val="21"/>
          <w:highlight w:val="none"/>
        </w:rPr>
        <w:t>：无。</w:t>
      </w:r>
    </w:p>
    <w:p w14:paraId="719AA4D6">
      <w:pPr>
        <w:ind w:firstLine="420" w:firstLineChars="200"/>
        <w:jc w:val="left"/>
        <w:rPr>
          <w:rFonts w:ascii="仿宋" w:hAnsi="仿宋" w:eastAsia="仿宋" w:cs="仿宋"/>
          <w:color w:val="auto"/>
          <w:sz w:val="21"/>
          <w:szCs w:val="21"/>
          <w:highlight w:val="none"/>
        </w:rPr>
      </w:pPr>
      <w:r>
        <w:rPr>
          <w:rFonts w:ascii="仿宋" w:hAnsi="仿宋" w:eastAsia="仿宋"/>
          <w:color w:val="auto"/>
          <w:sz w:val="21"/>
          <w:szCs w:val="21"/>
          <w:highlight w:val="none"/>
        </w:rPr>
        <w:t>3</w:t>
      </w:r>
      <w:r>
        <w:rPr>
          <w:rFonts w:hint="eastAsia" w:ascii="仿宋" w:hAnsi="仿宋" w:eastAsia="仿宋"/>
          <w:color w:val="auto"/>
          <w:sz w:val="21"/>
          <w:szCs w:val="21"/>
          <w:highlight w:val="none"/>
        </w:rPr>
        <w:t>.</w:t>
      </w:r>
      <w:r>
        <w:rPr>
          <w:rFonts w:ascii="仿宋" w:hAnsi="仿宋" w:eastAsia="仿宋"/>
          <w:color w:val="auto"/>
          <w:sz w:val="21"/>
          <w:szCs w:val="21"/>
          <w:highlight w:val="none"/>
        </w:rPr>
        <w:t>本项目的特定资格要求</w:t>
      </w:r>
      <w:r>
        <w:rPr>
          <w:rFonts w:hint="eastAsia" w:ascii="仿宋" w:hAnsi="仿宋" w:eastAsia="仿宋"/>
          <w:color w:val="auto"/>
          <w:sz w:val="21"/>
          <w:szCs w:val="21"/>
          <w:highlight w:val="none"/>
        </w:rPr>
        <w:t>：</w:t>
      </w:r>
    </w:p>
    <w:p w14:paraId="03A0913B">
      <w:pPr>
        <w:ind w:firstLine="422" w:firstLineChars="200"/>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3.1资质要求</w:t>
      </w:r>
      <w:r>
        <w:rPr>
          <w:rFonts w:hint="eastAsia" w:ascii="仿宋" w:hAnsi="仿宋" w:eastAsia="仿宋" w:cs="仿宋"/>
          <w:color w:val="auto"/>
          <w:sz w:val="21"/>
          <w:szCs w:val="21"/>
          <w:highlight w:val="none"/>
        </w:rPr>
        <w:t>：</w:t>
      </w:r>
    </w:p>
    <w:p w14:paraId="79B1739F">
      <w:pPr>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A包：具有建设行政主管部门核发的建筑机电安装工程专业承包三级（含以上级）资质或机电工程施工总承包三级（含以上级）资质，并具有有效的安全生产许可证。</w:t>
      </w:r>
    </w:p>
    <w:p w14:paraId="75C9AF88">
      <w:pPr>
        <w:pStyle w:val="3"/>
        <w:ind w:firstLine="422" w:firstLineChars="200"/>
        <w:rPr>
          <w:rFonts w:ascii="仿宋" w:hAnsi="仿宋" w:eastAsia="仿宋" w:cs="仿宋"/>
          <w:b/>
          <w:bCs/>
          <w:color w:val="auto"/>
          <w:szCs w:val="21"/>
          <w:highlight w:val="none"/>
        </w:rPr>
      </w:pPr>
      <w:r>
        <w:rPr>
          <w:rFonts w:hint="eastAsia" w:ascii="仿宋" w:hAnsi="仿宋" w:eastAsia="仿宋" w:cs="仿宋"/>
          <w:b/>
          <w:bCs/>
          <w:color w:val="auto"/>
          <w:szCs w:val="21"/>
          <w:highlight w:val="none"/>
        </w:rPr>
        <w:t>3.2人员要求：</w:t>
      </w:r>
    </w:p>
    <w:p w14:paraId="2C1DF996">
      <w:pPr>
        <w:pStyle w:val="3"/>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A包：拟派项目经理具有住房城乡建设主管部门核发有效的机电工程专业二级（含以上级）建造师注册证书、有效的安全生产考核合格证书（B证）；为供应商在职员工，与供应商签订了劳动合同，供应商已为其缴纳了养老保险，且未担任其他在施建设工程项目的项目经理。</w:t>
      </w:r>
    </w:p>
    <w:p w14:paraId="513B8D93">
      <w:pPr>
        <w:pStyle w:val="3"/>
        <w:ind w:firstLine="422" w:firstLineChars="200"/>
        <w:rPr>
          <w:rFonts w:ascii="仿宋" w:hAnsi="仿宋" w:eastAsia="仿宋" w:cs="仿宋"/>
          <w:b/>
          <w:bCs/>
          <w:color w:val="auto"/>
          <w:szCs w:val="21"/>
          <w:highlight w:val="none"/>
        </w:rPr>
      </w:pPr>
      <w:r>
        <w:rPr>
          <w:rFonts w:hint="eastAsia" w:ascii="仿宋" w:hAnsi="仿宋" w:eastAsia="仿宋" w:cs="仿宋"/>
          <w:b/>
          <w:bCs/>
          <w:color w:val="auto"/>
          <w:szCs w:val="21"/>
          <w:highlight w:val="none"/>
        </w:rPr>
        <w:t>3.3 信誉要求：</w:t>
      </w:r>
    </w:p>
    <w:p w14:paraId="77A2408B">
      <w:pPr>
        <w:pStyle w:val="3"/>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供应商未处于被责令停业、投标资格被取消或财产被接管、冻结和破产状态；最近三年内没有骗取中标或者严重违约以及重大工程质量、安全生产事故等问题，未存在被有关部门暂停投标资格并在暂停期内的情况（供应商出具承诺，格式见磋商文件）。</w:t>
      </w:r>
    </w:p>
    <w:p w14:paraId="377FBAD9">
      <w:pPr>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（2）供应商未被列入环保失信黑名单（供应商出具承诺，格式见磋商文件）。</w:t>
      </w:r>
    </w:p>
    <w:p w14:paraId="5B2FB185">
      <w:pPr>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（3）供应商需承诺遵守《保障农民工工资支付条例》，且未被列入尚在执行期的拖欠农民工工资黑名单（供应商出具承诺，格式见磋商文件）。</w:t>
      </w:r>
    </w:p>
    <w:p w14:paraId="5D42AA0C">
      <w:pPr>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（4）近三年（2022年6月1日以来）供应商及其法定代表人、拟派项目经理无行贿犯罪记录（供应商出具承诺，格式见磋商文件）。</w:t>
      </w:r>
    </w:p>
    <w:p w14:paraId="5D8C56E0">
      <w:pPr>
        <w:ind w:firstLine="420" w:firstLineChars="200"/>
        <w:rPr>
          <w:rFonts w:ascii="仿宋" w:hAnsi="仿宋" w:eastAsia="仿宋" w:cs="仿宋"/>
          <w:b/>
          <w:bCs/>
          <w:color w:val="auto"/>
          <w:sz w:val="21"/>
          <w:szCs w:val="21"/>
          <w:highlight w:val="none"/>
        </w:rPr>
      </w:pPr>
      <w:r>
        <w:rPr>
          <w:rFonts w:hint="eastAsia" w:ascii="仿宋" w:hAnsi="仿宋" w:eastAsia="仿宋" w:cs="宋体"/>
          <w:color w:val="auto"/>
          <w:sz w:val="21"/>
          <w:szCs w:val="21"/>
          <w:highlight w:val="none"/>
        </w:rPr>
        <w:t>（5）根据《河南省住房和城乡建设厅关于进一步规范建设工程企业资质管理的通知》豫建行规〔2024〕7号文件规定，被全国和河南省建筑市场监管公共服务平台标注为资质异常的，不能使用标注异常资质承揽本工程，具体要求详见通知内容（提供</w:t>
      </w:r>
      <w:r>
        <w:rPr>
          <w:rFonts w:hint="eastAsia" w:ascii="仿宋" w:hAnsi="仿宋" w:eastAsia="仿宋" w:cs="宋体"/>
          <w:b/>
          <w:bCs/>
          <w:color w:val="auto"/>
          <w:sz w:val="21"/>
          <w:szCs w:val="21"/>
          <w:highlight w:val="none"/>
        </w:rPr>
        <w:t>全国</w:t>
      </w:r>
      <w:r>
        <w:rPr>
          <w:rFonts w:hint="eastAsia" w:ascii="仿宋" w:hAnsi="仿宋" w:eastAsia="仿宋" w:cs="宋体"/>
          <w:color w:val="auto"/>
          <w:sz w:val="21"/>
          <w:szCs w:val="21"/>
          <w:highlight w:val="none"/>
        </w:rPr>
        <w:t>和河南省建筑市场监管公共服务平台查询截图，查询日期为磋商公告发出之后）。</w:t>
      </w:r>
    </w:p>
    <w:p w14:paraId="4B5BBEA5">
      <w:pPr>
        <w:pStyle w:val="3"/>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（6）根据《关于在政府采购活动中查询及使用信用记录有关问题的通知》(财库[2016]125号) 的规定，采购人或采购代理机构应在磋商评审前查询供应商信用记录。对列入“中国执行信息公开网”的“失信被执行人”、“信用中国”网站的“重大税收违法失信主体”、“中国政府采购”网站的“政府采购严重违法失信行为记录名单”的供应商，采购人、采购代理机构应当拒绝其参加政府采购活动。采购代理机构将查询网页、内容进行截图或拍照，以作证据留存。</w:t>
      </w:r>
    </w:p>
    <w:p w14:paraId="2D7A45E6">
      <w:pPr>
        <w:pStyle w:val="3"/>
        <w:ind w:firstLine="422" w:firstLineChars="200"/>
        <w:rPr>
          <w:rFonts w:ascii="仿宋" w:hAnsi="仿宋" w:eastAsia="仿宋" w:cs="仿宋"/>
          <w:b/>
          <w:bCs/>
          <w:color w:val="auto"/>
          <w:szCs w:val="21"/>
          <w:highlight w:val="none"/>
        </w:rPr>
      </w:pPr>
      <w:r>
        <w:rPr>
          <w:rFonts w:hint="eastAsia" w:ascii="仿宋" w:hAnsi="仿宋" w:eastAsia="仿宋" w:cs="仿宋"/>
          <w:b/>
          <w:bCs/>
          <w:color w:val="auto"/>
          <w:szCs w:val="21"/>
          <w:highlight w:val="none"/>
        </w:rPr>
        <w:t>3.4 其他要求</w:t>
      </w:r>
    </w:p>
    <w:p w14:paraId="5C20B700">
      <w:pPr>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（1）单位负责人为同一人或者存在直接控股、管理关系的不同供应商，不得参加同一合同项下的政府采购活动（</w:t>
      </w:r>
      <w:r>
        <w:rPr>
          <w:rFonts w:hint="eastAsia" w:ascii="仿宋" w:hAnsi="仿宋" w:eastAsia="仿宋" w:cs="仿宋"/>
          <w:color w:val="auto"/>
          <w:sz w:val="21"/>
          <w:szCs w:val="21"/>
          <w:highlight w:val="none"/>
          <w:lang w:val="en-US" w:eastAsia="zh-CN"/>
        </w:rPr>
        <w:t>详见第八章供应商投标承诺书</w:t>
      </w:r>
      <w:r>
        <w:rPr>
          <w:rFonts w:hint="eastAsia" w:ascii="仿宋" w:hAnsi="仿宋" w:eastAsia="仿宋" w:cs="仿宋"/>
          <w:color w:val="auto"/>
          <w:sz w:val="21"/>
          <w:szCs w:val="21"/>
          <w:highlight w:val="none"/>
        </w:rPr>
        <w:t>）。</w:t>
      </w:r>
    </w:p>
    <w:p w14:paraId="3DE15E5D">
      <w:pPr>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（2）为采购项目提供整体设计、规范编制或者项目管理、监理、检测等服务的供应商，不得再参加该采购项目的其他采购活动（</w:t>
      </w:r>
      <w:r>
        <w:rPr>
          <w:rFonts w:hint="eastAsia" w:ascii="仿宋" w:hAnsi="仿宋" w:eastAsia="仿宋" w:cs="仿宋"/>
          <w:color w:val="auto"/>
          <w:sz w:val="21"/>
          <w:szCs w:val="21"/>
          <w:highlight w:val="none"/>
          <w:lang w:val="en-US" w:eastAsia="zh-CN"/>
        </w:rPr>
        <w:t>详见第八章供应商投标承诺书</w:t>
      </w:r>
      <w:r>
        <w:rPr>
          <w:rFonts w:hint="eastAsia" w:ascii="仿宋" w:hAnsi="仿宋" w:eastAsia="仿宋" w:cs="仿宋"/>
          <w:color w:val="auto"/>
          <w:sz w:val="21"/>
          <w:szCs w:val="21"/>
          <w:highlight w:val="none"/>
        </w:rPr>
        <w:t>）。</w:t>
      </w:r>
    </w:p>
    <w:p w14:paraId="353434A7">
      <w:pPr>
        <w:pStyle w:val="2"/>
        <w:numPr>
          <w:ilvl w:val="1"/>
          <w:numId w:val="0"/>
        </w:numPr>
        <w:spacing w:before="0" w:after="0" w:line="360" w:lineRule="auto"/>
        <w:ind w:right="240"/>
        <w:rPr>
          <w:rFonts w:ascii="仿宋" w:hAnsi="仿宋" w:eastAsia="仿宋"/>
          <w:bCs w:val="0"/>
          <w:color w:val="auto"/>
          <w:sz w:val="24"/>
          <w:szCs w:val="24"/>
          <w:highlight w:val="none"/>
        </w:rPr>
      </w:pPr>
      <w:bookmarkStart w:id="20" w:name="_Toc145009825"/>
      <w:bookmarkStart w:id="21" w:name="_Toc24763"/>
      <w:bookmarkStart w:id="22" w:name="_Toc32201"/>
      <w:bookmarkStart w:id="23" w:name="_Toc83559388"/>
      <w:bookmarkStart w:id="24" w:name="_Toc192931798"/>
      <w:bookmarkStart w:id="25" w:name="_Toc19395"/>
      <w:bookmarkStart w:id="26" w:name="_Toc11005"/>
      <w:bookmarkStart w:id="27" w:name="_Toc162685651"/>
      <w:bookmarkStart w:id="28" w:name="_Toc152572419"/>
      <w:r>
        <w:rPr>
          <w:rFonts w:hint="eastAsia" w:ascii="仿宋" w:hAnsi="仿宋" w:eastAsia="仿宋"/>
          <w:bCs w:val="0"/>
          <w:color w:val="auto"/>
          <w:sz w:val="24"/>
          <w:szCs w:val="24"/>
          <w:highlight w:val="none"/>
        </w:rPr>
        <w:t>三、获取</w:t>
      </w:r>
      <w:r>
        <w:rPr>
          <w:rFonts w:hint="eastAsia" w:ascii="仿宋" w:hAnsi="仿宋" w:eastAsia="仿宋"/>
          <w:bCs w:val="0"/>
          <w:color w:val="auto"/>
          <w:sz w:val="24"/>
          <w:szCs w:val="24"/>
          <w:highlight w:val="none"/>
          <w:lang w:val="en-US" w:eastAsia="zh-CN"/>
        </w:rPr>
        <w:t>采购</w:t>
      </w:r>
      <w:r>
        <w:rPr>
          <w:rFonts w:hint="eastAsia" w:ascii="仿宋" w:hAnsi="仿宋" w:eastAsia="仿宋"/>
          <w:bCs w:val="0"/>
          <w:color w:val="auto"/>
          <w:sz w:val="24"/>
          <w:szCs w:val="24"/>
          <w:highlight w:val="none"/>
        </w:rPr>
        <w:t>文件</w:t>
      </w:r>
      <w:bookmarkEnd w:id="20"/>
      <w:bookmarkEnd w:id="21"/>
      <w:bookmarkEnd w:id="22"/>
      <w:bookmarkEnd w:id="23"/>
      <w:bookmarkEnd w:id="24"/>
      <w:bookmarkEnd w:id="25"/>
      <w:bookmarkEnd w:id="26"/>
      <w:bookmarkEnd w:id="27"/>
      <w:bookmarkEnd w:id="28"/>
    </w:p>
    <w:p w14:paraId="772421BD">
      <w:pPr>
        <w:ind w:firstLine="420" w:firstLineChars="200"/>
        <w:jc w:val="left"/>
        <w:rPr>
          <w:rFonts w:ascii="仿宋" w:hAnsi="仿宋" w:eastAsia="仿宋"/>
          <w:color w:val="auto"/>
          <w:sz w:val="21"/>
          <w:szCs w:val="21"/>
          <w:highlight w:val="none"/>
        </w:rPr>
      </w:pPr>
      <w:r>
        <w:rPr>
          <w:rFonts w:hint="eastAsia" w:ascii="仿宋" w:hAnsi="仿宋" w:eastAsia="仿宋"/>
          <w:color w:val="auto"/>
          <w:sz w:val="21"/>
          <w:szCs w:val="21"/>
          <w:highlight w:val="none"/>
        </w:rPr>
        <w:t>1.时间：2025年</w:t>
      </w:r>
      <w:r>
        <w:rPr>
          <w:rFonts w:hint="eastAsia" w:ascii="仿宋" w:hAnsi="仿宋" w:eastAsia="仿宋"/>
          <w:color w:val="auto"/>
          <w:sz w:val="21"/>
          <w:szCs w:val="21"/>
          <w:highlight w:val="none"/>
          <w:lang w:val="en-US" w:eastAsia="zh-CN"/>
        </w:rPr>
        <w:t>07</w:t>
      </w:r>
      <w:r>
        <w:rPr>
          <w:rFonts w:hint="eastAsia" w:ascii="仿宋" w:hAnsi="仿宋" w:eastAsia="仿宋"/>
          <w:color w:val="auto"/>
          <w:sz w:val="21"/>
          <w:szCs w:val="21"/>
          <w:highlight w:val="none"/>
        </w:rPr>
        <w:t>月</w:t>
      </w:r>
      <w:r>
        <w:rPr>
          <w:rFonts w:hint="eastAsia" w:ascii="仿宋" w:hAnsi="仿宋" w:eastAsia="仿宋"/>
          <w:color w:val="auto"/>
          <w:sz w:val="21"/>
          <w:szCs w:val="21"/>
          <w:highlight w:val="none"/>
          <w:lang w:val="en-US" w:eastAsia="zh-CN"/>
        </w:rPr>
        <w:t>29</w:t>
      </w:r>
      <w:r>
        <w:rPr>
          <w:rFonts w:hint="eastAsia" w:ascii="仿宋" w:hAnsi="仿宋" w:eastAsia="仿宋"/>
          <w:color w:val="auto"/>
          <w:sz w:val="21"/>
          <w:szCs w:val="21"/>
          <w:highlight w:val="none"/>
        </w:rPr>
        <w:t>日至2025年</w:t>
      </w:r>
      <w:r>
        <w:rPr>
          <w:rFonts w:hint="eastAsia" w:ascii="仿宋" w:hAnsi="仿宋" w:eastAsia="仿宋"/>
          <w:color w:val="auto"/>
          <w:sz w:val="21"/>
          <w:szCs w:val="21"/>
          <w:highlight w:val="none"/>
          <w:lang w:val="en-US" w:eastAsia="zh-CN"/>
        </w:rPr>
        <w:t>08</w:t>
      </w:r>
      <w:r>
        <w:rPr>
          <w:rFonts w:hint="eastAsia" w:ascii="仿宋" w:hAnsi="仿宋" w:eastAsia="仿宋"/>
          <w:color w:val="auto"/>
          <w:sz w:val="21"/>
          <w:szCs w:val="21"/>
          <w:highlight w:val="none"/>
        </w:rPr>
        <w:t>月</w:t>
      </w:r>
      <w:r>
        <w:rPr>
          <w:rFonts w:hint="eastAsia" w:ascii="仿宋" w:hAnsi="仿宋" w:eastAsia="仿宋"/>
          <w:color w:val="auto"/>
          <w:sz w:val="21"/>
          <w:szCs w:val="21"/>
          <w:highlight w:val="none"/>
          <w:lang w:val="en-US" w:eastAsia="zh-CN"/>
        </w:rPr>
        <w:t>05</w:t>
      </w:r>
      <w:r>
        <w:rPr>
          <w:rFonts w:hint="eastAsia" w:ascii="仿宋" w:hAnsi="仿宋" w:eastAsia="仿宋"/>
          <w:color w:val="auto"/>
          <w:sz w:val="21"/>
          <w:szCs w:val="21"/>
          <w:highlight w:val="none"/>
        </w:rPr>
        <w:t>日，每天上午00:00至12:00，下午12:00至23:59（北京时间，法定节假日除外）</w:t>
      </w:r>
      <w:r>
        <w:rPr>
          <w:rFonts w:ascii="仿宋" w:hAnsi="仿宋" w:eastAsia="仿宋"/>
          <w:color w:val="auto"/>
          <w:sz w:val="21"/>
          <w:szCs w:val="21"/>
          <w:highlight w:val="none"/>
        </w:rPr>
        <w:t>。</w:t>
      </w:r>
    </w:p>
    <w:p w14:paraId="23197641">
      <w:pPr>
        <w:ind w:firstLine="420" w:firstLineChars="200"/>
        <w:jc w:val="left"/>
        <w:rPr>
          <w:rFonts w:ascii="仿宋" w:hAnsi="仿宋" w:eastAsia="仿宋"/>
          <w:color w:val="auto"/>
          <w:sz w:val="21"/>
          <w:szCs w:val="21"/>
          <w:highlight w:val="none"/>
        </w:rPr>
      </w:pPr>
      <w:r>
        <w:rPr>
          <w:rFonts w:hint="eastAsia" w:ascii="仿宋" w:hAnsi="仿宋" w:eastAsia="仿宋"/>
          <w:color w:val="auto"/>
          <w:sz w:val="21"/>
          <w:szCs w:val="21"/>
          <w:highlight w:val="none"/>
        </w:rPr>
        <w:t>2.地点：登录“郑州市公共资源交易中心网（https://zzggzy.zhengzhou.gov.cn）”，凭企业身份认证锁（CA锁）下载磋商文件。供应商未按规定在网上下载磋商文件的，其响应文件将被拒绝。</w:t>
      </w:r>
    </w:p>
    <w:p w14:paraId="6B70F746">
      <w:pPr>
        <w:ind w:firstLine="420" w:firstLineChars="200"/>
        <w:jc w:val="left"/>
        <w:rPr>
          <w:rFonts w:ascii="仿宋" w:hAnsi="仿宋" w:eastAsia="仿宋"/>
          <w:color w:val="auto"/>
          <w:sz w:val="21"/>
          <w:szCs w:val="21"/>
          <w:highlight w:val="none"/>
        </w:rPr>
      </w:pPr>
      <w:r>
        <w:rPr>
          <w:rFonts w:hint="eastAsia" w:ascii="仿宋" w:hAnsi="仿宋" w:eastAsia="仿宋"/>
          <w:color w:val="auto"/>
          <w:sz w:val="21"/>
          <w:szCs w:val="21"/>
          <w:highlight w:val="none"/>
        </w:rPr>
        <w:t>3、方式：各潜在供应商可通过本项目磋商公告自行获取查阅采购（招标）文件。凡有意参加投标者，可凭企业身份认证锁CA锁登录“郑州市公共资源交易中心网”进行获取磋商文件、投标（响应）等相关线上系统操作。未办理企业身份认证锁CA数字证书的，请登录郑州市公共资源交易中心网站，查阅网站首页“通知公告”或“CA及签章办理流程”中《关于数字证书（CA）互认功能上线试运行的通知》，及时办理CA数字证书及电子签章，并完成市场主体库相关信息。</w:t>
      </w:r>
    </w:p>
    <w:p w14:paraId="3DC125D0">
      <w:pPr>
        <w:ind w:firstLine="420" w:firstLineChars="200"/>
        <w:jc w:val="left"/>
        <w:rPr>
          <w:rFonts w:ascii="仿宋" w:hAnsi="仿宋" w:eastAsia="仿宋"/>
          <w:color w:val="auto"/>
          <w:sz w:val="21"/>
          <w:szCs w:val="21"/>
          <w:highlight w:val="none"/>
        </w:rPr>
      </w:pPr>
      <w:r>
        <w:rPr>
          <w:rFonts w:hint="eastAsia" w:ascii="仿宋" w:hAnsi="仿宋" w:eastAsia="仿宋"/>
          <w:color w:val="auto"/>
          <w:sz w:val="21"/>
          <w:szCs w:val="21"/>
          <w:highlight w:val="none"/>
        </w:rPr>
        <w:t>4.售价：0元。</w:t>
      </w:r>
    </w:p>
    <w:p w14:paraId="7382BE9E">
      <w:pPr>
        <w:pStyle w:val="2"/>
        <w:numPr>
          <w:ilvl w:val="1"/>
          <w:numId w:val="0"/>
        </w:numPr>
        <w:spacing w:before="0" w:after="0" w:line="360" w:lineRule="auto"/>
        <w:ind w:right="240"/>
        <w:rPr>
          <w:rFonts w:ascii="仿宋" w:hAnsi="仿宋" w:eastAsia="仿宋"/>
          <w:bCs w:val="0"/>
          <w:color w:val="auto"/>
          <w:sz w:val="24"/>
          <w:szCs w:val="24"/>
          <w:highlight w:val="none"/>
        </w:rPr>
      </w:pPr>
      <w:bookmarkStart w:id="29" w:name="_Toc8169"/>
      <w:bookmarkStart w:id="30" w:name="_Toc192931799"/>
      <w:bookmarkStart w:id="31" w:name="_Toc145009826"/>
      <w:bookmarkStart w:id="32" w:name="_Toc83559389"/>
      <w:bookmarkStart w:id="33" w:name="_Toc28883"/>
      <w:bookmarkStart w:id="34" w:name="_Toc10043"/>
      <w:bookmarkStart w:id="35" w:name="_Toc152572420"/>
      <w:bookmarkStart w:id="36" w:name="_Toc162685652"/>
      <w:bookmarkStart w:id="37" w:name="_Toc31211"/>
      <w:r>
        <w:rPr>
          <w:rFonts w:hint="eastAsia" w:ascii="仿宋" w:hAnsi="仿宋" w:eastAsia="仿宋"/>
          <w:bCs w:val="0"/>
          <w:color w:val="auto"/>
          <w:sz w:val="24"/>
          <w:szCs w:val="24"/>
          <w:highlight w:val="none"/>
        </w:rPr>
        <w:t>四、响应文件提交</w:t>
      </w:r>
      <w:bookmarkEnd w:id="29"/>
      <w:bookmarkEnd w:id="30"/>
      <w:bookmarkEnd w:id="31"/>
      <w:bookmarkEnd w:id="32"/>
      <w:bookmarkEnd w:id="33"/>
      <w:bookmarkEnd w:id="34"/>
      <w:bookmarkEnd w:id="35"/>
      <w:bookmarkEnd w:id="36"/>
      <w:bookmarkEnd w:id="37"/>
    </w:p>
    <w:p w14:paraId="5DAE59F6">
      <w:pPr>
        <w:widowControl/>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1.时间：2025年</w:t>
      </w:r>
      <w:r>
        <w:rPr>
          <w:rFonts w:hint="eastAsia" w:ascii="仿宋" w:hAnsi="仿宋" w:eastAsia="仿宋"/>
          <w:color w:val="auto"/>
          <w:sz w:val="21"/>
          <w:szCs w:val="21"/>
          <w:highlight w:val="none"/>
          <w:lang w:val="en-US" w:eastAsia="zh-CN"/>
        </w:rPr>
        <w:t>08</w:t>
      </w:r>
      <w:r>
        <w:rPr>
          <w:rFonts w:hint="eastAsia" w:ascii="仿宋" w:hAnsi="仿宋" w:eastAsia="仿宋"/>
          <w:color w:val="auto"/>
          <w:sz w:val="21"/>
          <w:szCs w:val="21"/>
          <w:highlight w:val="none"/>
        </w:rPr>
        <w:t>月</w:t>
      </w:r>
      <w:r>
        <w:rPr>
          <w:rFonts w:hint="eastAsia" w:ascii="仿宋" w:hAnsi="仿宋" w:eastAsia="仿宋"/>
          <w:color w:val="auto"/>
          <w:sz w:val="21"/>
          <w:szCs w:val="21"/>
          <w:highlight w:val="none"/>
          <w:lang w:val="en-US" w:eastAsia="zh-CN"/>
        </w:rPr>
        <w:t>11</w:t>
      </w:r>
      <w:r>
        <w:rPr>
          <w:rFonts w:hint="eastAsia" w:ascii="仿宋" w:hAnsi="仿宋" w:eastAsia="仿宋"/>
          <w:color w:val="auto"/>
          <w:sz w:val="21"/>
          <w:szCs w:val="21"/>
          <w:highlight w:val="none"/>
        </w:rPr>
        <w:t>日10时00分（北京时间）。</w:t>
      </w:r>
    </w:p>
    <w:p w14:paraId="09841700">
      <w:pPr>
        <w:ind w:firstLine="420" w:firstLineChars="200"/>
        <w:jc w:val="left"/>
        <w:rPr>
          <w:rFonts w:ascii="仿宋" w:hAnsi="仿宋" w:eastAsia="仿宋"/>
          <w:color w:val="auto"/>
          <w:sz w:val="21"/>
          <w:szCs w:val="21"/>
          <w:highlight w:val="none"/>
        </w:rPr>
      </w:pPr>
      <w:r>
        <w:rPr>
          <w:rFonts w:hint="eastAsia" w:ascii="仿宋" w:hAnsi="仿宋" w:eastAsia="仿宋"/>
          <w:color w:val="auto"/>
          <w:sz w:val="21"/>
          <w:szCs w:val="21"/>
          <w:highlight w:val="none"/>
        </w:rPr>
        <w:t>2.地点：郑州市公共资源交易中心电子交易平台。</w:t>
      </w:r>
    </w:p>
    <w:p w14:paraId="2CEC7DCE">
      <w:pPr>
        <w:pStyle w:val="2"/>
        <w:numPr>
          <w:ilvl w:val="1"/>
          <w:numId w:val="0"/>
        </w:numPr>
        <w:spacing w:before="0" w:after="0" w:line="360" w:lineRule="auto"/>
        <w:ind w:right="240"/>
        <w:rPr>
          <w:rFonts w:ascii="仿宋" w:hAnsi="仿宋" w:eastAsia="仿宋"/>
          <w:bCs w:val="0"/>
          <w:color w:val="auto"/>
          <w:sz w:val="24"/>
          <w:szCs w:val="24"/>
          <w:highlight w:val="none"/>
        </w:rPr>
      </w:pPr>
      <w:bookmarkStart w:id="38" w:name="_Toc83559390"/>
      <w:bookmarkStart w:id="39" w:name="_Toc192931800"/>
      <w:bookmarkStart w:id="40" w:name="_Toc21813"/>
      <w:bookmarkStart w:id="41" w:name="_Toc162685653"/>
      <w:bookmarkStart w:id="42" w:name="_Toc152572421"/>
      <w:bookmarkStart w:id="43" w:name="_Toc16178"/>
      <w:bookmarkStart w:id="44" w:name="_Toc2951"/>
      <w:bookmarkStart w:id="45" w:name="_Toc21857"/>
      <w:bookmarkStart w:id="46" w:name="_Toc145009827"/>
      <w:r>
        <w:rPr>
          <w:rFonts w:hint="eastAsia" w:ascii="仿宋" w:hAnsi="仿宋" w:eastAsia="仿宋"/>
          <w:bCs w:val="0"/>
          <w:color w:val="auto"/>
          <w:sz w:val="24"/>
          <w:szCs w:val="24"/>
          <w:highlight w:val="none"/>
        </w:rPr>
        <w:t>五、响应文件开启</w:t>
      </w:r>
      <w:bookmarkEnd w:id="38"/>
      <w:bookmarkEnd w:id="39"/>
      <w:bookmarkEnd w:id="40"/>
      <w:bookmarkEnd w:id="41"/>
      <w:bookmarkEnd w:id="42"/>
      <w:bookmarkEnd w:id="43"/>
      <w:bookmarkEnd w:id="44"/>
      <w:bookmarkEnd w:id="45"/>
      <w:bookmarkEnd w:id="46"/>
    </w:p>
    <w:p w14:paraId="538D4695">
      <w:pPr>
        <w:ind w:firstLine="420" w:firstLineChars="200"/>
        <w:jc w:val="left"/>
        <w:rPr>
          <w:rFonts w:ascii="仿宋" w:hAnsi="仿宋" w:eastAsia="仿宋"/>
          <w:color w:val="auto"/>
          <w:sz w:val="21"/>
          <w:szCs w:val="21"/>
          <w:highlight w:val="none"/>
        </w:rPr>
      </w:pPr>
      <w:r>
        <w:rPr>
          <w:rFonts w:hint="eastAsia" w:ascii="仿宋" w:hAnsi="仿宋" w:eastAsia="仿宋"/>
          <w:color w:val="auto"/>
          <w:sz w:val="21"/>
          <w:szCs w:val="21"/>
          <w:highlight w:val="none"/>
        </w:rPr>
        <w:t>1.时间：2025年</w:t>
      </w:r>
      <w:r>
        <w:rPr>
          <w:rFonts w:hint="eastAsia" w:ascii="仿宋" w:hAnsi="仿宋" w:eastAsia="仿宋"/>
          <w:color w:val="auto"/>
          <w:sz w:val="21"/>
          <w:szCs w:val="21"/>
          <w:highlight w:val="none"/>
          <w:lang w:val="en-US" w:eastAsia="zh-CN"/>
        </w:rPr>
        <w:t>08</w:t>
      </w:r>
      <w:r>
        <w:rPr>
          <w:rFonts w:hint="eastAsia" w:ascii="仿宋" w:hAnsi="仿宋" w:eastAsia="仿宋"/>
          <w:color w:val="auto"/>
          <w:sz w:val="21"/>
          <w:szCs w:val="21"/>
          <w:highlight w:val="none"/>
        </w:rPr>
        <w:t>月</w:t>
      </w:r>
      <w:r>
        <w:rPr>
          <w:rFonts w:hint="eastAsia" w:ascii="仿宋" w:hAnsi="仿宋" w:eastAsia="仿宋"/>
          <w:color w:val="auto"/>
          <w:sz w:val="21"/>
          <w:szCs w:val="21"/>
          <w:highlight w:val="none"/>
          <w:lang w:val="en-US" w:eastAsia="zh-CN"/>
        </w:rPr>
        <w:t>11</w:t>
      </w:r>
      <w:r>
        <w:rPr>
          <w:rFonts w:hint="eastAsia" w:ascii="仿宋" w:hAnsi="仿宋" w:eastAsia="仿宋"/>
          <w:color w:val="auto"/>
          <w:sz w:val="21"/>
          <w:szCs w:val="21"/>
          <w:highlight w:val="none"/>
        </w:rPr>
        <w:t>日10时00分（北京时间）。</w:t>
      </w:r>
    </w:p>
    <w:p w14:paraId="55AFB3EE">
      <w:pPr>
        <w:ind w:firstLine="420" w:firstLineChars="200"/>
        <w:jc w:val="left"/>
        <w:rPr>
          <w:rFonts w:ascii="仿宋" w:hAnsi="仿宋" w:eastAsia="仿宋"/>
          <w:color w:val="auto"/>
          <w:sz w:val="21"/>
          <w:szCs w:val="21"/>
          <w:highlight w:val="none"/>
        </w:rPr>
      </w:pPr>
      <w:r>
        <w:rPr>
          <w:rFonts w:hint="eastAsia" w:ascii="仿宋" w:hAnsi="仿宋" w:eastAsia="仿宋"/>
          <w:color w:val="auto"/>
          <w:sz w:val="21"/>
          <w:szCs w:val="21"/>
          <w:highlight w:val="none"/>
        </w:rPr>
        <w:t>2.地点：郑州市公共资源交易中心不见面开标大厅。</w:t>
      </w:r>
    </w:p>
    <w:p w14:paraId="50836053">
      <w:pPr>
        <w:pStyle w:val="2"/>
        <w:numPr>
          <w:ilvl w:val="1"/>
          <w:numId w:val="0"/>
        </w:numPr>
        <w:spacing w:before="0" w:after="0" w:line="360" w:lineRule="auto"/>
        <w:ind w:right="240"/>
        <w:rPr>
          <w:rFonts w:ascii="仿宋" w:hAnsi="仿宋" w:eastAsia="仿宋"/>
          <w:bCs w:val="0"/>
          <w:color w:val="auto"/>
          <w:sz w:val="24"/>
          <w:szCs w:val="24"/>
          <w:highlight w:val="none"/>
        </w:rPr>
      </w:pPr>
      <w:bookmarkStart w:id="47" w:name="_Toc162685654"/>
      <w:bookmarkStart w:id="48" w:name="_Toc152572422"/>
      <w:bookmarkStart w:id="49" w:name="_Toc25764"/>
      <w:bookmarkStart w:id="50" w:name="_Toc19406"/>
      <w:bookmarkStart w:id="51" w:name="_Toc192931801"/>
      <w:bookmarkStart w:id="52" w:name="_Toc145009828"/>
      <w:bookmarkStart w:id="53" w:name="_Toc83559391"/>
      <w:bookmarkStart w:id="54" w:name="_Toc17158"/>
      <w:bookmarkStart w:id="55" w:name="_Toc1331"/>
      <w:r>
        <w:rPr>
          <w:rFonts w:hint="eastAsia" w:ascii="仿宋" w:hAnsi="仿宋" w:eastAsia="仿宋"/>
          <w:bCs w:val="0"/>
          <w:color w:val="auto"/>
          <w:sz w:val="24"/>
          <w:szCs w:val="24"/>
          <w:highlight w:val="none"/>
        </w:rPr>
        <w:t>六、发布公告的媒介及</w:t>
      </w:r>
      <w:r>
        <w:rPr>
          <w:rFonts w:hint="eastAsia" w:ascii="仿宋" w:hAnsi="仿宋" w:eastAsia="仿宋"/>
          <w:bCs w:val="0"/>
          <w:color w:val="auto"/>
          <w:sz w:val="24"/>
          <w:szCs w:val="24"/>
          <w:highlight w:val="none"/>
          <w:lang w:val="en-US" w:eastAsia="zh-CN"/>
        </w:rPr>
        <w:t>招标</w:t>
      </w:r>
      <w:r>
        <w:rPr>
          <w:rFonts w:hint="eastAsia" w:ascii="仿宋" w:hAnsi="仿宋" w:eastAsia="仿宋"/>
          <w:bCs w:val="0"/>
          <w:color w:val="auto"/>
          <w:sz w:val="24"/>
          <w:szCs w:val="24"/>
          <w:highlight w:val="none"/>
        </w:rPr>
        <w:t>公告期限</w:t>
      </w:r>
      <w:bookmarkEnd w:id="47"/>
      <w:bookmarkEnd w:id="48"/>
      <w:bookmarkEnd w:id="49"/>
      <w:bookmarkEnd w:id="50"/>
      <w:bookmarkEnd w:id="51"/>
      <w:bookmarkEnd w:id="52"/>
      <w:bookmarkEnd w:id="53"/>
      <w:bookmarkEnd w:id="54"/>
      <w:bookmarkEnd w:id="55"/>
    </w:p>
    <w:p w14:paraId="13020D12">
      <w:pPr>
        <w:ind w:firstLine="420" w:firstLineChars="200"/>
        <w:jc w:val="left"/>
        <w:rPr>
          <w:rFonts w:ascii="仿宋" w:hAnsi="仿宋" w:eastAsia="仿宋"/>
          <w:color w:val="auto"/>
          <w:sz w:val="21"/>
          <w:szCs w:val="21"/>
          <w:highlight w:val="none"/>
        </w:rPr>
      </w:pPr>
      <w:r>
        <w:rPr>
          <w:rFonts w:hint="eastAsia" w:ascii="仿宋" w:hAnsi="仿宋" w:eastAsia="仿宋"/>
          <w:color w:val="auto"/>
          <w:sz w:val="21"/>
          <w:szCs w:val="21"/>
          <w:highlight w:val="none"/>
        </w:rPr>
        <w:t>本次</w:t>
      </w:r>
      <w:r>
        <w:rPr>
          <w:rFonts w:hint="eastAsia" w:ascii="仿宋" w:hAnsi="仿宋" w:eastAsia="仿宋"/>
          <w:color w:val="auto"/>
          <w:sz w:val="21"/>
          <w:szCs w:val="21"/>
          <w:highlight w:val="none"/>
          <w:lang w:val="en-US" w:eastAsia="zh-CN"/>
        </w:rPr>
        <w:t>招标</w:t>
      </w:r>
      <w:r>
        <w:rPr>
          <w:rFonts w:hint="eastAsia" w:ascii="仿宋" w:hAnsi="仿宋" w:eastAsia="仿宋"/>
          <w:color w:val="auto"/>
          <w:sz w:val="21"/>
          <w:szCs w:val="21"/>
          <w:highlight w:val="none"/>
        </w:rPr>
        <w:t>公告在《河南省政府采购网》《郑州市政府采购网》《郑州市公共资源交易中心》上发布</w:t>
      </w:r>
      <w:r>
        <w:rPr>
          <w:rFonts w:hint="eastAsia" w:ascii="仿宋" w:hAnsi="仿宋" w:eastAsia="仿宋"/>
          <w:color w:val="auto"/>
          <w:sz w:val="21"/>
          <w:szCs w:val="21"/>
          <w:highlight w:val="none"/>
          <w:lang w:eastAsia="zh-CN"/>
        </w:rPr>
        <w:t>，</w:t>
      </w:r>
      <w:r>
        <w:rPr>
          <w:rFonts w:hint="eastAsia" w:ascii="仿宋" w:hAnsi="仿宋" w:eastAsia="仿宋"/>
          <w:color w:val="auto"/>
          <w:sz w:val="21"/>
          <w:szCs w:val="21"/>
          <w:highlight w:val="none"/>
          <w:lang w:val="en-US" w:eastAsia="zh-CN"/>
        </w:rPr>
        <w:t>招标</w:t>
      </w:r>
      <w:r>
        <w:rPr>
          <w:rFonts w:hint="eastAsia" w:ascii="仿宋" w:hAnsi="仿宋" w:eastAsia="仿宋"/>
          <w:color w:val="auto"/>
          <w:sz w:val="21"/>
          <w:szCs w:val="21"/>
          <w:highlight w:val="none"/>
        </w:rPr>
        <w:t>公告期限为三个工作日。</w:t>
      </w:r>
    </w:p>
    <w:p w14:paraId="7335628D">
      <w:pPr>
        <w:pStyle w:val="2"/>
        <w:numPr>
          <w:ilvl w:val="1"/>
          <w:numId w:val="0"/>
        </w:numPr>
        <w:spacing w:before="0" w:after="0" w:line="360" w:lineRule="auto"/>
        <w:ind w:right="240"/>
        <w:rPr>
          <w:rFonts w:ascii="仿宋" w:hAnsi="仿宋" w:eastAsia="仿宋"/>
          <w:bCs w:val="0"/>
          <w:color w:val="auto"/>
          <w:sz w:val="24"/>
          <w:szCs w:val="24"/>
          <w:highlight w:val="none"/>
        </w:rPr>
      </w:pPr>
      <w:bookmarkStart w:id="56" w:name="_Toc162685655"/>
      <w:bookmarkStart w:id="57" w:name="_Toc145009829"/>
      <w:bookmarkStart w:id="58" w:name="_Toc13377"/>
      <w:bookmarkStart w:id="59" w:name="_Toc192931802"/>
      <w:bookmarkStart w:id="60" w:name="_Toc4892"/>
      <w:bookmarkStart w:id="61" w:name="_Toc32530"/>
      <w:bookmarkStart w:id="62" w:name="_Toc12980"/>
      <w:bookmarkStart w:id="63" w:name="_Toc83559392"/>
      <w:bookmarkStart w:id="64" w:name="_Toc152572423"/>
      <w:r>
        <w:rPr>
          <w:rFonts w:hint="eastAsia" w:ascii="仿宋" w:hAnsi="仿宋" w:eastAsia="仿宋"/>
          <w:bCs w:val="0"/>
          <w:color w:val="auto"/>
          <w:sz w:val="24"/>
          <w:szCs w:val="24"/>
          <w:highlight w:val="none"/>
        </w:rPr>
        <w:t>七、</w:t>
      </w:r>
      <w:r>
        <w:rPr>
          <w:rFonts w:ascii="仿宋" w:hAnsi="仿宋" w:eastAsia="仿宋"/>
          <w:bCs w:val="0"/>
          <w:color w:val="auto"/>
          <w:sz w:val="24"/>
          <w:szCs w:val="24"/>
          <w:highlight w:val="none"/>
        </w:rPr>
        <w:t>其他补充事宜</w:t>
      </w:r>
      <w:bookmarkEnd w:id="56"/>
      <w:bookmarkEnd w:id="57"/>
      <w:bookmarkEnd w:id="58"/>
      <w:bookmarkEnd w:id="59"/>
      <w:bookmarkEnd w:id="60"/>
      <w:bookmarkEnd w:id="61"/>
      <w:bookmarkEnd w:id="62"/>
      <w:bookmarkEnd w:id="63"/>
      <w:bookmarkEnd w:id="64"/>
    </w:p>
    <w:p w14:paraId="04DE632B">
      <w:pPr>
        <w:wordWrap w:val="0"/>
        <w:topLinePunct/>
        <w:ind w:firstLine="420" w:firstLineChars="200"/>
        <w:jc w:val="left"/>
        <w:rPr>
          <w:rFonts w:ascii="仿宋" w:hAnsi="仿宋" w:eastAsia="仿宋" w:cs="宋体"/>
          <w:color w:val="auto"/>
          <w:sz w:val="21"/>
          <w:szCs w:val="21"/>
          <w:highlight w:val="none"/>
        </w:rPr>
      </w:pPr>
      <w:r>
        <w:rPr>
          <w:rFonts w:hint="eastAsia" w:ascii="仿宋" w:hAnsi="仿宋" w:eastAsia="仿宋"/>
          <w:color w:val="auto"/>
          <w:sz w:val="21"/>
          <w:szCs w:val="21"/>
          <w:highlight w:val="none"/>
        </w:rPr>
        <w:t>1.</w:t>
      </w:r>
      <w:r>
        <w:rPr>
          <w:rFonts w:hint="eastAsia" w:ascii="仿宋" w:hAnsi="仿宋" w:eastAsia="仿宋" w:cs="宋体"/>
          <w:color w:val="auto"/>
          <w:sz w:val="21"/>
          <w:szCs w:val="21"/>
          <w:highlight w:val="none"/>
        </w:rPr>
        <w:t>尚未办理企业CA数字证书的，请登录郑州市公共资源交易中心网站（https://zzggzy.zhengzhou.gov.cn/），查阅网站首页“通知公告”或“CA及签章办理流程”中《关于数字证书（CA）互认功能上线试运行的通知》（https://zzggzy.zhengzhou.gov.cn//tzgg/20200612/9db87633-2aec-4d6f-b692-a167ec8c11d6.html），及时办理CA数字证书及电子签章，并完成市场主体库相关信息。</w:t>
      </w:r>
    </w:p>
    <w:p w14:paraId="7EC1EC31">
      <w:pPr>
        <w:ind w:firstLine="420" w:firstLineChars="200"/>
        <w:jc w:val="left"/>
        <w:rPr>
          <w:rFonts w:hint="eastAsia" w:ascii="仿宋" w:hAnsi="仿宋" w:eastAsia="仿宋"/>
          <w:color w:val="auto"/>
          <w:sz w:val="21"/>
          <w:szCs w:val="21"/>
          <w:highlight w:val="none"/>
        </w:rPr>
      </w:pPr>
      <w:r>
        <w:rPr>
          <w:rFonts w:hint="eastAsia" w:ascii="仿宋" w:hAnsi="仿宋" w:eastAsia="仿宋" w:cs="宋体"/>
          <w:color w:val="auto"/>
          <w:sz w:val="21"/>
          <w:szCs w:val="21"/>
          <w:highlight w:val="none"/>
        </w:rPr>
        <w:t>2.</w:t>
      </w:r>
      <w:r>
        <w:rPr>
          <w:rFonts w:hint="eastAsia" w:ascii="仿宋" w:hAnsi="仿宋" w:eastAsia="仿宋"/>
          <w:color w:val="auto"/>
          <w:sz w:val="21"/>
          <w:szCs w:val="21"/>
          <w:highlight w:val="none"/>
        </w:rPr>
        <w:t>供应商应认真学习郑州市公共资源交易中心通知公告栏发布的《郑州市公共资源交易中心关于不见面开标大厅系统升级的通知》，根据手册及郑州市公共资源交易中心发布的相关补充通知要求做好不见面开标的准备工作，并按要求设置参与不见面开标的电脑环境，否则由此可能引起的解密失败或无法解密等问题由供应商自行承担。</w:t>
      </w:r>
    </w:p>
    <w:p w14:paraId="3712E550">
      <w:pPr>
        <w:wordWrap w:val="0"/>
        <w:topLinePunct/>
        <w:ind w:firstLine="420" w:firstLineChars="200"/>
        <w:jc w:val="left"/>
        <w:rPr>
          <w:rFonts w:ascii="仿宋" w:hAnsi="仿宋" w:eastAsia="仿宋"/>
          <w:color w:val="auto"/>
          <w:sz w:val="21"/>
          <w:szCs w:val="21"/>
          <w:highlight w:val="none"/>
        </w:rPr>
      </w:pPr>
      <w:bookmarkStart w:id="65" w:name="_Toc21281"/>
      <w:r>
        <w:rPr>
          <w:rFonts w:hint="eastAsia" w:ascii="仿宋" w:hAnsi="仿宋" w:eastAsia="仿宋"/>
          <w:color w:val="auto"/>
          <w:sz w:val="21"/>
          <w:szCs w:val="21"/>
          <w:highlight w:val="none"/>
          <w:lang w:val="en-US" w:eastAsia="zh-CN"/>
        </w:rPr>
        <w:t>3</w:t>
      </w:r>
      <w:r>
        <w:rPr>
          <w:rFonts w:hint="eastAsia" w:ascii="仿宋" w:hAnsi="仿宋" w:eastAsia="仿宋"/>
          <w:color w:val="auto"/>
          <w:sz w:val="21"/>
          <w:szCs w:val="21"/>
          <w:highlight w:val="none"/>
        </w:rPr>
        <w:t>.开启响应文件：本项目采用“远程不见面”开标方式。供应商无需到郑州市公共资源交易中心现场参加开标会议，不再要求供应商到达现场提交资料。供应商应当在磋商文件确定的提交响应文件截止时间前，登录远程开标大厅（https://zzggzy.zhengzhou.gov.cn//BidOpening），在线准时参加开标活动并进行文件解密、答疑澄清等，具体事宜请查阅郑州市公共资源交易中心通知公告栏发布的《郑州市公共资源交易中心关于不见面开标大厅系统升级的通知》（网址：https://zzggzy.zhengzhou.gov.cn/tzgg/20220311/cfa4db9c-75b0-493b-9f21-be25cf2c6a8d.html）</w:t>
      </w:r>
      <w:bookmarkEnd w:id="65"/>
    </w:p>
    <w:p w14:paraId="01E8F2F4">
      <w:pPr>
        <w:ind w:firstLine="420" w:firstLineChars="200"/>
        <w:jc w:val="left"/>
        <w:rPr>
          <w:rFonts w:ascii="仿宋" w:hAnsi="仿宋" w:eastAsia="仿宋"/>
          <w:color w:val="auto"/>
          <w:sz w:val="21"/>
          <w:szCs w:val="21"/>
          <w:highlight w:val="none"/>
        </w:rPr>
      </w:pPr>
      <w:bookmarkStart w:id="66" w:name="_Toc17094"/>
      <w:r>
        <w:rPr>
          <w:rFonts w:hint="eastAsia" w:ascii="仿宋" w:hAnsi="仿宋" w:eastAsia="仿宋"/>
          <w:color w:val="auto"/>
          <w:sz w:val="21"/>
          <w:szCs w:val="21"/>
          <w:highlight w:val="none"/>
        </w:rPr>
        <w:t>供应商于磋商文件规定的开启时间、在开启地点使用 CA 数字证书（和上传响应文件为同一CA数字证书）登录郑州市公共资源交易中心电子交易平台解密并开启响应文件。如因供应商问题，解密不成功，则响应无效。</w:t>
      </w:r>
      <w:bookmarkEnd w:id="66"/>
    </w:p>
    <w:p w14:paraId="0DE066B3">
      <w:pPr>
        <w:ind w:firstLine="420" w:firstLineChars="200"/>
        <w:jc w:val="left"/>
        <w:rPr>
          <w:rFonts w:ascii="仿宋" w:hAnsi="仿宋" w:eastAsia="仿宋"/>
          <w:color w:val="auto"/>
          <w:sz w:val="21"/>
          <w:szCs w:val="21"/>
          <w:highlight w:val="none"/>
        </w:rPr>
      </w:pPr>
      <w:r>
        <w:rPr>
          <w:rFonts w:hint="eastAsia" w:ascii="仿宋" w:hAnsi="仿宋" w:eastAsia="仿宋"/>
          <w:color w:val="auto"/>
          <w:sz w:val="21"/>
          <w:szCs w:val="21"/>
          <w:highlight w:val="none"/>
          <w:lang w:val="en-US" w:eastAsia="zh-CN"/>
        </w:rPr>
        <w:t>4</w:t>
      </w:r>
      <w:r>
        <w:rPr>
          <w:rFonts w:hint="eastAsia" w:ascii="仿宋" w:hAnsi="仿宋" w:eastAsia="仿宋"/>
          <w:color w:val="auto"/>
          <w:sz w:val="21"/>
          <w:szCs w:val="21"/>
          <w:highlight w:val="none"/>
        </w:rPr>
        <w:t>.落实政府采购政策：本项目执行促进中小型企业发展政策（监狱企业、残疾人福利性企业视同小微企业）、强制采购节能产品、优先采购节能环保产品等最新政府采购政策。</w:t>
      </w:r>
    </w:p>
    <w:p w14:paraId="067738E7">
      <w:pPr>
        <w:ind w:firstLine="420" w:firstLineChars="200"/>
        <w:jc w:val="left"/>
        <w:rPr>
          <w:rFonts w:ascii="仿宋" w:hAnsi="仿宋" w:eastAsia="仿宋"/>
          <w:color w:val="auto"/>
          <w:sz w:val="21"/>
          <w:szCs w:val="21"/>
          <w:highlight w:val="none"/>
        </w:rPr>
      </w:pPr>
      <w:r>
        <w:rPr>
          <w:rFonts w:hint="eastAsia" w:ascii="仿宋" w:hAnsi="仿宋" w:eastAsia="仿宋"/>
          <w:color w:val="auto"/>
          <w:sz w:val="21"/>
          <w:szCs w:val="21"/>
          <w:highlight w:val="none"/>
          <w:lang w:val="en-US" w:eastAsia="zh-CN"/>
        </w:rPr>
        <w:t>5</w:t>
      </w:r>
      <w:r>
        <w:rPr>
          <w:rFonts w:hint="eastAsia" w:ascii="仿宋" w:hAnsi="仿宋" w:eastAsia="仿宋"/>
          <w:color w:val="auto"/>
          <w:sz w:val="21"/>
          <w:szCs w:val="21"/>
          <w:highlight w:val="none"/>
        </w:rPr>
        <w:t>.代理服务费：按照《河南省招标代理服务收费指导意见》（豫招协[2023]002号）中规定的收费标准，以预算金额为计费基数按照标包收起代理服务费，由中标（成交）人向采购代理机构支付代理服务费。</w:t>
      </w:r>
    </w:p>
    <w:p w14:paraId="36D52327">
      <w:pPr>
        <w:pStyle w:val="2"/>
        <w:numPr>
          <w:ilvl w:val="1"/>
          <w:numId w:val="0"/>
        </w:numPr>
        <w:spacing w:before="0" w:after="0" w:line="360" w:lineRule="auto"/>
        <w:ind w:right="240"/>
        <w:rPr>
          <w:rFonts w:ascii="仿宋" w:hAnsi="仿宋" w:eastAsia="仿宋"/>
          <w:bCs w:val="0"/>
          <w:color w:val="auto"/>
          <w:sz w:val="24"/>
          <w:szCs w:val="24"/>
          <w:highlight w:val="none"/>
        </w:rPr>
      </w:pPr>
      <w:bookmarkStart w:id="67" w:name="_Toc28223"/>
      <w:bookmarkStart w:id="68" w:name="_Toc162685656"/>
      <w:bookmarkStart w:id="69" w:name="_Toc145009830"/>
      <w:bookmarkStart w:id="70" w:name="_Toc192931803"/>
      <w:bookmarkStart w:id="71" w:name="_Toc6702"/>
      <w:bookmarkStart w:id="72" w:name="_Toc152572424"/>
      <w:bookmarkStart w:id="73" w:name="_Toc83559393"/>
      <w:bookmarkStart w:id="74" w:name="_Toc20411"/>
      <w:bookmarkStart w:id="75" w:name="_Toc27824"/>
      <w:r>
        <w:rPr>
          <w:rFonts w:hint="eastAsia" w:ascii="仿宋" w:hAnsi="仿宋" w:eastAsia="仿宋"/>
          <w:bCs w:val="0"/>
          <w:color w:val="auto"/>
          <w:sz w:val="24"/>
          <w:szCs w:val="24"/>
          <w:highlight w:val="none"/>
        </w:rPr>
        <w:t>八、</w:t>
      </w:r>
      <w:r>
        <w:rPr>
          <w:rFonts w:ascii="仿宋" w:hAnsi="仿宋" w:eastAsia="仿宋"/>
          <w:bCs w:val="0"/>
          <w:color w:val="auto"/>
          <w:sz w:val="24"/>
          <w:szCs w:val="24"/>
          <w:highlight w:val="none"/>
        </w:rPr>
        <w:t>凡对本次</w:t>
      </w:r>
      <w:r>
        <w:rPr>
          <w:rFonts w:hint="eastAsia" w:ascii="仿宋" w:hAnsi="仿宋" w:eastAsia="仿宋"/>
          <w:bCs w:val="0"/>
          <w:color w:val="auto"/>
          <w:sz w:val="24"/>
          <w:szCs w:val="24"/>
          <w:highlight w:val="none"/>
          <w:lang w:val="en-US" w:eastAsia="zh-CN"/>
        </w:rPr>
        <w:t>招标</w:t>
      </w:r>
      <w:r>
        <w:rPr>
          <w:rFonts w:ascii="仿宋" w:hAnsi="仿宋" w:eastAsia="仿宋"/>
          <w:bCs w:val="0"/>
          <w:color w:val="auto"/>
          <w:sz w:val="24"/>
          <w:szCs w:val="24"/>
          <w:highlight w:val="none"/>
        </w:rPr>
        <w:t>提出询问，请按照以下方式联系</w:t>
      </w:r>
      <w:bookmarkEnd w:id="67"/>
      <w:bookmarkEnd w:id="68"/>
      <w:bookmarkEnd w:id="69"/>
      <w:bookmarkEnd w:id="70"/>
      <w:bookmarkEnd w:id="71"/>
      <w:bookmarkEnd w:id="72"/>
      <w:bookmarkEnd w:id="73"/>
      <w:bookmarkEnd w:id="74"/>
      <w:bookmarkEnd w:id="75"/>
    </w:p>
    <w:p w14:paraId="489427BF">
      <w:pPr>
        <w:ind w:firstLine="424" w:firstLineChars="202"/>
        <w:rPr>
          <w:rFonts w:ascii="仿宋" w:hAnsi="仿宋" w:eastAsia="仿宋"/>
          <w:color w:val="auto"/>
          <w:sz w:val="21"/>
          <w:szCs w:val="21"/>
          <w:highlight w:val="none"/>
        </w:rPr>
      </w:pPr>
      <w:r>
        <w:rPr>
          <w:rFonts w:hint="eastAsia" w:ascii="仿宋" w:hAnsi="仿宋" w:eastAsia="仿宋"/>
          <w:color w:val="auto"/>
          <w:sz w:val="21"/>
          <w:szCs w:val="21"/>
          <w:highlight w:val="none"/>
        </w:rPr>
        <w:t>1.采购人信息</w:t>
      </w:r>
    </w:p>
    <w:p w14:paraId="33C250F3">
      <w:pPr>
        <w:ind w:firstLine="424" w:firstLineChars="202"/>
        <w:rPr>
          <w:rFonts w:ascii="仿宋" w:hAnsi="仿宋" w:eastAsia="仿宋"/>
          <w:color w:val="auto"/>
          <w:sz w:val="21"/>
          <w:szCs w:val="21"/>
          <w:highlight w:val="none"/>
        </w:rPr>
      </w:pPr>
      <w:r>
        <w:rPr>
          <w:rFonts w:hint="eastAsia" w:ascii="仿宋" w:hAnsi="仿宋" w:eastAsia="仿宋"/>
          <w:color w:val="auto"/>
          <w:sz w:val="21"/>
          <w:szCs w:val="21"/>
          <w:highlight w:val="none"/>
        </w:rPr>
        <w:t>名称：河南南水北调博物馆</w:t>
      </w:r>
    </w:p>
    <w:p w14:paraId="0F378CF9">
      <w:pPr>
        <w:ind w:firstLine="424" w:firstLineChars="202"/>
        <w:rPr>
          <w:rFonts w:hint="default" w:ascii="仿宋" w:hAnsi="仿宋" w:eastAsia="仿宋"/>
          <w:color w:val="auto"/>
          <w:sz w:val="21"/>
          <w:szCs w:val="21"/>
          <w:highlight w:val="none"/>
          <w:lang w:val="en-US" w:eastAsia="zh-CN"/>
        </w:rPr>
      </w:pPr>
      <w:r>
        <w:rPr>
          <w:rFonts w:hint="eastAsia" w:ascii="仿宋" w:hAnsi="仿宋" w:eastAsia="仿宋"/>
          <w:color w:val="auto"/>
          <w:sz w:val="21"/>
          <w:szCs w:val="21"/>
          <w:highlight w:val="none"/>
        </w:rPr>
        <w:t>地址：</w:t>
      </w:r>
      <w:r>
        <w:rPr>
          <w:rFonts w:hint="eastAsia" w:ascii="仿宋" w:hAnsi="仿宋" w:eastAsia="仿宋"/>
          <w:color w:val="auto"/>
          <w:sz w:val="21"/>
          <w:szCs w:val="21"/>
          <w:highlight w:val="none"/>
          <w:lang w:eastAsia="zh-CN"/>
        </w:rPr>
        <w:t>郑州市中原区嵩山南路</w:t>
      </w:r>
      <w:r>
        <w:rPr>
          <w:rFonts w:hint="eastAsia" w:ascii="仿宋" w:hAnsi="仿宋" w:eastAsia="仿宋"/>
          <w:color w:val="auto"/>
          <w:sz w:val="21"/>
          <w:szCs w:val="21"/>
          <w:highlight w:val="none"/>
          <w:lang w:val="en-US" w:eastAsia="zh-CN"/>
        </w:rPr>
        <w:t>168号</w:t>
      </w:r>
    </w:p>
    <w:p w14:paraId="632029F8">
      <w:pPr>
        <w:ind w:firstLine="424" w:firstLineChars="202"/>
        <w:rPr>
          <w:rFonts w:hint="default" w:ascii="仿宋" w:hAnsi="仿宋" w:eastAsia="仿宋"/>
          <w:color w:val="auto"/>
          <w:sz w:val="21"/>
          <w:szCs w:val="21"/>
          <w:highlight w:val="none"/>
          <w:lang w:val="en-US" w:eastAsia="zh-CN"/>
        </w:rPr>
      </w:pPr>
      <w:r>
        <w:rPr>
          <w:rFonts w:hint="eastAsia" w:ascii="仿宋" w:hAnsi="仿宋" w:eastAsia="仿宋"/>
          <w:color w:val="auto"/>
          <w:sz w:val="21"/>
          <w:szCs w:val="21"/>
          <w:highlight w:val="none"/>
        </w:rPr>
        <w:t>联系人：</w:t>
      </w:r>
      <w:r>
        <w:rPr>
          <w:rFonts w:hint="eastAsia" w:ascii="仿宋" w:hAnsi="仿宋" w:eastAsia="仿宋"/>
          <w:color w:val="auto"/>
          <w:sz w:val="21"/>
          <w:szCs w:val="21"/>
          <w:highlight w:val="none"/>
          <w:lang w:eastAsia="zh-CN"/>
        </w:rPr>
        <w:t>郭丰硕</w:t>
      </w:r>
      <w:r>
        <w:rPr>
          <w:rFonts w:hint="eastAsia" w:ascii="仿宋" w:hAnsi="仿宋" w:eastAsia="仿宋"/>
          <w:color w:val="auto"/>
          <w:sz w:val="21"/>
          <w:szCs w:val="21"/>
          <w:highlight w:val="none"/>
          <w:lang w:val="en-US" w:eastAsia="zh-CN"/>
        </w:rPr>
        <w:t xml:space="preserve"> 刘迪</w:t>
      </w:r>
    </w:p>
    <w:p w14:paraId="624D79E0">
      <w:pPr>
        <w:ind w:firstLine="424" w:firstLineChars="202"/>
        <w:rPr>
          <w:rFonts w:hint="default" w:ascii="仿宋" w:hAnsi="仿宋" w:eastAsia="仿宋"/>
          <w:color w:val="auto"/>
          <w:sz w:val="21"/>
          <w:szCs w:val="21"/>
          <w:highlight w:val="none"/>
          <w:lang w:val="en-US" w:eastAsia="zh-CN"/>
        </w:rPr>
      </w:pPr>
      <w:r>
        <w:rPr>
          <w:rFonts w:hint="eastAsia" w:ascii="仿宋" w:hAnsi="仿宋" w:eastAsia="仿宋"/>
          <w:color w:val="auto"/>
          <w:sz w:val="21"/>
          <w:szCs w:val="21"/>
          <w:highlight w:val="none"/>
        </w:rPr>
        <w:t>联系方式：</w:t>
      </w:r>
      <w:r>
        <w:rPr>
          <w:rFonts w:hint="eastAsia" w:ascii="仿宋" w:hAnsi="仿宋" w:eastAsia="仿宋"/>
          <w:color w:val="auto"/>
          <w:sz w:val="21"/>
          <w:szCs w:val="21"/>
          <w:highlight w:val="none"/>
          <w:lang w:val="en-US" w:eastAsia="zh-CN"/>
        </w:rPr>
        <w:t>0371-67711673</w:t>
      </w:r>
    </w:p>
    <w:p w14:paraId="4DFFA091">
      <w:pPr>
        <w:ind w:firstLine="424" w:firstLineChars="202"/>
        <w:rPr>
          <w:rFonts w:ascii="仿宋" w:hAnsi="仿宋" w:eastAsia="仿宋"/>
          <w:color w:val="auto"/>
          <w:sz w:val="21"/>
          <w:szCs w:val="21"/>
          <w:highlight w:val="none"/>
        </w:rPr>
      </w:pPr>
      <w:r>
        <w:rPr>
          <w:rFonts w:hint="eastAsia" w:ascii="仿宋" w:hAnsi="仿宋" w:eastAsia="仿宋"/>
          <w:color w:val="auto"/>
          <w:sz w:val="21"/>
          <w:szCs w:val="21"/>
          <w:highlight w:val="none"/>
        </w:rPr>
        <w:t>2.采购代理机构信息</w:t>
      </w:r>
    </w:p>
    <w:p w14:paraId="2F8E726A">
      <w:pPr>
        <w:ind w:firstLine="424" w:firstLineChars="202"/>
        <w:rPr>
          <w:rFonts w:ascii="仿宋" w:hAnsi="仿宋" w:eastAsia="仿宋"/>
          <w:color w:val="auto"/>
          <w:sz w:val="21"/>
          <w:szCs w:val="21"/>
          <w:highlight w:val="none"/>
        </w:rPr>
      </w:pPr>
      <w:r>
        <w:rPr>
          <w:rFonts w:hint="eastAsia" w:ascii="仿宋" w:hAnsi="仿宋" w:eastAsia="仿宋"/>
          <w:color w:val="auto"/>
          <w:sz w:val="21"/>
          <w:szCs w:val="21"/>
          <w:highlight w:val="none"/>
        </w:rPr>
        <w:t>名称：河南省伟信招标管理咨询有限公司</w:t>
      </w:r>
    </w:p>
    <w:p w14:paraId="7CE4C020">
      <w:pPr>
        <w:ind w:firstLine="424" w:firstLineChars="202"/>
        <w:rPr>
          <w:rFonts w:ascii="仿宋" w:hAnsi="仿宋" w:eastAsia="仿宋"/>
          <w:color w:val="auto"/>
          <w:sz w:val="21"/>
          <w:szCs w:val="21"/>
          <w:highlight w:val="none"/>
        </w:rPr>
      </w:pPr>
      <w:r>
        <w:rPr>
          <w:rFonts w:hint="eastAsia" w:ascii="仿宋" w:hAnsi="仿宋" w:eastAsia="仿宋"/>
          <w:color w:val="auto"/>
          <w:sz w:val="21"/>
          <w:szCs w:val="21"/>
          <w:highlight w:val="none"/>
        </w:rPr>
        <w:t>地址：郑州市郑东新区东风南路6号绿地中心北塔16楼</w:t>
      </w:r>
    </w:p>
    <w:p w14:paraId="7FAEFDFA">
      <w:pPr>
        <w:ind w:firstLine="424" w:firstLineChars="202"/>
        <w:rPr>
          <w:rFonts w:ascii="仿宋" w:hAnsi="仿宋" w:eastAsia="仿宋"/>
          <w:color w:val="auto"/>
          <w:sz w:val="21"/>
          <w:szCs w:val="21"/>
          <w:highlight w:val="none"/>
        </w:rPr>
      </w:pPr>
      <w:r>
        <w:rPr>
          <w:rFonts w:hint="eastAsia" w:ascii="仿宋" w:hAnsi="仿宋" w:eastAsia="仿宋"/>
          <w:color w:val="auto"/>
          <w:sz w:val="21"/>
          <w:szCs w:val="21"/>
          <w:highlight w:val="none"/>
        </w:rPr>
        <w:t>联系人：崔晓静 邱帅奇</w:t>
      </w:r>
    </w:p>
    <w:p w14:paraId="460DDB56">
      <w:pPr>
        <w:ind w:firstLine="424" w:firstLineChars="202"/>
        <w:rPr>
          <w:rFonts w:ascii="仿宋" w:hAnsi="仿宋" w:eastAsia="仿宋"/>
          <w:color w:val="auto"/>
          <w:sz w:val="21"/>
          <w:szCs w:val="21"/>
          <w:highlight w:val="none"/>
        </w:rPr>
      </w:pPr>
      <w:r>
        <w:rPr>
          <w:rFonts w:hint="eastAsia" w:ascii="仿宋" w:hAnsi="仿宋" w:eastAsia="仿宋"/>
          <w:color w:val="auto"/>
          <w:sz w:val="21"/>
          <w:szCs w:val="21"/>
          <w:highlight w:val="none"/>
        </w:rPr>
        <w:t>联系方式：</w:t>
      </w:r>
      <w:r>
        <w:rPr>
          <w:rFonts w:ascii="仿宋" w:hAnsi="仿宋" w:eastAsia="仿宋"/>
          <w:color w:val="auto"/>
          <w:sz w:val="21"/>
          <w:szCs w:val="21"/>
          <w:highlight w:val="none"/>
        </w:rPr>
        <w:t>0371-</w:t>
      </w:r>
      <w:r>
        <w:rPr>
          <w:rFonts w:hint="eastAsia" w:ascii="仿宋" w:hAnsi="仿宋" w:eastAsia="仿宋"/>
          <w:color w:val="auto"/>
          <w:sz w:val="21"/>
          <w:szCs w:val="21"/>
          <w:highlight w:val="none"/>
        </w:rPr>
        <w:t>88886156</w:t>
      </w:r>
    </w:p>
    <w:p w14:paraId="53502DA8">
      <w:pPr>
        <w:ind w:firstLine="424" w:firstLineChars="202"/>
        <w:rPr>
          <w:rFonts w:ascii="仿宋" w:hAnsi="仿宋" w:eastAsia="仿宋"/>
          <w:color w:val="auto"/>
          <w:sz w:val="21"/>
          <w:szCs w:val="21"/>
          <w:highlight w:val="none"/>
        </w:rPr>
      </w:pPr>
      <w:r>
        <w:rPr>
          <w:rFonts w:hint="eastAsia" w:ascii="仿宋" w:hAnsi="仿宋" w:eastAsia="仿宋"/>
          <w:color w:val="auto"/>
          <w:sz w:val="21"/>
          <w:szCs w:val="21"/>
          <w:highlight w:val="none"/>
        </w:rPr>
        <w:t>3.项目联系方式</w:t>
      </w:r>
    </w:p>
    <w:p w14:paraId="34853277">
      <w:pPr>
        <w:ind w:firstLine="424" w:firstLineChars="202"/>
        <w:rPr>
          <w:rFonts w:ascii="仿宋" w:hAnsi="仿宋" w:eastAsia="仿宋"/>
          <w:color w:val="auto"/>
          <w:sz w:val="21"/>
          <w:szCs w:val="21"/>
          <w:highlight w:val="none"/>
        </w:rPr>
      </w:pPr>
      <w:r>
        <w:rPr>
          <w:rFonts w:hint="eastAsia" w:ascii="仿宋" w:hAnsi="仿宋" w:eastAsia="仿宋"/>
          <w:color w:val="auto"/>
          <w:sz w:val="21"/>
          <w:szCs w:val="21"/>
          <w:highlight w:val="none"/>
        </w:rPr>
        <w:t>项目联系人：崔晓静 邱帅奇</w:t>
      </w:r>
    </w:p>
    <w:p w14:paraId="40D13C2F">
      <w:pPr>
        <w:ind w:firstLine="420" w:firstLineChars="200"/>
        <w:jc w:val="left"/>
        <w:rPr>
          <w:rFonts w:ascii="仿宋" w:hAnsi="仿宋" w:eastAsia="仿宋"/>
          <w:color w:val="auto"/>
          <w:sz w:val="21"/>
          <w:szCs w:val="21"/>
          <w:highlight w:val="none"/>
        </w:rPr>
      </w:pPr>
      <w:r>
        <w:rPr>
          <w:rFonts w:hint="eastAsia" w:ascii="仿宋" w:hAnsi="仿宋" w:eastAsia="仿宋"/>
          <w:color w:val="auto"/>
          <w:sz w:val="21"/>
          <w:szCs w:val="21"/>
          <w:highlight w:val="none"/>
        </w:rPr>
        <w:t>联系方式：</w:t>
      </w:r>
      <w:r>
        <w:rPr>
          <w:rFonts w:ascii="仿宋" w:hAnsi="仿宋" w:eastAsia="仿宋"/>
          <w:color w:val="auto"/>
          <w:sz w:val="21"/>
          <w:szCs w:val="21"/>
          <w:highlight w:val="none"/>
        </w:rPr>
        <w:t>0371-</w:t>
      </w:r>
      <w:r>
        <w:rPr>
          <w:rFonts w:hint="eastAsia" w:ascii="仿宋" w:hAnsi="仿宋" w:eastAsia="仿宋"/>
          <w:color w:val="auto"/>
          <w:sz w:val="21"/>
          <w:szCs w:val="21"/>
          <w:highlight w:val="none"/>
        </w:rPr>
        <w:t>88886156</w:t>
      </w:r>
    </w:p>
    <w:bookmarkEnd w:id="0"/>
    <w:bookmarkEnd w:id="18"/>
    <w:bookmarkEnd w:id="19"/>
    <w:p w14:paraId="135F05C8">
      <w:bookmarkStart w:id="76" w:name="_GoBack"/>
      <w:bookmarkEnd w:id="76"/>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大标宋简体">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suff w:val="nothing"/>
      <w:lvlText w:val="第%1章 "/>
      <w:lvlJc w:val="left"/>
      <w:pPr>
        <w:ind w:left="0" w:firstLine="0"/>
      </w:pPr>
      <w:rPr>
        <w:rFonts w:hint="eastAsia" w:ascii="方正大标宋简体" w:eastAsia="方正大标宋简体"/>
        <w:b w:val="0"/>
        <w:i w:val="0"/>
        <w:sz w:val="36"/>
        <w:szCs w:val="36"/>
      </w:rPr>
    </w:lvl>
    <w:lvl w:ilvl="1" w:tentative="0">
      <w:start w:val="1"/>
      <w:numFmt w:val="decimal"/>
      <w:pStyle w:val="2"/>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1844"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A71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qFormat/>
    <w:uiPriority w:val="9"/>
    <w:pPr>
      <w:keepNext/>
      <w:keepLines/>
      <w:numPr>
        <w:ilvl w:val="1"/>
        <w:numId w:val="1"/>
      </w:numPr>
      <w:spacing w:before="260" w:after="26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sz w:val="21"/>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2025-07-29T06:57:02Z</dcterms:created>
  <dc:creator>Administrator</dc:creator>
  <cp:lastModifiedBy>Administrator</cp:lastModifiedBy>
  <dcterms:modified xsi:type="dcterms:W3CDTF">2025-07-29T06:57:06Z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eyJoZGlkIjoiMDdiOTlhN2NiMmY0MDliMjgzNWJhMTk4OWY5MjQzOWIiLCJ1c2VySWQiOiIyOTUzMzY4NzAifQ==</vt:lpwstr>
  </property>
  <property fmtid="{D5CDD505-2E9C-101B-9397-08002B2CF9AE}" pid="4" name="ICV">
    <vt:lpwstr>854AF3A51D9C491A944ADB5E31D716D3_12</vt:lpwstr>
  </property>
</Properties>
</file>