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F7881">
      <w:pPr>
        <w:widowControl/>
        <w:numPr>
          <w:ilvl w:val="0"/>
          <w:numId w:val="1"/>
        </w:numPr>
        <w:spacing w:line="360" w:lineRule="auto"/>
        <w:jc w:val="left"/>
        <w:rPr>
          <w:rFonts w:hint="eastAsia"/>
          <w:b/>
          <w:bCs/>
          <w:color w:val="auto"/>
          <w:kern w:val="0"/>
          <w:sz w:val="24"/>
          <w:lang w:bidi="ar"/>
        </w:rPr>
      </w:pPr>
      <w:r>
        <w:rPr>
          <w:rFonts w:hint="eastAsia"/>
          <w:b/>
          <w:bCs/>
          <w:color w:val="auto"/>
          <w:kern w:val="0"/>
          <w:sz w:val="24"/>
          <w:lang w:bidi="ar"/>
        </w:rPr>
        <w:t>项目要求</w:t>
      </w:r>
    </w:p>
    <w:p w14:paraId="68B9DB8C">
      <w:pPr>
        <w:pStyle w:val="5"/>
        <w:spacing w:line="360" w:lineRule="auto"/>
        <w:rPr>
          <w:rFonts w:hint="eastAsia" w:ascii="宋体" w:hAnsi="宋体"/>
          <w:color w:val="auto"/>
          <w:szCs w:val="21"/>
        </w:rPr>
      </w:pPr>
      <w:r>
        <w:rPr>
          <w:rFonts w:hint="eastAsia" w:ascii="宋体" w:hAnsi="宋体"/>
          <w:color w:val="auto"/>
          <w:szCs w:val="21"/>
        </w:rPr>
        <w:t>实现</w:t>
      </w:r>
      <w:r>
        <w:rPr>
          <w:rFonts w:hint="eastAsia" w:ascii="宋体" w:hAnsi="宋体"/>
          <w:color w:val="auto"/>
          <w:szCs w:val="21"/>
          <w:lang w:eastAsia="zh-CN"/>
        </w:rPr>
        <w:t>云诊疗</w:t>
      </w:r>
      <w:r>
        <w:rPr>
          <w:rFonts w:hint="eastAsia" w:ascii="宋体" w:hAnsi="宋体"/>
          <w:color w:val="auto"/>
          <w:szCs w:val="21"/>
        </w:rPr>
        <w:t>系统平台在郑州市城市医疗集团所有医疗单位的全面部署，包括但不限于医院、社区卫生服务中心、乡镇卫生院，通过对基层医院的信息采集和专干的排班管理，实现基层医院和中心医院之间进行即时呼叫和视频通话，并结合医疗设备的视频信息完成远程会诊的会诊申请、实时会诊、会诊报告的完整流程。</w:t>
      </w:r>
    </w:p>
    <w:p w14:paraId="7B7B3DDA">
      <w:pPr>
        <w:pStyle w:val="5"/>
        <w:spacing w:line="360" w:lineRule="auto"/>
        <w:rPr>
          <w:rFonts w:hint="eastAsia" w:ascii="宋体" w:hAnsi="宋体"/>
          <w:color w:val="auto"/>
          <w:szCs w:val="21"/>
        </w:rPr>
      </w:pPr>
      <w:r>
        <w:rPr>
          <w:rFonts w:hint="eastAsia" w:ascii="宋体" w:hAnsi="宋体"/>
          <w:color w:val="auto"/>
          <w:szCs w:val="21"/>
        </w:rPr>
        <w:t>通过</w:t>
      </w:r>
      <w:r>
        <w:rPr>
          <w:rFonts w:hint="eastAsia" w:ascii="宋体" w:hAnsi="宋体"/>
          <w:color w:val="auto"/>
          <w:szCs w:val="21"/>
          <w:lang w:eastAsia="zh-CN"/>
        </w:rPr>
        <w:t>云诊疗</w:t>
      </w:r>
      <w:r>
        <w:rPr>
          <w:rFonts w:hint="eastAsia" w:ascii="宋体" w:hAnsi="宋体"/>
          <w:color w:val="auto"/>
          <w:szCs w:val="21"/>
        </w:rPr>
        <w:t>的建设可以提升：</w:t>
      </w:r>
    </w:p>
    <w:p w14:paraId="15F18161">
      <w:pPr>
        <w:pStyle w:val="5"/>
        <w:numPr>
          <w:ilvl w:val="0"/>
          <w:numId w:val="2"/>
        </w:numPr>
        <w:spacing w:line="360" w:lineRule="auto"/>
        <w:ind w:left="425" w:leftChars="0" w:hanging="425" w:firstLineChars="0"/>
        <w:rPr>
          <w:rFonts w:hint="eastAsia" w:ascii="宋体" w:hAnsi="宋体" w:eastAsia="宋体"/>
          <w:color w:val="auto"/>
          <w:szCs w:val="21"/>
          <w:lang w:eastAsia="zh-CN"/>
        </w:rPr>
      </w:pPr>
      <w:r>
        <w:rPr>
          <w:rFonts w:hint="eastAsia" w:ascii="宋体" w:hAnsi="宋体"/>
          <w:color w:val="auto"/>
          <w:szCs w:val="21"/>
        </w:rPr>
        <w:t>医院科室的专业影响力，提升诊疗水平，吸引更多患者</w:t>
      </w:r>
      <w:r>
        <w:rPr>
          <w:rFonts w:hint="eastAsia" w:ascii="宋体" w:hAnsi="宋体"/>
          <w:color w:val="auto"/>
          <w:szCs w:val="21"/>
          <w:lang w:eastAsia="zh-CN"/>
        </w:rPr>
        <w:t>；</w:t>
      </w:r>
    </w:p>
    <w:p w14:paraId="4DCD4A71">
      <w:pPr>
        <w:pStyle w:val="5"/>
        <w:numPr>
          <w:ilvl w:val="0"/>
          <w:numId w:val="2"/>
        </w:numPr>
        <w:spacing w:line="360" w:lineRule="auto"/>
        <w:ind w:left="425" w:leftChars="0" w:hanging="425" w:firstLineChars="0"/>
        <w:rPr>
          <w:rFonts w:hint="eastAsia" w:ascii="宋体" w:hAnsi="宋体"/>
          <w:color w:val="auto"/>
          <w:szCs w:val="21"/>
        </w:rPr>
      </w:pPr>
      <w:r>
        <w:rPr>
          <w:rFonts w:hint="eastAsia" w:ascii="宋体" w:hAnsi="宋体"/>
          <w:color w:val="auto"/>
          <w:szCs w:val="21"/>
        </w:rPr>
        <w:t>提高诊疗效率，减少重复检查，优化医疗流程</w:t>
      </w:r>
      <w:r>
        <w:rPr>
          <w:rFonts w:hint="eastAsia" w:ascii="宋体" w:hAnsi="宋体"/>
          <w:color w:val="auto"/>
          <w:szCs w:val="21"/>
          <w:lang w:eastAsia="zh-CN"/>
        </w:rPr>
        <w:t>；</w:t>
      </w:r>
    </w:p>
    <w:p w14:paraId="0688694F">
      <w:pPr>
        <w:pStyle w:val="5"/>
        <w:numPr>
          <w:ilvl w:val="0"/>
          <w:numId w:val="2"/>
        </w:numPr>
        <w:spacing w:line="360" w:lineRule="auto"/>
        <w:ind w:left="425" w:leftChars="0" w:hanging="425" w:firstLineChars="0"/>
        <w:rPr>
          <w:rFonts w:hint="eastAsia" w:ascii="宋体" w:hAnsi="宋体"/>
          <w:color w:val="auto"/>
          <w:szCs w:val="21"/>
        </w:rPr>
      </w:pPr>
      <w:r>
        <w:rPr>
          <w:rFonts w:hint="eastAsia" w:ascii="宋体" w:hAnsi="宋体"/>
          <w:color w:val="auto"/>
          <w:szCs w:val="21"/>
        </w:rPr>
        <w:t>增强诊断能力，特别是基层医疗机构，提升整体医疗服务质量</w:t>
      </w:r>
      <w:r>
        <w:rPr>
          <w:rFonts w:hint="eastAsia" w:ascii="宋体" w:hAnsi="宋体"/>
          <w:color w:val="auto"/>
          <w:szCs w:val="21"/>
          <w:lang w:eastAsia="zh-CN"/>
        </w:rPr>
        <w:t>；</w:t>
      </w:r>
    </w:p>
    <w:p w14:paraId="2A512826">
      <w:pPr>
        <w:pStyle w:val="5"/>
        <w:numPr>
          <w:ilvl w:val="0"/>
          <w:numId w:val="2"/>
        </w:numPr>
        <w:spacing w:line="360" w:lineRule="auto"/>
        <w:ind w:left="425" w:leftChars="0" w:hanging="425" w:firstLineChars="0"/>
        <w:rPr>
          <w:rFonts w:hint="eastAsia" w:ascii="宋体" w:hAnsi="宋体"/>
          <w:color w:val="auto"/>
          <w:szCs w:val="21"/>
        </w:rPr>
      </w:pPr>
      <w:r>
        <w:rPr>
          <w:rFonts w:hint="eastAsia" w:ascii="宋体" w:hAnsi="宋体"/>
          <w:color w:val="auto"/>
          <w:szCs w:val="21"/>
        </w:rPr>
        <w:t>促进科研创新，优化医疗资源配置，提升医疗管理水平</w:t>
      </w:r>
      <w:r>
        <w:rPr>
          <w:rFonts w:hint="eastAsia" w:ascii="宋体" w:hAnsi="宋体"/>
          <w:color w:val="auto"/>
          <w:szCs w:val="21"/>
          <w:lang w:eastAsia="zh-CN"/>
        </w:rPr>
        <w:t>；</w:t>
      </w:r>
    </w:p>
    <w:p w14:paraId="4775660F">
      <w:pPr>
        <w:pStyle w:val="5"/>
        <w:numPr>
          <w:ilvl w:val="0"/>
          <w:numId w:val="2"/>
        </w:numPr>
        <w:spacing w:line="360" w:lineRule="auto"/>
        <w:ind w:left="425" w:leftChars="0" w:hanging="425" w:firstLineChars="0"/>
        <w:rPr>
          <w:rFonts w:hint="eastAsia" w:ascii="宋体" w:hAnsi="宋体"/>
          <w:color w:val="auto"/>
          <w:szCs w:val="21"/>
        </w:rPr>
      </w:pPr>
      <w:r>
        <w:rPr>
          <w:rFonts w:hint="eastAsia" w:ascii="宋体" w:hAnsi="宋体"/>
          <w:color w:val="auto"/>
          <w:szCs w:val="21"/>
        </w:rPr>
        <w:t>极大改善患者就医体验，增加患者粘性，拓展医疗服务边界</w:t>
      </w:r>
      <w:r>
        <w:rPr>
          <w:rFonts w:hint="eastAsia" w:ascii="宋体" w:hAnsi="宋体"/>
          <w:color w:val="auto"/>
          <w:szCs w:val="21"/>
          <w:lang w:eastAsia="zh-CN"/>
        </w:rPr>
        <w:t>。</w:t>
      </w:r>
    </w:p>
    <w:p w14:paraId="42EEC1BC">
      <w:pPr>
        <w:pStyle w:val="5"/>
        <w:spacing w:line="360" w:lineRule="auto"/>
        <w:rPr>
          <w:rFonts w:hint="eastAsia" w:ascii="宋体" w:hAnsi="宋体"/>
          <w:color w:val="auto"/>
          <w:szCs w:val="21"/>
        </w:rPr>
      </w:pPr>
      <w:r>
        <w:rPr>
          <w:rFonts w:hint="eastAsia" w:ascii="宋体" w:hAnsi="宋体"/>
          <w:color w:val="auto"/>
          <w:szCs w:val="21"/>
        </w:rPr>
        <w:t>建设内容：将200套硬件设备部署至郑州市城市医疗集团内所有医疗单位，确保所有成员单位都能享受到远程医疗服务的便利；对</w:t>
      </w:r>
      <w:r>
        <w:rPr>
          <w:rFonts w:hint="eastAsia" w:ascii="宋体" w:hAnsi="宋体"/>
          <w:color w:val="auto"/>
          <w:szCs w:val="21"/>
          <w:lang w:eastAsia="zh-CN"/>
        </w:rPr>
        <w:t>云诊疗</w:t>
      </w:r>
      <w:r>
        <w:rPr>
          <w:rFonts w:hint="eastAsia" w:ascii="宋体" w:hAnsi="宋体"/>
          <w:color w:val="auto"/>
          <w:szCs w:val="21"/>
        </w:rPr>
        <w:t>系统硬件进行安装、对接，用户界面进行全面优化，提升用户友好性和易用性，确保患者和医护人员都能轻松上手</w:t>
      </w:r>
      <w:r>
        <w:rPr>
          <w:rFonts w:hint="eastAsia" w:ascii="宋体" w:hAnsi="宋体"/>
          <w:color w:val="auto"/>
          <w:szCs w:val="21"/>
          <w:lang w:eastAsia="zh-CN"/>
        </w:rPr>
        <w:t>，</w:t>
      </w:r>
      <w:r>
        <w:rPr>
          <w:rFonts w:hint="eastAsia" w:ascii="宋体" w:hAnsi="宋体"/>
          <w:color w:val="auto"/>
          <w:szCs w:val="21"/>
          <w:lang w:val="en-US" w:eastAsia="zh-CN"/>
        </w:rPr>
        <w:t>且包含</w:t>
      </w:r>
      <w:r>
        <w:rPr>
          <w:rFonts w:hint="eastAsia" w:ascii="宋体" w:hAnsi="宋体"/>
          <w:color w:val="auto"/>
          <w:szCs w:val="21"/>
          <w:lang w:eastAsia="zh-CN"/>
        </w:rPr>
        <w:t>云诊疗</w:t>
      </w:r>
      <w:r>
        <w:rPr>
          <w:rFonts w:hint="eastAsia" w:ascii="宋体" w:hAnsi="宋体"/>
          <w:color w:val="auto"/>
          <w:szCs w:val="21"/>
          <w:lang w:val="en-US" w:eastAsia="zh-CN"/>
        </w:rPr>
        <w:t>平台软件</w:t>
      </w:r>
      <w:r>
        <w:rPr>
          <w:rFonts w:hint="eastAsia" w:ascii="宋体" w:hAnsi="宋体"/>
          <w:color w:val="auto"/>
          <w:szCs w:val="21"/>
        </w:rPr>
        <w:t>的</w:t>
      </w:r>
      <w:r>
        <w:rPr>
          <w:rFonts w:hint="eastAsia" w:ascii="宋体" w:hAnsi="宋体"/>
          <w:color w:val="auto"/>
          <w:szCs w:val="21"/>
          <w:lang w:val="en-US" w:eastAsia="zh-CN"/>
        </w:rPr>
        <w:t>升级迭代。</w:t>
      </w:r>
    </w:p>
    <w:p w14:paraId="2A1DE0C1">
      <w:pPr>
        <w:pStyle w:val="5"/>
        <w:spacing w:line="360" w:lineRule="auto"/>
        <w:rPr>
          <w:rFonts w:hint="eastAsia" w:ascii="宋体" w:hAnsi="宋体"/>
          <w:color w:val="auto"/>
          <w:szCs w:val="21"/>
        </w:rPr>
      </w:pPr>
      <w:r>
        <w:rPr>
          <w:rFonts w:hint="eastAsia" w:ascii="宋体" w:hAnsi="宋体"/>
          <w:color w:val="auto"/>
          <w:szCs w:val="21"/>
        </w:rPr>
        <w:t>招标范围：</w:t>
      </w:r>
      <w:r>
        <w:rPr>
          <w:rFonts w:hint="eastAsia" w:cs="宋体"/>
          <w:color w:val="auto"/>
          <w:sz w:val="21"/>
          <w:szCs w:val="21"/>
          <w:shd w:val="clear" w:color="auto" w:fill="FFFFFF"/>
        </w:rPr>
        <w:t>该项目的软硬件安装、调试、测试、培训、验收、安全巡检、应急响应、质保服务、相关的运输和保险及其他伴随服务等。</w:t>
      </w:r>
    </w:p>
    <w:p w14:paraId="1AF4F87E">
      <w:pPr>
        <w:widowControl/>
        <w:numPr>
          <w:ilvl w:val="0"/>
          <w:numId w:val="1"/>
        </w:numPr>
        <w:spacing w:line="360" w:lineRule="auto"/>
        <w:jc w:val="left"/>
        <w:rPr>
          <w:b/>
          <w:bCs/>
          <w:color w:val="auto"/>
          <w:kern w:val="0"/>
          <w:sz w:val="24"/>
          <w:lang w:bidi="ar"/>
        </w:rPr>
      </w:pPr>
      <w:r>
        <w:rPr>
          <w:rFonts w:hint="eastAsia"/>
          <w:b/>
          <w:bCs/>
          <w:color w:val="auto"/>
          <w:kern w:val="0"/>
          <w:sz w:val="24"/>
          <w:lang w:bidi="ar"/>
        </w:rPr>
        <w:t>技术参数表</w:t>
      </w:r>
    </w:p>
    <w:tbl>
      <w:tblPr>
        <w:tblStyle w:val="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89"/>
        <w:gridCol w:w="5880"/>
        <w:gridCol w:w="728"/>
        <w:gridCol w:w="693"/>
      </w:tblGrid>
      <w:tr w14:paraId="753D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blHeader/>
          <w:jc w:val="center"/>
        </w:trPr>
        <w:tc>
          <w:tcPr>
            <w:tcW w:w="728" w:type="dxa"/>
            <w:noWrap w:val="0"/>
            <w:vAlign w:val="center"/>
          </w:tcPr>
          <w:p w14:paraId="05B7E938">
            <w:pPr>
              <w:keepNext w:val="0"/>
              <w:keepLines w:val="0"/>
              <w:widowControl w:val="0"/>
              <w:suppressLineNumbers w:val="0"/>
              <w:shd w:val="clear" w:color="auto" w:fill="auto"/>
              <w:spacing w:before="0" w:beforeAutospacing="0" w:after="0" w:afterAutospacing="0" w:line="240" w:lineRule="auto"/>
              <w:ind w:left="0" w:right="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989" w:type="dxa"/>
            <w:noWrap w:val="0"/>
            <w:vAlign w:val="center"/>
          </w:tcPr>
          <w:p w14:paraId="419DD1B0">
            <w:pPr>
              <w:keepNext w:val="0"/>
              <w:keepLines w:val="0"/>
              <w:widowControl w:val="0"/>
              <w:suppressLineNumbers w:val="0"/>
              <w:shd w:val="clear" w:color="auto" w:fill="auto"/>
              <w:spacing w:before="0" w:beforeAutospacing="0" w:after="0" w:afterAutospacing="0" w:line="240" w:lineRule="auto"/>
              <w:ind w:left="0" w:right="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设备名称</w:t>
            </w:r>
          </w:p>
        </w:tc>
        <w:tc>
          <w:tcPr>
            <w:tcW w:w="5880" w:type="dxa"/>
            <w:noWrap w:val="0"/>
            <w:vAlign w:val="center"/>
          </w:tcPr>
          <w:p w14:paraId="2FE1944D">
            <w:pPr>
              <w:keepNext w:val="0"/>
              <w:keepLines w:val="0"/>
              <w:widowControl w:val="0"/>
              <w:suppressLineNumbers w:val="0"/>
              <w:shd w:val="clear" w:color="auto" w:fill="auto"/>
              <w:spacing w:before="0" w:beforeAutospacing="0" w:after="0" w:afterAutospacing="0" w:line="240" w:lineRule="auto"/>
              <w:ind w:left="0" w:right="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主要性能指标</w:t>
            </w:r>
          </w:p>
        </w:tc>
        <w:tc>
          <w:tcPr>
            <w:tcW w:w="728" w:type="dxa"/>
            <w:noWrap w:val="0"/>
            <w:vAlign w:val="center"/>
          </w:tcPr>
          <w:p w14:paraId="143A1315">
            <w:pPr>
              <w:keepNext w:val="0"/>
              <w:keepLines w:val="0"/>
              <w:widowControl w:val="0"/>
              <w:suppressLineNumbers w:val="0"/>
              <w:shd w:val="clear" w:color="auto" w:fill="auto"/>
              <w:spacing w:before="0" w:beforeAutospacing="0" w:after="0" w:afterAutospacing="0" w:line="240" w:lineRule="auto"/>
              <w:ind w:left="0" w:right="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单位</w:t>
            </w:r>
          </w:p>
        </w:tc>
        <w:tc>
          <w:tcPr>
            <w:tcW w:w="693" w:type="dxa"/>
            <w:noWrap w:val="0"/>
            <w:vAlign w:val="center"/>
          </w:tcPr>
          <w:p w14:paraId="6376EA04">
            <w:pPr>
              <w:keepNext w:val="0"/>
              <w:keepLines w:val="0"/>
              <w:widowControl w:val="0"/>
              <w:suppressLineNumbers w:val="0"/>
              <w:shd w:val="clear" w:color="auto" w:fill="auto"/>
              <w:spacing w:before="0" w:beforeAutospacing="0" w:after="0" w:afterAutospacing="0" w:line="240" w:lineRule="auto"/>
              <w:ind w:left="0" w:right="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数量</w:t>
            </w:r>
          </w:p>
        </w:tc>
      </w:tr>
      <w:tr w14:paraId="6C8A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8" w:type="dxa"/>
            <w:noWrap w:val="0"/>
            <w:vAlign w:val="center"/>
          </w:tcPr>
          <w:p w14:paraId="5BF670D0">
            <w:pPr>
              <w:keepNext w:val="0"/>
              <w:keepLines w:val="0"/>
              <w:widowControl w:val="0"/>
              <w:suppressLineNumbers w:val="0"/>
              <w:shd w:val="clear" w:color="auto" w:fill="auto"/>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989" w:type="dxa"/>
            <w:noWrap/>
            <w:vAlign w:val="center"/>
          </w:tcPr>
          <w:p w14:paraId="456AC18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远程会诊终端</w:t>
            </w:r>
          </w:p>
        </w:tc>
        <w:tc>
          <w:tcPr>
            <w:tcW w:w="5880" w:type="dxa"/>
            <w:noWrap w:val="0"/>
            <w:vAlign w:val="center"/>
          </w:tcPr>
          <w:p w14:paraId="69285ED0">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1、集成触控屏、阵列麦克风、高清摄像头、喇叭、编码主机及锂电池等，内置触控显示屏≥13英寸；</w:t>
            </w:r>
          </w:p>
          <w:p w14:paraId="63B7E351">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⽀持IPV4/IPV6双协议栈</w:t>
            </w:r>
            <w:r>
              <w:rPr>
                <w:rFonts w:hint="eastAsia" w:ascii="宋体" w:hAnsi="宋体" w:eastAsia="宋体" w:cs="宋体"/>
                <w:b/>
                <w:bCs/>
                <w:i w:val="0"/>
                <w:iCs w:val="0"/>
                <w:color w:val="auto"/>
                <w:kern w:val="0"/>
                <w:sz w:val="21"/>
                <w:szCs w:val="21"/>
                <w:highlight w:val="none"/>
                <w:u w:val="none"/>
                <w:lang w:val="en-US" w:eastAsia="zh-CN" w:bidi="ar"/>
              </w:rPr>
              <w:t>（提供具有CMA认证资质的第三方检测机构出具的检测报告复印件）</w:t>
            </w:r>
            <w:r>
              <w:rPr>
                <w:rFonts w:hint="eastAsia" w:ascii="宋体" w:hAnsi="宋体" w:eastAsia="宋体" w:cs="宋体"/>
                <w:color w:val="auto"/>
                <w:kern w:val="2"/>
                <w:sz w:val="21"/>
                <w:szCs w:val="21"/>
                <w:highlight w:val="none"/>
                <w:lang w:val="en-US" w:eastAsia="zh-CN" w:bidi="ar-SA"/>
              </w:rPr>
              <w:t>；</w:t>
            </w:r>
          </w:p>
          <w:p w14:paraId="2F824F41">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3、视频采集支持常见标准视频分辨率，包含但不限于320*180、640*360、1280*720、1920*1080、3840*2160等多种视频分辨率设置；</w:t>
            </w:r>
          </w:p>
          <w:p w14:paraId="7988A4E0">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color w:val="auto"/>
                <w:highlight w:val="none"/>
                <w:lang w:val="en-US" w:eastAsia="zh-CN"/>
              </w:rPr>
              <w:t>支持≥2个USB接口，≥1个100M/1000M网络接口；内置摄像头；≥1路HDMI输入，≥1路HDMI视频输出，</w:t>
            </w:r>
            <w:r>
              <w:rPr>
                <w:rFonts w:hint="eastAsia" w:ascii="宋体" w:hAnsi="宋体" w:eastAsia="宋体" w:cs="宋体"/>
                <w:b/>
                <w:bCs/>
                <w:i w:val="0"/>
                <w:iCs w:val="0"/>
                <w:color w:val="auto"/>
                <w:kern w:val="0"/>
                <w:sz w:val="21"/>
                <w:szCs w:val="21"/>
                <w:highlight w:val="none"/>
                <w:u w:val="none"/>
                <w:lang w:val="en-US" w:eastAsia="zh-CN" w:bidi="ar"/>
              </w:rPr>
              <w:t>（提供设备清晰背板图）；</w:t>
            </w:r>
          </w:p>
          <w:p w14:paraId="5036884D">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5、支持内置阵列麦克风及内置扬声器，支持USB、HDMI等音频输出</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提供权威认证机构出具的第三方检测报告复印件</w:t>
            </w:r>
            <w:r>
              <w:rPr>
                <w:rFonts w:hint="eastAsia" w:ascii="宋体" w:hAnsi="宋体" w:eastAsia="宋体" w:cs="宋体"/>
                <w:b/>
                <w:bCs/>
                <w:i w:val="0"/>
                <w:iCs w:val="0"/>
                <w:color w:val="auto"/>
                <w:kern w:val="0"/>
                <w:sz w:val="21"/>
                <w:szCs w:val="21"/>
                <w:highlight w:val="none"/>
                <w:u w:val="none"/>
                <w:lang w:val="en-US" w:eastAsia="zh-CN" w:bidi="ar"/>
              </w:rPr>
              <w:t>）；</w:t>
            </w:r>
          </w:p>
          <w:p w14:paraId="5BB54275">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6、支持国产自主双流协议，同时支持H.219、BFCP标准双视频流协议，支持单屏双显、双屏双显、全屏显示、支持动态双流/静态双流、支持带宽调整；</w:t>
            </w:r>
          </w:p>
          <w:p w14:paraId="1685ECD0">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color w:val="auto"/>
                <w:kern w:val="2"/>
                <w:sz w:val="21"/>
                <w:szCs w:val="18"/>
                <w:highlight w:val="none"/>
                <w:lang w:val="en-US" w:eastAsia="zh-CN" w:bidi="ar-SA"/>
              </w:rPr>
              <w:t>具有4K解码能力，支持H.265协议下的4K超清视频会议</w:t>
            </w:r>
            <w:r>
              <w:rPr>
                <w:rFonts w:hint="eastAsia" w:ascii="宋体" w:hAnsi="宋体" w:eastAsia="宋体" w:cs="宋体"/>
                <w:b/>
                <w:bCs/>
                <w:i w:val="0"/>
                <w:iCs w:val="0"/>
                <w:color w:val="auto"/>
                <w:kern w:val="0"/>
                <w:sz w:val="21"/>
                <w:szCs w:val="21"/>
                <w:highlight w:val="none"/>
                <w:u w:val="none"/>
                <w:lang w:val="en-US" w:eastAsia="zh-CN" w:bidi="ar"/>
              </w:rPr>
              <w:t>（提供具有CMA认证资质的第三方检测机构出具的检测报告复印件）；</w:t>
            </w:r>
          </w:p>
          <w:p w14:paraId="3DCDED1D">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8、画面时延≤500ms，支持64Kbps～8Mbps会议速率，支持1080P@30fps、720P@60fps、720P@30fps等图像分辨率，支持屏幕触摸操作控制；</w:t>
            </w:r>
          </w:p>
          <w:p w14:paraId="5F24AAE9">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9、支持录像回放功能，支持直播推流、直播录制功能，支持将视频和电脑辅流推送到流媒体服务器进行直播；</w:t>
            </w:r>
          </w:p>
          <w:p w14:paraId="6EE05E90">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10、支持内置4⽅MCU功能，以1台终端为中心，能与其他3台终端同时进⾏连接；</w:t>
            </w:r>
          </w:p>
          <w:p w14:paraId="7A841577">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b/>
                <w:bCs/>
                <w:color w:val="auto"/>
                <w:kern w:val="0"/>
                <w:sz w:val="21"/>
                <w:szCs w:val="21"/>
                <w:highlight w:val="none"/>
                <w:lang w:bidi="ar"/>
              </w:rPr>
              <w:t>★</w:t>
            </w:r>
            <w:r>
              <w:rPr>
                <w:rFonts w:hint="eastAsia" w:ascii="宋体" w:hAnsi="宋体" w:eastAsia="宋体" w:cs="宋体"/>
                <w:color w:val="auto"/>
                <w:kern w:val="2"/>
                <w:sz w:val="21"/>
                <w:szCs w:val="21"/>
                <w:highlight w:val="none"/>
                <w:lang w:val="en-US" w:eastAsia="zh-CN" w:bidi="ar-SA"/>
              </w:rPr>
              <w:t>支持无线飞屏投影，支持通过网络将电脑高清画面投屏到显示设备</w:t>
            </w:r>
            <w:r>
              <w:rPr>
                <w:rFonts w:hint="eastAsia" w:ascii="宋体" w:hAnsi="宋体" w:eastAsia="宋体" w:cs="宋体"/>
                <w:b/>
                <w:bCs/>
                <w:i w:val="0"/>
                <w:iCs w:val="0"/>
                <w:color w:val="auto"/>
                <w:kern w:val="0"/>
                <w:sz w:val="21"/>
                <w:szCs w:val="21"/>
                <w:highlight w:val="none"/>
                <w:u w:val="none"/>
                <w:lang w:val="en-US" w:eastAsia="zh-CN" w:bidi="ar"/>
              </w:rPr>
              <w:t>（提供具有CMA认证资质的第三方检测机构出具的检测报告复印件）；</w:t>
            </w:r>
          </w:p>
          <w:p w14:paraId="243A8BC5">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12、云诊疗门诊业务申请与联合视频门诊功能，包括但不限于：</w:t>
            </w:r>
          </w:p>
          <w:p w14:paraId="67E8CD06">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（1）支持按机构名称、科室、专家姓名查询专家的排班详情，从而实现精准预约专家门诊，支持按月、周、日查看专家号源，支持日历格式展示；</w:t>
            </w:r>
          </w:p>
          <w:p w14:paraId="2283AAEB">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支持专家工作状态展示，包括“坐诊中”、“未坐诊”，以便基层端申请时能根据实际情况选择预约</w:t>
            </w:r>
            <w:r>
              <w:rPr>
                <w:rFonts w:hint="eastAsia" w:ascii="宋体" w:hAnsi="宋体" w:eastAsia="宋体" w:cs="宋体"/>
                <w:b/>
                <w:bCs/>
                <w:i w:val="0"/>
                <w:iCs w:val="0"/>
                <w:color w:val="auto"/>
                <w:kern w:val="0"/>
                <w:sz w:val="21"/>
                <w:szCs w:val="21"/>
                <w:highlight w:val="none"/>
                <w:u w:val="none"/>
                <w:lang w:val="en-US" w:eastAsia="zh-CN" w:bidi="ar"/>
              </w:rPr>
              <w:t>（提供系统功能截图）；</w:t>
            </w:r>
          </w:p>
          <w:p w14:paraId="63FE33D4">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（3）云诊疗业务申请时支持上传附件资料，支持图片、PDF和dicom数字影像文件；</w:t>
            </w:r>
          </w:p>
          <w:p w14:paraId="3F2BFFE0">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支持dicom影像动态预览，支持在线查看符合DICOM标准的影像，提供影像文件基础浏览工具，支持窗位窗宽、放大工具、平移工具、拖动探针、直线标注、角度工具、Cobb角、矩形面积、椭圆面积、点线面积、标尺测量工具、旋转（拖动/点击）、左右翻转、上下翻转、位置恢复、自动播放、滚动播放、橡皮擦工具等</w:t>
            </w:r>
            <w:r>
              <w:rPr>
                <w:rFonts w:hint="eastAsia" w:ascii="宋体" w:hAnsi="宋体" w:eastAsia="宋体" w:cs="宋体"/>
                <w:b/>
                <w:bCs/>
                <w:i w:val="0"/>
                <w:iCs w:val="0"/>
                <w:color w:val="auto"/>
                <w:kern w:val="0"/>
                <w:sz w:val="21"/>
                <w:szCs w:val="21"/>
                <w:highlight w:val="none"/>
                <w:u w:val="none"/>
                <w:lang w:val="en-US" w:eastAsia="zh-CN" w:bidi="ar"/>
              </w:rPr>
              <w:t>（提供软件功能截图）</w:t>
            </w:r>
            <w:r>
              <w:rPr>
                <w:rFonts w:hint="eastAsia" w:ascii="宋体" w:hAnsi="宋体" w:eastAsia="宋体" w:cs="宋体"/>
                <w:color w:val="auto"/>
                <w:kern w:val="2"/>
                <w:sz w:val="21"/>
                <w:szCs w:val="21"/>
                <w:highlight w:val="none"/>
                <w:lang w:val="en-US" w:eastAsia="zh-CN" w:bidi="ar-SA"/>
              </w:rPr>
              <w:t>；</w:t>
            </w:r>
          </w:p>
          <w:p w14:paraId="341F324B">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进行门诊诊断时，支持签到、待叫号、叫号等状态操作</w:t>
            </w:r>
            <w:r>
              <w:rPr>
                <w:rFonts w:hint="eastAsia" w:ascii="宋体" w:hAnsi="宋体" w:eastAsia="宋体" w:cs="宋体"/>
                <w:b/>
                <w:bCs/>
                <w:i w:val="0"/>
                <w:iCs w:val="0"/>
                <w:color w:val="auto"/>
                <w:kern w:val="0"/>
                <w:sz w:val="21"/>
                <w:szCs w:val="21"/>
                <w:highlight w:val="none"/>
                <w:u w:val="none"/>
                <w:lang w:val="en-US" w:eastAsia="zh-CN" w:bidi="ar"/>
              </w:rPr>
              <w:t>（提供系统功能截图）；</w:t>
            </w:r>
          </w:p>
          <w:p w14:paraId="06BBA72D">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支持一键发起视频咨询及沟通，当一方发起视频申请后，另一方伴随有声音提醒，点击接听可快速进入音视频</w:t>
            </w:r>
            <w:r>
              <w:rPr>
                <w:rFonts w:hint="eastAsia" w:ascii="宋体" w:hAnsi="宋体" w:eastAsia="宋体" w:cs="宋体"/>
                <w:b/>
                <w:bCs/>
                <w:i w:val="0"/>
                <w:iCs w:val="0"/>
                <w:color w:val="auto"/>
                <w:kern w:val="0"/>
                <w:sz w:val="21"/>
                <w:szCs w:val="21"/>
                <w:highlight w:val="none"/>
                <w:u w:val="none"/>
                <w:lang w:val="en-US" w:eastAsia="zh-CN" w:bidi="ar"/>
              </w:rPr>
              <w:t>（提供系统功能截图）；</w:t>
            </w:r>
          </w:p>
          <w:p w14:paraId="6D066092">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（7）支持一键发起远程协助功能，在不需要和医生工作站内部网络互通的前提下，远程用户通过该会诊主机实现对医生工作站远程控制；</w:t>
            </w:r>
          </w:p>
          <w:p w14:paraId="02265DB5">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具有大屏监管能力，支持云诊疗监管大屏功能，支持区域云诊疗门诊业务可视化地图，支持当日门诊总量统计功能；支持全部门诊量、已完成门诊量、未完成门诊量统计，支持近半年门诊量折线图；支持区域基层机构门诊业务开展排名及可视化呈现等；</w:t>
            </w:r>
          </w:p>
          <w:p w14:paraId="6D7FAAD8">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13、支持通过终端设备配套客户端组件开展云诊疗业务后台管理及即时通信，包括但不限于：</w:t>
            </w:r>
          </w:p>
          <w:p w14:paraId="0C03F633">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（1）支持在线聊天、截图、发送表情、图片、文件、转接聊天、语音、视频及创建群聊多种形式的门诊会诊沟通；</w:t>
            </w:r>
          </w:p>
          <w:p w14:paraId="71EFFFE4">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支持消息已读、消息撤回、消息引用等功能，支持密聊与阅后即焚功能</w:t>
            </w:r>
            <w:r>
              <w:rPr>
                <w:rFonts w:hint="eastAsia" w:ascii="宋体" w:hAnsi="宋体" w:eastAsia="宋体" w:cs="宋体"/>
                <w:b/>
                <w:bCs/>
                <w:i w:val="0"/>
                <w:iCs w:val="0"/>
                <w:color w:val="auto"/>
                <w:kern w:val="0"/>
                <w:sz w:val="21"/>
                <w:szCs w:val="21"/>
                <w:highlight w:val="none"/>
                <w:u w:val="none"/>
                <w:lang w:val="en-US" w:eastAsia="zh-CN" w:bidi="ar"/>
              </w:rPr>
              <w:t>（提供系统功能截图）</w:t>
            </w:r>
            <w:r>
              <w:rPr>
                <w:rFonts w:hint="eastAsia" w:ascii="宋体" w:hAnsi="宋体" w:eastAsia="宋体" w:cs="宋体"/>
                <w:color w:val="auto"/>
                <w:kern w:val="2"/>
                <w:sz w:val="21"/>
                <w:szCs w:val="21"/>
                <w:highlight w:val="none"/>
                <w:lang w:val="en-US" w:eastAsia="zh-CN" w:bidi="ar-SA"/>
              </w:rPr>
              <w:t>；</w:t>
            </w:r>
          </w:p>
          <w:p w14:paraId="656FDEA1">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color w:val="auto"/>
                <w:kern w:val="2"/>
                <w:sz w:val="21"/>
                <w:szCs w:val="21"/>
                <w:highlight w:val="none"/>
                <w:lang w:val="en-US" w:eastAsia="zh-CN" w:bidi="ar-SA"/>
              </w:rPr>
              <w:t>通讯录支持常用联系人、我的工作组、以及成员医院展示，支持直接搜索，可以定位到具体医院并查看或搜索医生，可将该医生添加到个人联系人分组，也可直接发送消息，高效、快捷、从而更有利于提高协同门诊效率</w:t>
            </w:r>
            <w:r>
              <w:rPr>
                <w:rFonts w:hint="eastAsia" w:ascii="宋体" w:hAnsi="宋体" w:eastAsia="宋体" w:cs="宋体"/>
                <w:b/>
                <w:bCs/>
                <w:i w:val="0"/>
                <w:iCs w:val="0"/>
                <w:color w:val="auto"/>
                <w:kern w:val="0"/>
                <w:sz w:val="21"/>
                <w:szCs w:val="21"/>
                <w:highlight w:val="none"/>
                <w:u w:val="none"/>
                <w:lang w:val="en-US" w:eastAsia="zh-CN" w:bidi="ar"/>
              </w:rPr>
              <w:t>（提供系统功能截图）；</w:t>
            </w:r>
          </w:p>
          <w:p w14:paraId="7FC596FA">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音视频过程中，支持数据共享，医生可将患者历史诊疗数据或PPT等内容共享在会议会诊中，参加会议会诊的其他医生都可以接收并同步观看共享的内容，共享时可选择桌面共享、应用窗口共享、应用程序共享，支持共享声音；</w:t>
            </w:r>
          </w:p>
          <w:p w14:paraId="145BE688">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（5）医生直接通过消息对话“发起视频通话”，即可发起一对一视频门诊；也支持医生通过发起会议，选择预约会诊或即时会诊，可选择参会人员，可对会议会诊信息进行编辑和分享；</w:t>
            </w:r>
          </w:p>
          <w:p w14:paraId="3447FF49">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color w:val="auto"/>
                <w:kern w:val="2"/>
                <w:sz w:val="21"/>
                <w:szCs w:val="21"/>
                <w:highlight w:val="none"/>
                <w:lang w:val="en-US" w:eastAsia="zh-CN" w:bidi="ar-SA"/>
              </w:rPr>
              <w:t>可以清晰、实时的看到其他医生的视频图像，实现多方音视频互动功能。支持1/2/3/4/5/6/7/8/9/10/13/16/22分屏画面布局，支持标清、720P、1080P高清画质</w:t>
            </w:r>
            <w:r>
              <w:rPr>
                <w:rFonts w:hint="eastAsia" w:ascii="宋体" w:hAnsi="宋体" w:eastAsia="宋体" w:cs="宋体"/>
                <w:b/>
                <w:bCs/>
                <w:i w:val="0"/>
                <w:iCs w:val="0"/>
                <w:color w:val="auto"/>
                <w:kern w:val="0"/>
                <w:sz w:val="21"/>
                <w:szCs w:val="21"/>
                <w:highlight w:val="none"/>
                <w:u w:val="none"/>
                <w:lang w:val="en-US" w:eastAsia="zh-CN" w:bidi="ar"/>
              </w:rPr>
              <w:t>（提供系统功能截图）；</w:t>
            </w:r>
          </w:p>
          <w:p w14:paraId="5C77BEAB">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（7）能显示参会人员在线、非在线、入会、非入会、屏显、非屏显状态；在4K、1080P、720P多种分辨率混合组网时，可手动调整分屏窗口数量、窗口大小、显示比例；</w:t>
            </w:r>
          </w:p>
          <w:p w14:paraId="18B12ED7">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color w:val="auto"/>
                <w:kern w:val="2"/>
                <w:sz w:val="21"/>
                <w:szCs w:val="21"/>
                <w:highlight w:val="none"/>
                <w:lang w:val="en-US" w:eastAsia="zh-CN" w:bidi="ar-SA"/>
              </w:rPr>
              <w:t>支持在布局模板中的单元窗口上和人员列表中都可以直接控制该终端的参会权限设置、辅流权限设置、禁言设置、录像设置、轮循设置及远程管理终端</w:t>
            </w:r>
            <w:r>
              <w:rPr>
                <w:rFonts w:hint="eastAsia" w:ascii="宋体" w:hAnsi="宋体" w:eastAsia="宋体" w:cs="宋体"/>
                <w:b/>
                <w:bCs/>
                <w:i w:val="0"/>
                <w:iCs w:val="0"/>
                <w:color w:val="auto"/>
                <w:kern w:val="0"/>
                <w:sz w:val="21"/>
                <w:szCs w:val="21"/>
                <w:highlight w:val="none"/>
                <w:u w:val="none"/>
                <w:lang w:val="en-US" w:eastAsia="zh-CN" w:bidi="ar"/>
              </w:rPr>
              <w:t>（提供系统功能截图）</w:t>
            </w:r>
            <w:r>
              <w:rPr>
                <w:rFonts w:hint="eastAsia" w:ascii="宋体" w:hAnsi="宋体" w:eastAsia="宋体" w:cs="宋体"/>
                <w:color w:val="auto"/>
                <w:kern w:val="2"/>
                <w:sz w:val="21"/>
                <w:szCs w:val="21"/>
                <w:highlight w:val="none"/>
                <w:lang w:val="en-US" w:eastAsia="zh-CN" w:bidi="ar-SA"/>
              </w:rPr>
              <w:t>；</w:t>
            </w:r>
          </w:p>
        </w:tc>
        <w:tc>
          <w:tcPr>
            <w:tcW w:w="728" w:type="dxa"/>
            <w:noWrap w:val="0"/>
            <w:vAlign w:val="center"/>
          </w:tcPr>
          <w:p w14:paraId="005549AC">
            <w:pPr>
              <w:keepNext w:val="0"/>
              <w:keepLines w:val="0"/>
              <w:widowControl w:val="0"/>
              <w:suppressLineNumbers w:val="0"/>
              <w:shd w:val="clear" w:color="auto" w:fill="auto"/>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c>
          <w:tcPr>
            <w:tcW w:w="693" w:type="dxa"/>
            <w:noWrap w:val="0"/>
            <w:vAlign w:val="center"/>
          </w:tcPr>
          <w:p w14:paraId="1DE07F3F">
            <w:pPr>
              <w:keepNext w:val="0"/>
              <w:keepLines w:val="0"/>
              <w:widowControl/>
              <w:suppressLineNumbers w:val="0"/>
              <w:shd w:val="clear" w:color="auto" w:fill="auto"/>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200</w:t>
            </w:r>
          </w:p>
        </w:tc>
      </w:tr>
      <w:tr w14:paraId="0A0E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8" w:type="dxa"/>
            <w:noWrap w:val="0"/>
            <w:vAlign w:val="center"/>
          </w:tcPr>
          <w:p w14:paraId="1F5CCDF0">
            <w:pPr>
              <w:keepNext w:val="0"/>
              <w:keepLines w:val="0"/>
              <w:widowControl w:val="0"/>
              <w:suppressLineNumbers w:val="0"/>
              <w:shd w:val="clear" w:color="auto" w:fill="auto"/>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989" w:type="dxa"/>
            <w:noWrap/>
            <w:vAlign w:val="center"/>
          </w:tcPr>
          <w:p w14:paraId="40CE302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远程智能控制终端</w:t>
            </w:r>
          </w:p>
        </w:tc>
        <w:tc>
          <w:tcPr>
            <w:tcW w:w="5880" w:type="dxa"/>
            <w:noWrap w:val="0"/>
            <w:vAlign w:val="center"/>
          </w:tcPr>
          <w:p w14:paraId="358BC185">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1、操作系统：无缝兼容 Windows、Linux、macOS、Android 等主流系统，即插即用；</w:t>
            </w:r>
          </w:p>
          <w:p w14:paraId="2026CAD1">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支持从设备开机、BIOS 设置、系统安装到操作系统的全流程远程操作，系统崩溃时可远程查看蓝屏代码及硬件诊断</w:t>
            </w:r>
            <w:r>
              <w:rPr>
                <w:rFonts w:hint="eastAsia" w:ascii="宋体" w:hAnsi="宋体" w:eastAsia="宋体" w:cs="宋体"/>
                <w:b/>
                <w:bCs/>
                <w:i w:val="0"/>
                <w:iCs w:val="0"/>
                <w:color w:val="auto"/>
                <w:kern w:val="0"/>
                <w:sz w:val="21"/>
                <w:szCs w:val="21"/>
                <w:highlight w:val="none"/>
                <w:u w:val="none"/>
                <w:lang w:val="en-US" w:eastAsia="zh-CN" w:bidi="ar"/>
              </w:rPr>
              <w:t>（提供制造商已发布的产品彩页或技术白皮书或官网截图）</w:t>
            </w:r>
            <w:r>
              <w:rPr>
                <w:rFonts w:hint="eastAsia" w:ascii="宋体" w:hAnsi="宋体" w:eastAsia="宋体" w:cs="宋体"/>
                <w:i w:val="0"/>
                <w:iCs w:val="0"/>
                <w:color w:val="auto"/>
                <w:kern w:val="0"/>
                <w:sz w:val="21"/>
                <w:szCs w:val="21"/>
                <w:highlight w:val="none"/>
                <w:u w:val="none"/>
                <w:lang w:val="en-US" w:eastAsia="zh-CN" w:bidi="ar"/>
              </w:rPr>
              <w:t>；</w:t>
            </w:r>
          </w:p>
          <w:p w14:paraId="3B3BD9FF">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提供桌面控制（键鼠交互）、桌面观看（仅监控）、摄像头监控（支持 USB 摄像头接入）、SSH 调试（网络参数配置与远程唤醒）等功能，满足不同运维操作需求</w:t>
            </w:r>
            <w:r>
              <w:rPr>
                <w:rFonts w:hint="eastAsia" w:ascii="宋体" w:hAnsi="宋体" w:eastAsia="宋体" w:cs="宋体"/>
                <w:b/>
                <w:bCs/>
                <w:i w:val="0"/>
                <w:iCs w:val="0"/>
                <w:color w:val="auto"/>
                <w:kern w:val="0"/>
                <w:sz w:val="21"/>
                <w:szCs w:val="21"/>
                <w:highlight w:val="none"/>
                <w:u w:val="none"/>
                <w:lang w:val="en-US" w:eastAsia="zh-CN" w:bidi="ar"/>
              </w:rPr>
              <w:t>（提供制造商已发布的产品彩页或技术白皮书或官网截图）</w:t>
            </w:r>
            <w:r>
              <w:rPr>
                <w:rFonts w:hint="eastAsia" w:ascii="宋体" w:hAnsi="宋体" w:eastAsia="宋体" w:cs="宋体"/>
                <w:color w:val="auto"/>
                <w:kern w:val="2"/>
                <w:sz w:val="21"/>
                <w:szCs w:val="21"/>
                <w:highlight w:val="none"/>
                <w:lang w:val="en-US" w:eastAsia="zh-CN" w:bidi="ar-SA"/>
              </w:rPr>
              <w:t>；</w:t>
            </w:r>
          </w:p>
          <w:p w14:paraId="421237E0">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支持无线频宽抗干扰模式；HDMI高清传输，60Hz刷新率下支持包括但不限于2560x1600、1920x1440、1920x1200、1920x1080、1856x1392、1792x1344、1600x1200、1600x900、1440x1080、1440x900、1360x768、1280x1024、1280x960、1280x800、1280x768、1280x720、1024x768、848x480、800x600等多种分辨率支持，30Hz 刷新率下支持 1920×1080，兼容医疗设备、工控机等特殊宽域分辨率；</w:t>
            </w:r>
          </w:p>
          <w:p w14:paraId="046BE804">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5、采用 H.264/H.265 编码技术，支持动态帧率调整，确保低带宽下的流畅传输；</w:t>
            </w:r>
          </w:p>
          <w:p w14:paraId="724EF56D">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外壳采用 SECC 镀锌钢板，具备抗腐蚀、抗冲击特性，工作温度范围 - 20℃~70℃，湿度 10%~90% RH（无凝结），满足现场严苛环境需求</w:t>
            </w:r>
            <w:r>
              <w:rPr>
                <w:rFonts w:hint="eastAsia" w:ascii="宋体" w:hAnsi="宋体" w:eastAsia="宋体" w:cs="宋体"/>
                <w:b/>
                <w:bCs/>
                <w:i w:val="0"/>
                <w:iCs w:val="0"/>
                <w:color w:val="auto"/>
                <w:kern w:val="0"/>
                <w:sz w:val="21"/>
                <w:szCs w:val="21"/>
                <w:highlight w:val="none"/>
                <w:u w:val="none"/>
                <w:lang w:val="en-US" w:eastAsia="zh-CN" w:bidi="ar"/>
              </w:rPr>
              <w:t>（提供技术白皮书或官网截图）</w:t>
            </w:r>
            <w:r>
              <w:rPr>
                <w:rFonts w:hint="eastAsia" w:ascii="宋体" w:hAnsi="宋体" w:eastAsia="宋体" w:cs="宋体"/>
                <w:i w:val="0"/>
                <w:iCs w:val="0"/>
                <w:color w:val="auto"/>
                <w:kern w:val="0"/>
                <w:sz w:val="21"/>
                <w:szCs w:val="21"/>
                <w:highlight w:val="none"/>
                <w:u w:val="none"/>
                <w:lang w:val="en-US" w:eastAsia="zh-CN" w:bidi="ar"/>
              </w:rPr>
              <w:t>；</w:t>
            </w:r>
          </w:p>
          <w:p w14:paraId="6250FB7E">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color w:val="auto"/>
                <w:kern w:val="2"/>
                <w:sz w:val="21"/>
                <w:szCs w:val="21"/>
                <w:highlight w:val="none"/>
                <w:lang w:val="en-US" w:eastAsia="zh-CN" w:bidi="ar-SA"/>
              </w:rPr>
              <w:t>端口：≥1个1000M RJ45 WAN 口，≥2个HDMI接口，≥1个 USB 2.0 接口（支持摄像头）；≥1个TF 卡槽 ；≥1个SIM 卡槽（支持 4G 全网通）</w:t>
            </w:r>
            <w:r>
              <w:rPr>
                <w:rFonts w:hint="eastAsia" w:ascii="宋体" w:hAnsi="宋体" w:eastAsia="宋体" w:cs="宋体"/>
                <w:b/>
                <w:bCs/>
                <w:i w:val="0"/>
                <w:iCs w:val="0"/>
                <w:color w:val="auto"/>
                <w:kern w:val="0"/>
                <w:sz w:val="21"/>
                <w:szCs w:val="21"/>
                <w:highlight w:val="none"/>
                <w:u w:val="none"/>
                <w:lang w:val="en-US" w:eastAsia="zh-CN" w:bidi="ar"/>
              </w:rPr>
              <w:t>（提供设备清晰背板照片）</w:t>
            </w:r>
            <w:r>
              <w:rPr>
                <w:rFonts w:hint="eastAsia" w:ascii="宋体" w:hAnsi="宋体" w:eastAsia="宋体" w:cs="宋体"/>
                <w:color w:val="auto"/>
                <w:kern w:val="2"/>
                <w:sz w:val="21"/>
                <w:szCs w:val="21"/>
                <w:highlight w:val="none"/>
                <w:lang w:val="en-US" w:eastAsia="zh-CN" w:bidi="ar-SA"/>
              </w:rPr>
              <w:t>；</w:t>
            </w:r>
          </w:p>
          <w:p w14:paraId="7CD90AF2">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8、内置看门狗功能，自动检测设备运行状态并重启异常进程；支持防浪涌保护，提升电源抗雷击性能；</w:t>
            </w:r>
          </w:p>
          <w:p w14:paraId="00ECF139">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9、采用AES-256金融级加密算法，结合 2048位RSA非对称密钥交换，确保数据在传输过程中不可被窃取或篡改；</w:t>
            </w:r>
          </w:p>
          <w:p w14:paraId="18BAAF38">
            <w:pPr>
              <w:keepNext w:val="0"/>
              <w:keepLines w:val="0"/>
              <w:widowControl w:val="0"/>
              <w:suppressLineNumbers w:val="0"/>
              <w:shd w:val="clear" w:color="auto" w:fill="auto"/>
              <w:spacing w:before="0" w:beforeAutospacing="0" w:after="0" w:afterAutospacing="0" w:line="240" w:lineRule="auto"/>
              <w:ind w:left="0" w:leftChars="0" w:right="0" w:righ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color w:val="auto"/>
                <w:kern w:val="2"/>
                <w:sz w:val="21"/>
                <w:szCs w:val="21"/>
                <w:highlight w:val="none"/>
                <w:lang w:val="en-US" w:eastAsia="zh-CN" w:bidi="ar-SA"/>
              </w:rPr>
              <w:t>支持多因子认证（账号密码 + 验证码 + 硬件指纹），可配置IP白名单、MAC地址过滤，防止未授权访问；</w:t>
            </w:r>
            <w:r>
              <w:rPr>
                <w:rFonts w:hint="eastAsia" w:ascii="宋体" w:hAnsi="宋体" w:eastAsia="宋体" w:cs="宋体"/>
                <w:b/>
                <w:bCs/>
                <w:i w:val="0"/>
                <w:iCs w:val="0"/>
                <w:color w:val="auto"/>
                <w:kern w:val="0"/>
                <w:sz w:val="21"/>
                <w:szCs w:val="21"/>
                <w:highlight w:val="none"/>
                <w:u w:val="none"/>
                <w:lang w:val="en-US" w:eastAsia="zh-CN" w:bidi="ar"/>
              </w:rPr>
              <w:t>（提供制造商已发布的产品彩页或技术白皮书或官网截图）</w:t>
            </w:r>
            <w:r>
              <w:rPr>
                <w:rFonts w:hint="eastAsia" w:ascii="宋体" w:hAnsi="宋体" w:eastAsia="宋体" w:cs="宋体"/>
                <w:i w:val="0"/>
                <w:iCs w:val="0"/>
                <w:color w:val="auto"/>
                <w:kern w:val="0"/>
                <w:sz w:val="21"/>
                <w:szCs w:val="21"/>
                <w:highlight w:val="none"/>
                <w:u w:val="none"/>
                <w:lang w:val="en-US" w:eastAsia="zh-CN" w:bidi="ar"/>
              </w:rPr>
              <w:t>；</w:t>
            </w:r>
          </w:p>
        </w:tc>
        <w:tc>
          <w:tcPr>
            <w:tcW w:w="728" w:type="dxa"/>
            <w:noWrap w:val="0"/>
            <w:vAlign w:val="center"/>
          </w:tcPr>
          <w:p w14:paraId="3640B2B8">
            <w:pPr>
              <w:keepNext w:val="0"/>
              <w:keepLines w:val="0"/>
              <w:widowControl w:val="0"/>
              <w:suppressLineNumbers w:val="0"/>
              <w:shd w:val="clear" w:color="auto" w:fill="auto"/>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c>
          <w:tcPr>
            <w:tcW w:w="693" w:type="dxa"/>
            <w:noWrap w:val="0"/>
            <w:vAlign w:val="center"/>
          </w:tcPr>
          <w:p w14:paraId="62CF2DB7">
            <w:pPr>
              <w:keepNext w:val="0"/>
              <w:keepLines w:val="0"/>
              <w:widowControl/>
              <w:suppressLineNumbers w:val="0"/>
              <w:shd w:val="clear" w:color="auto" w:fill="auto"/>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200</w:t>
            </w:r>
          </w:p>
        </w:tc>
      </w:tr>
      <w:tr w14:paraId="11B5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728" w:type="dxa"/>
            <w:noWrap w:val="0"/>
            <w:vAlign w:val="center"/>
          </w:tcPr>
          <w:p w14:paraId="7155C875">
            <w:pPr>
              <w:keepNext w:val="0"/>
              <w:keepLines w:val="0"/>
              <w:widowControl w:val="0"/>
              <w:suppressLineNumbers w:val="0"/>
              <w:shd w:val="clear" w:color="auto" w:fill="auto"/>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989" w:type="dxa"/>
            <w:noWrap/>
            <w:vAlign w:val="center"/>
          </w:tcPr>
          <w:p w14:paraId="7738BD2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一体化音视频终端</w:t>
            </w:r>
          </w:p>
        </w:tc>
        <w:tc>
          <w:tcPr>
            <w:tcW w:w="5880" w:type="dxa"/>
            <w:noWrap w:val="0"/>
            <w:vAlign w:val="center"/>
          </w:tcPr>
          <w:p w14:paraId="100F54C0">
            <w:pPr>
              <w:keepNext w:val="0"/>
              <w:keepLines w:val="0"/>
              <w:widowControl w:val="0"/>
              <w:numPr>
                <w:ilvl w:val="0"/>
                <w:numId w:val="0"/>
              </w:numPr>
              <w:suppressLineNumbers w:val="0"/>
              <w:shd w:val="clear" w:color="auto" w:fill="auto"/>
              <w:spacing w:before="0" w:beforeAutospacing="0" w:after="0" w:afterAutospacing="0" w:line="240" w:lineRule="auto"/>
              <w:ind w:leftChars="0" w:right="0" w:righ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1、高清摄像头≥1080P，120°广角拍摄；</w:t>
            </w:r>
          </w:p>
          <w:p w14:paraId="6D0175BE">
            <w:pPr>
              <w:keepNext w:val="0"/>
              <w:keepLines w:val="0"/>
              <w:widowControl w:val="0"/>
              <w:numPr>
                <w:ilvl w:val="0"/>
                <w:numId w:val="0"/>
              </w:numPr>
              <w:suppressLineNumbers w:val="0"/>
              <w:shd w:val="clear" w:color="auto" w:fill="auto"/>
              <w:spacing w:before="0" w:beforeAutospacing="0" w:after="0" w:afterAutospacing="0" w:line="240" w:lineRule="auto"/>
              <w:ind w:leftChars="0" w:right="0" w:righ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2、镜头可调，支持平角和仰角拍摄；</w:t>
            </w:r>
          </w:p>
          <w:p w14:paraId="55103236">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3、具备360°高覆盖的智能拾音，</w:t>
            </w:r>
            <w:r>
              <w:rPr>
                <w:rFonts w:hint="eastAsia" w:ascii="宋体" w:hAnsi="宋体" w:eastAsia="宋体" w:cs="宋体"/>
                <w:color w:val="auto"/>
                <w:highlight w:val="none"/>
                <w:lang w:val="en-US" w:eastAsia="zh-CN"/>
              </w:rPr>
              <w:t>内置矩形LED工作状态灯，通过不同颜色指示灯显示终端的运行状态</w:t>
            </w:r>
            <w:r>
              <w:rPr>
                <w:rFonts w:hint="eastAsia" w:ascii="宋体" w:hAnsi="宋体" w:eastAsia="宋体" w:cs="宋体"/>
                <w:color w:val="auto"/>
                <w:kern w:val="2"/>
                <w:sz w:val="21"/>
                <w:szCs w:val="21"/>
                <w:highlight w:val="none"/>
                <w:lang w:val="en-US" w:eastAsia="zh-CN" w:bidi="ar-SA"/>
              </w:rPr>
              <w:t>；</w:t>
            </w:r>
          </w:p>
          <w:p w14:paraId="2DA1AA30">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4、回音抵消≤260ms；</w:t>
            </w:r>
          </w:p>
          <w:p w14:paraId="79D86850">
            <w:pPr>
              <w:keepNext w:val="0"/>
              <w:keepLines w:val="0"/>
              <w:widowControl w:val="0"/>
              <w:numPr>
                <w:ilvl w:val="0"/>
                <w:numId w:val="0"/>
              </w:numPr>
              <w:suppressLineNumbers w:val="0"/>
              <w:shd w:val="clear" w:color="auto" w:fill="auto"/>
              <w:spacing w:before="0" w:beforeAutospacing="0" w:after="0" w:afterAutospacing="0" w:line="240" w:lineRule="auto"/>
              <w:ind w:leftChars="0" w:right="0" w:righ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5、支持全双工通话技术；</w:t>
            </w:r>
          </w:p>
          <w:p w14:paraId="486393D2">
            <w:pPr>
              <w:keepNext w:val="0"/>
              <w:keepLines w:val="0"/>
              <w:widowControl w:val="0"/>
              <w:numPr>
                <w:ilvl w:val="0"/>
                <w:numId w:val="0"/>
              </w:numPr>
              <w:suppressLineNumbers w:val="0"/>
              <w:shd w:val="clear" w:color="auto" w:fill="auto"/>
              <w:spacing w:before="0" w:beforeAutospacing="0" w:after="0" w:afterAutospacing="0" w:line="240" w:lineRule="auto"/>
              <w:ind w:leftChars="0" w:right="0" w:righ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6、支持动态降噪；</w:t>
            </w:r>
          </w:p>
          <w:p w14:paraId="33439272">
            <w:pPr>
              <w:keepNext w:val="0"/>
              <w:keepLines w:val="0"/>
              <w:widowControl w:val="0"/>
              <w:suppressLineNumbers w:val="0"/>
              <w:shd w:val="clear" w:color="auto" w:fill="auto"/>
              <w:spacing w:before="0" w:beforeAutospacing="0" w:after="0" w:afterAutospacing="0" w:line="240" w:lineRule="auto"/>
              <w:ind w:left="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7、内置便携式麦克风和扬声器，</w:t>
            </w:r>
            <w:r>
              <w:rPr>
                <w:rFonts w:hint="eastAsia" w:ascii="宋体" w:hAnsi="宋体" w:eastAsia="宋体" w:cs="宋体"/>
                <w:color w:val="auto"/>
                <w:highlight w:val="none"/>
                <w:lang w:val="en-US" w:eastAsia="zh-CN"/>
              </w:rPr>
              <w:t>miniUSB2.0,</w:t>
            </w:r>
            <w:r>
              <w:rPr>
                <w:rFonts w:hint="eastAsia" w:ascii="宋体" w:hAnsi="宋体" w:eastAsia="宋体" w:cs="宋体"/>
                <w:color w:val="auto"/>
                <w:kern w:val="2"/>
                <w:sz w:val="21"/>
                <w:szCs w:val="21"/>
                <w:highlight w:val="none"/>
                <w:lang w:val="en-US" w:eastAsia="zh-CN" w:bidi="ar-SA"/>
              </w:rPr>
              <w:t>即插即用；</w:t>
            </w:r>
          </w:p>
        </w:tc>
        <w:tc>
          <w:tcPr>
            <w:tcW w:w="728" w:type="dxa"/>
            <w:noWrap w:val="0"/>
            <w:vAlign w:val="center"/>
          </w:tcPr>
          <w:p w14:paraId="2E9023F9">
            <w:pPr>
              <w:keepNext w:val="0"/>
              <w:keepLines w:val="0"/>
              <w:widowControl w:val="0"/>
              <w:suppressLineNumbers w:val="0"/>
              <w:shd w:val="clear" w:color="auto" w:fill="auto"/>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c>
          <w:tcPr>
            <w:tcW w:w="693" w:type="dxa"/>
            <w:noWrap w:val="0"/>
            <w:vAlign w:val="center"/>
          </w:tcPr>
          <w:p w14:paraId="5118EF8C">
            <w:pPr>
              <w:keepNext w:val="0"/>
              <w:keepLines w:val="0"/>
              <w:widowControl/>
              <w:suppressLineNumbers w:val="0"/>
              <w:shd w:val="clear" w:color="auto" w:fill="auto"/>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400</w:t>
            </w:r>
          </w:p>
        </w:tc>
      </w:tr>
      <w:tr w14:paraId="7832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728" w:type="dxa"/>
            <w:noWrap w:val="0"/>
            <w:vAlign w:val="center"/>
          </w:tcPr>
          <w:p w14:paraId="68096C20">
            <w:pPr>
              <w:keepNext w:val="0"/>
              <w:keepLines w:val="0"/>
              <w:widowControl w:val="0"/>
              <w:suppressLineNumbers w:val="0"/>
              <w:shd w:val="clear" w:color="auto" w:fill="auto"/>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18"/>
                <w:highlight w:val="none"/>
                <w:lang w:val="en-US" w:eastAsia="zh-CN" w:bidi="ar-SA"/>
              </w:rPr>
              <w:t>4</w:t>
            </w:r>
          </w:p>
        </w:tc>
        <w:tc>
          <w:tcPr>
            <w:tcW w:w="989" w:type="dxa"/>
            <w:noWrap/>
            <w:vAlign w:val="center"/>
          </w:tcPr>
          <w:p w14:paraId="67C201E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服务器</w:t>
            </w:r>
          </w:p>
          <w:p w14:paraId="59E43D5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系统软件</w:t>
            </w:r>
          </w:p>
        </w:tc>
        <w:tc>
          <w:tcPr>
            <w:tcW w:w="5880" w:type="dxa"/>
            <w:noWrap w:val="0"/>
            <w:vAlign w:val="center"/>
          </w:tcPr>
          <w:p w14:paraId="73F91758">
            <w:pPr>
              <w:keepNext w:val="0"/>
              <w:keepLines w:val="0"/>
              <w:widowControl w:val="0"/>
              <w:numPr>
                <w:ilvl w:val="0"/>
                <w:numId w:val="3"/>
              </w:numPr>
              <w:suppressLineNumbers w:val="0"/>
              <w:shd w:val="clear" w:color="auto" w:fill="auto"/>
              <w:spacing w:before="0" w:beforeAutospacing="0" w:after="0" w:afterAutospacing="0" w:line="240" w:lineRule="auto"/>
              <w:ind w:left="0" w:leftChars="0" w:right="0" w:rightChars="0" w:firstLine="0" w:firstLineChars="0"/>
              <w:jc w:val="left"/>
              <w:rPr>
                <w:rFonts w:hint="eastAsia" w:ascii="宋体" w:hAnsi="宋体" w:eastAsia="宋体" w:cs="宋体"/>
                <w:color w:val="auto"/>
                <w:kern w:val="2"/>
                <w:sz w:val="21"/>
                <w:szCs w:val="18"/>
                <w:highlight w:val="none"/>
                <w:lang w:val="en-US" w:eastAsia="zh-CN" w:bidi="ar-SA"/>
              </w:rPr>
            </w:pPr>
            <w:r>
              <w:rPr>
                <w:rFonts w:hint="eastAsia" w:ascii="宋体" w:hAnsi="宋体" w:eastAsia="宋体" w:cs="宋体"/>
                <w:color w:val="auto"/>
                <w:kern w:val="2"/>
                <w:sz w:val="21"/>
                <w:szCs w:val="18"/>
                <w:highlight w:val="none"/>
                <w:lang w:val="en-US" w:eastAsia="zh-CN" w:bidi="ar-SA"/>
              </w:rPr>
              <w:t>虚拟化授权：配置核心数≥216核授权；</w:t>
            </w:r>
          </w:p>
          <w:p w14:paraId="1C3CFE0D">
            <w:pPr>
              <w:keepNext w:val="0"/>
              <w:keepLines w:val="0"/>
              <w:widowControl w:val="0"/>
              <w:numPr>
                <w:ilvl w:val="0"/>
                <w:numId w:val="3"/>
              </w:numPr>
              <w:suppressLineNumbers w:val="0"/>
              <w:shd w:val="clear" w:color="auto" w:fill="auto"/>
              <w:spacing w:before="0" w:beforeAutospacing="0" w:after="0" w:afterAutospacing="0" w:line="240" w:lineRule="auto"/>
              <w:ind w:left="0" w:leftChars="0" w:right="0" w:righ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18"/>
                <w:highlight w:val="none"/>
                <w:lang w:val="en-US" w:eastAsia="zh-CN" w:bidi="ar-SA"/>
              </w:rPr>
              <w:t>提供不低于1年订阅服务。</w:t>
            </w:r>
          </w:p>
        </w:tc>
        <w:tc>
          <w:tcPr>
            <w:tcW w:w="728" w:type="dxa"/>
            <w:noWrap w:val="0"/>
            <w:vAlign w:val="center"/>
          </w:tcPr>
          <w:p w14:paraId="4AD4CCDA">
            <w:pPr>
              <w:keepNext w:val="0"/>
              <w:keepLines w:val="0"/>
              <w:widowControl w:val="0"/>
              <w:suppressLineNumbers w:val="0"/>
              <w:shd w:val="clear" w:color="auto" w:fill="auto"/>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18"/>
                <w:highlight w:val="none"/>
                <w:lang w:val="en-US" w:eastAsia="zh-CN" w:bidi="ar-SA"/>
              </w:rPr>
              <w:t>套</w:t>
            </w:r>
          </w:p>
        </w:tc>
        <w:tc>
          <w:tcPr>
            <w:tcW w:w="693" w:type="dxa"/>
            <w:noWrap w:val="0"/>
            <w:vAlign w:val="center"/>
          </w:tcPr>
          <w:p w14:paraId="690321CC">
            <w:pPr>
              <w:keepNext w:val="0"/>
              <w:keepLines w:val="0"/>
              <w:widowControl/>
              <w:suppressLineNumbers w:val="0"/>
              <w:shd w:val="clear" w:color="auto" w:fill="auto"/>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r>
    </w:tbl>
    <w:p w14:paraId="65E540B4">
      <w:pPr>
        <w:widowControl/>
        <w:numPr>
          <w:ilvl w:val="0"/>
          <w:numId w:val="0"/>
        </w:numPr>
        <w:spacing w:line="360" w:lineRule="auto"/>
        <w:jc w:val="left"/>
        <w:rPr>
          <w:rFonts w:hint="eastAsia"/>
          <w:b/>
          <w:bCs/>
          <w:color w:val="auto"/>
          <w:kern w:val="0"/>
          <w:sz w:val="24"/>
          <w:lang w:bidi="ar"/>
        </w:rPr>
      </w:pPr>
    </w:p>
    <w:p w14:paraId="314B0540">
      <w:pPr>
        <w:widowControl/>
        <w:numPr>
          <w:ilvl w:val="0"/>
          <w:numId w:val="1"/>
        </w:numPr>
        <w:spacing w:line="360" w:lineRule="auto"/>
        <w:jc w:val="left"/>
        <w:rPr>
          <w:b/>
          <w:bCs/>
          <w:color w:val="auto"/>
          <w:kern w:val="0"/>
          <w:sz w:val="24"/>
          <w:lang w:bidi="ar"/>
        </w:rPr>
      </w:pPr>
      <w:r>
        <w:rPr>
          <w:rFonts w:hint="eastAsia"/>
          <w:b/>
          <w:bCs/>
          <w:color w:val="auto"/>
          <w:kern w:val="0"/>
          <w:sz w:val="24"/>
          <w:lang w:bidi="ar"/>
        </w:rPr>
        <w:t>商务要求</w:t>
      </w:r>
    </w:p>
    <w:p w14:paraId="76AC9862">
      <w:pPr>
        <w:pStyle w:val="2"/>
        <w:widowControl/>
        <w:spacing w:before="0" w:beforeAutospacing="0" w:after="0" w:afterAutospacing="0" w:line="360" w:lineRule="auto"/>
        <w:ind w:firstLine="420" w:firstLineChars="200"/>
        <w:rPr>
          <w:rFonts w:hint="eastAsia" w:cs="宋体"/>
          <w:color w:val="auto"/>
          <w:sz w:val="21"/>
          <w:szCs w:val="21"/>
          <w:shd w:val="clear" w:color="auto" w:fill="FFFFFF"/>
        </w:rPr>
      </w:pPr>
      <w:r>
        <w:rPr>
          <w:rFonts w:hint="eastAsia" w:ascii="宋体" w:hAnsi="宋体" w:eastAsia="宋体" w:cs="宋体"/>
          <w:color w:val="auto"/>
          <w:sz w:val="21"/>
          <w:szCs w:val="21"/>
          <w:shd w:val="clear" w:color="auto" w:fill="FFFFFF"/>
        </w:rPr>
        <w:t>1.交货期：自合同签订之日起，</w:t>
      </w:r>
      <w:r>
        <w:rPr>
          <w:rFonts w:hint="eastAsia" w:ascii="宋体" w:hAnsi="宋体" w:eastAsia="宋体" w:cs="宋体"/>
          <w:color w:val="auto"/>
          <w:sz w:val="21"/>
          <w:szCs w:val="21"/>
          <w:shd w:val="clear" w:color="auto" w:fill="FFFFFF"/>
          <w:lang w:val="en-US" w:eastAsia="zh-CN"/>
        </w:rPr>
        <w:t>6</w:t>
      </w:r>
      <w:r>
        <w:rPr>
          <w:rFonts w:hint="eastAsia" w:cs="宋体"/>
          <w:color w:val="auto"/>
          <w:sz w:val="21"/>
          <w:szCs w:val="21"/>
          <w:shd w:val="clear" w:color="auto" w:fill="FFFFFF"/>
          <w:lang w:val="en-US" w:eastAsia="zh-CN"/>
        </w:rPr>
        <w:t>0</w:t>
      </w:r>
      <w:r>
        <w:rPr>
          <w:rFonts w:hint="eastAsia" w:cs="宋体"/>
          <w:color w:val="auto"/>
          <w:sz w:val="21"/>
          <w:szCs w:val="21"/>
          <w:shd w:val="clear" w:color="auto" w:fill="FFFFFF"/>
        </w:rPr>
        <w:t>个日历天内完成交付，且完成在服务期内所有工作及善后服务。</w:t>
      </w:r>
    </w:p>
    <w:p w14:paraId="3E158488">
      <w:pPr>
        <w:pStyle w:val="2"/>
        <w:widowControl/>
        <w:spacing w:before="0" w:beforeAutospacing="0" w:after="0" w:afterAutospacing="0" w:line="360" w:lineRule="auto"/>
        <w:ind w:firstLine="420" w:firstLineChars="200"/>
        <w:rPr>
          <w:rFonts w:cs="宋体"/>
          <w:color w:val="auto"/>
          <w:sz w:val="21"/>
          <w:szCs w:val="21"/>
          <w:shd w:val="clear" w:color="auto" w:fill="FFFFFF"/>
        </w:rPr>
      </w:pPr>
      <w:r>
        <w:rPr>
          <w:rFonts w:hint="eastAsia" w:cs="宋体"/>
          <w:color w:val="auto"/>
          <w:sz w:val="21"/>
          <w:szCs w:val="21"/>
          <w:shd w:val="clear" w:color="auto" w:fill="FFFFFF"/>
        </w:rPr>
        <w:t>2.交货地点：采购人指定地点。</w:t>
      </w:r>
    </w:p>
    <w:p w14:paraId="5E8E16B8">
      <w:pPr>
        <w:pStyle w:val="2"/>
        <w:widowControl/>
        <w:spacing w:before="0" w:beforeAutospacing="0" w:after="0" w:afterAutospacing="0"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3.质量要求：合格，符合国家、行业及地区相关标准规范，满足采购人及相关部门的质量要求。</w:t>
      </w:r>
    </w:p>
    <w:p w14:paraId="201FD1CD">
      <w:pPr>
        <w:pStyle w:val="2"/>
        <w:widowControl/>
        <w:spacing w:before="0" w:beforeAutospacing="0" w:after="0" w:afterAutospacing="0"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4.质保期：自项目验收合格之日起，乙方应提供至少5年免费质保，且包含</w:t>
      </w:r>
      <w:r>
        <w:rPr>
          <w:rFonts w:hint="eastAsia" w:ascii="宋体" w:hAnsi="宋体" w:eastAsia="宋体" w:cs="宋体"/>
          <w:color w:val="auto"/>
          <w:sz w:val="21"/>
          <w:szCs w:val="21"/>
          <w:shd w:val="clear" w:color="auto" w:fill="FFFFFF"/>
          <w:lang w:eastAsia="zh-CN"/>
        </w:rPr>
        <w:t>云诊疗</w:t>
      </w:r>
      <w:r>
        <w:rPr>
          <w:rFonts w:hint="eastAsia" w:ascii="宋体" w:hAnsi="宋体" w:eastAsia="宋体" w:cs="宋体"/>
          <w:color w:val="auto"/>
          <w:sz w:val="21"/>
          <w:szCs w:val="21"/>
          <w:shd w:val="clear" w:color="auto" w:fill="FFFFFF"/>
          <w:lang w:val="en-US" w:eastAsia="zh-CN"/>
        </w:rPr>
        <w:t>平台软件</w:t>
      </w:r>
      <w:r>
        <w:rPr>
          <w:rFonts w:hint="eastAsia" w:ascii="宋体" w:hAnsi="宋体" w:eastAsia="宋体" w:cs="宋体"/>
          <w:color w:val="auto"/>
          <w:sz w:val="21"/>
          <w:szCs w:val="21"/>
          <w:shd w:val="clear" w:color="auto" w:fill="FFFFFF"/>
        </w:rPr>
        <w:t>的</w:t>
      </w:r>
      <w:r>
        <w:rPr>
          <w:rFonts w:hint="eastAsia" w:ascii="宋体" w:hAnsi="宋体" w:eastAsia="宋体" w:cs="宋体"/>
          <w:color w:val="auto"/>
          <w:sz w:val="21"/>
          <w:szCs w:val="21"/>
          <w:shd w:val="clear" w:color="auto" w:fill="FFFFFF"/>
          <w:lang w:val="en-US" w:eastAsia="zh-CN"/>
        </w:rPr>
        <w:t>升级和</w:t>
      </w:r>
      <w:r>
        <w:rPr>
          <w:rFonts w:hint="eastAsia" w:ascii="宋体" w:hAnsi="宋体" w:eastAsia="宋体" w:cs="宋体"/>
          <w:color w:val="auto"/>
          <w:sz w:val="21"/>
          <w:szCs w:val="21"/>
          <w:shd w:val="clear" w:color="auto" w:fill="FFFFFF"/>
        </w:rPr>
        <w:t>运维服务。</w:t>
      </w:r>
    </w:p>
    <w:p w14:paraId="44F979D5">
      <w:pPr>
        <w:pStyle w:val="2"/>
        <w:widowControl/>
        <w:spacing w:before="0" w:beforeAutospacing="0" w:after="0" w:afterAutospacing="0"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5.付款方式：（1）付款方式：合同签订，乙方</w:t>
      </w:r>
      <w:r>
        <w:rPr>
          <w:rFonts w:hint="eastAsia" w:ascii="宋体" w:hAnsi="宋体" w:eastAsia="宋体" w:cs="宋体"/>
          <w:color w:val="auto"/>
          <w:sz w:val="21"/>
          <w:szCs w:val="21"/>
          <w:shd w:val="clear" w:color="auto" w:fill="FFFFFF"/>
          <w:lang w:val="en-US" w:eastAsia="zh-CN"/>
        </w:rPr>
        <w:t>完成实施方案及需求调研工作经甲方确认</w:t>
      </w:r>
      <w:r>
        <w:rPr>
          <w:rFonts w:hint="eastAsia" w:ascii="宋体" w:hAnsi="宋体" w:eastAsia="宋体" w:cs="宋体"/>
          <w:color w:val="auto"/>
          <w:sz w:val="21"/>
          <w:szCs w:val="21"/>
          <w:shd w:val="clear" w:color="auto" w:fill="FFFFFF"/>
        </w:rPr>
        <w:t>后支付合同总价款的30%，乙方完成设备</w:t>
      </w:r>
      <w:r>
        <w:rPr>
          <w:rFonts w:hint="eastAsia" w:ascii="宋体" w:hAnsi="宋体" w:eastAsia="宋体" w:cs="宋体"/>
          <w:color w:val="auto"/>
          <w:sz w:val="21"/>
          <w:szCs w:val="21"/>
          <w:shd w:val="clear" w:color="auto" w:fill="FFFFFF"/>
          <w:lang w:val="en-US" w:eastAsia="zh-CN"/>
        </w:rPr>
        <w:t>供货，经甲方验收合格后</w:t>
      </w:r>
      <w:r>
        <w:rPr>
          <w:rFonts w:hint="eastAsia" w:ascii="宋体" w:hAnsi="宋体" w:eastAsia="宋体" w:cs="宋体"/>
          <w:color w:val="auto"/>
          <w:sz w:val="21"/>
          <w:szCs w:val="21"/>
          <w:shd w:val="clear" w:color="auto" w:fill="FFFFFF"/>
        </w:rPr>
        <w:t>支付合同总价款的30%</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最终</w:t>
      </w:r>
      <w:r>
        <w:rPr>
          <w:rFonts w:hint="eastAsia" w:ascii="宋体" w:hAnsi="宋体" w:eastAsia="宋体" w:cs="宋体"/>
          <w:color w:val="auto"/>
          <w:sz w:val="21"/>
          <w:szCs w:val="21"/>
          <w:shd w:val="clear" w:color="auto" w:fill="FFFFFF"/>
          <w:lang w:val="en-US" w:eastAsia="zh-CN"/>
        </w:rPr>
        <w:t>项目</w:t>
      </w:r>
      <w:r>
        <w:rPr>
          <w:rFonts w:hint="eastAsia" w:ascii="宋体" w:hAnsi="宋体" w:eastAsia="宋体" w:cs="宋体"/>
          <w:color w:val="auto"/>
          <w:sz w:val="21"/>
          <w:szCs w:val="21"/>
          <w:shd w:val="clear" w:color="auto" w:fill="FFFFFF"/>
        </w:rPr>
        <w:t>验收合格且乙方提交合同总额</w:t>
      </w:r>
      <w:r>
        <w:rPr>
          <w:rFonts w:hint="eastAsia" w:ascii="宋体" w:hAnsi="宋体" w:eastAsia="宋体" w:cs="宋体"/>
          <w:color w:val="auto"/>
          <w:sz w:val="21"/>
          <w:szCs w:val="21"/>
          <w:shd w:val="clear" w:color="auto" w:fill="FFFFFF"/>
          <w:lang w:val="en-US" w:eastAsia="zh-CN"/>
        </w:rPr>
        <w:t>5</w:t>
      </w:r>
      <w:r>
        <w:rPr>
          <w:rFonts w:hint="eastAsia" w:ascii="宋体" w:hAnsi="宋体" w:eastAsia="宋体" w:cs="宋体"/>
          <w:color w:val="auto"/>
          <w:sz w:val="21"/>
          <w:szCs w:val="21"/>
          <w:shd w:val="clear" w:color="auto" w:fill="FFFFFF"/>
        </w:rPr>
        <w:t>%的履约保函后支付合同总金额的40%，</w:t>
      </w:r>
      <w:r>
        <w:rPr>
          <w:rFonts w:hint="eastAsia" w:ascii="宋体" w:hAnsi="宋体" w:eastAsia="宋体" w:cs="宋体"/>
          <w:color w:val="auto"/>
          <w:sz w:val="21"/>
          <w:szCs w:val="21"/>
          <w:shd w:val="clear" w:color="auto" w:fill="FFFFFF"/>
          <w:lang w:val="en-US" w:eastAsia="zh-CN"/>
        </w:rPr>
        <w:t>设备</w:t>
      </w:r>
      <w:r>
        <w:rPr>
          <w:rFonts w:hint="eastAsia" w:ascii="宋体" w:hAnsi="宋体" w:eastAsia="宋体" w:cs="宋体"/>
          <w:color w:val="auto"/>
          <w:sz w:val="21"/>
          <w:szCs w:val="21"/>
          <w:shd w:val="clear" w:color="auto" w:fill="FFFFFF"/>
        </w:rPr>
        <w:t>连续正常运行</w:t>
      </w:r>
      <w:r>
        <w:rPr>
          <w:rFonts w:hint="eastAsia" w:ascii="宋体" w:hAnsi="宋体" w:eastAsia="宋体" w:cs="宋体"/>
          <w:color w:val="auto"/>
          <w:sz w:val="21"/>
          <w:szCs w:val="21"/>
          <w:shd w:val="clear" w:color="auto" w:fill="FFFFFF"/>
          <w:lang w:val="en-US" w:eastAsia="zh-CN"/>
        </w:rPr>
        <w:t>12</w:t>
      </w:r>
      <w:r>
        <w:rPr>
          <w:rFonts w:hint="eastAsia" w:ascii="宋体" w:hAnsi="宋体" w:eastAsia="宋体" w:cs="宋体"/>
          <w:color w:val="auto"/>
          <w:sz w:val="21"/>
          <w:szCs w:val="21"/>
          <w:shd w:val="clear" w:color="auto" w:fill="FFFFFF"/>
        </w:rPr>
        <w:t>个月后履约保函退还至乙方。</w:t>
      </w:r>
    </w:p>
    <w:p w14:paraId="7855BBA6">
      <w:pPr>
        <w:pStyle w:val="2"/>
        <w:widowControl/>
        <w:spacing w:before="0" w:beforeAutospacing="0" w:after="0" w:afterAutospacing="0"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（2）其他：设备最终验收前乙方须提供设备到货单、设备开箱检查单、设备安装完成确认单、项目验收报告单、用户安装维护手册，甲方根据相关规范要求的其他文档等。</w:t>
      </w:r>
    </w:p>
    <w:p w14:paraId="5F6BD536">
      <w:pPr>
        <w:pStyle w:val="2"/>
        <w:widowControl/>
        <w:spacing w:before="0" w:beforeAutospacing="0" w:after="0" w:afterAutospacing="0"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6.履约验收要求：符合招标文件及投标文件要求，由采购人组织统一验收。</w:t>
      </w:r>
    </w:p>
    <w:p w14:paraId="6E35D266">
      <w:pPr>
        <w:pStyle w:val="2"/>
        <w:widowControl/>
        <w:spacing w:before="0" w:beforeAutospacing="0" w:after="0" w:afterAutospacing="0" w:line="360" w:lineRule="auto"/>
        <w:ind w:firstLine="420" w:firstLineChars="200"/>
        <w:rPr>
          <w:rFonts w:hint="eastAsia" w:ascii="宋体" w:hAnsi="宋体"/>
          <w:color w:val="auto"/>
          <w:szCs w:val="21"/>
        </w:rPr>
      </w:pPr>
      <w:r>
        <w:rPr>
          <w:rFonts w:hint="eastAsia" w:ascii="宋体" w:hAnsi="宋体" w:eastAsia="宋体" w:cs="宋体"/>
          <w:color w:val="auto"/>
          <w:sz w:val="21"/>
          <w:szCs w:val="21"/>
          <w:shd w:val="clear" w:color="auto" w:fill="FFFFFF"/>
        </w:rPr>
        <w:t>7.商品包装和快递包装应符合《商品包装政府采购需求标准（试行）》</w:t>
      </w:r>
      <w:r>
        <w:rPr>
          <w:rFonts w:hint="eastAsia" w:ascii="宋体" w:hAnsi="宋体"/>
          <w:color w:val="auto"/>
          <w:szCs w:val="21"/>
        </w:rPr>
        <w:t>。</w:t>
      </w:r>
    </w:p>
    <w:p w14:paraId="566023C1">
      <w:pPr>
        <w:widowControl/>
        <w:numPr>
          <w:ilvl w:val="0"/>
          <w:numId w:val="1"/>
        </w:numPr>
        <w:spacing w:line="360" w:lineRule="auto"/>
        <w:jc w:val="left"/>
        <w:rPr>
          <w:rFonts w:hint="eastAsia"/>
          <w:b/>
          <w:bCs/>
          <w:color w:val="auto"/>
          <w:kern w:val="0"/>
          <w:sz w:val="24"/>
          <w:lang w:bidi="ar"/>
        </w:rPr>
      </w:pPr>
      <w:r>
        <w:rPr>
          <w:rFonts w:hint="eastAsia"/>
          <w:b/>
          <w:bCs/>
          <w:color w:val="auto"/>
          <w:kern w:val="0"/>
          <w:sz w:val="24"/>
          <w:lang w:bidi="ar"/>
        </w:rPr>
        <w:t>售后服务要求</w:t>
      </w:r>
    </w:p>
    <w:p w14:paraId="6955648C">
      <w:pPr>
        <w:pStyle w:val="2"/>
        <w:widowControl/>
        <w:spacing w:before="0" w:beforeAutospacing="0" w:after="0" w:afterAutospacing="0" w:line="360" w:lineRule="auto"/>
        <w:ind w:firstLine="480" w:firstLineChars="200"/>
        <w:rPr>
          <w:rFonts w:hint="eastAsia"/>
          <w:color w:val="auto"/>
          <w:szCs w:val="21"/>
        </w:rPr>
      </w:pPr>
      <w:r>
        <w:rPr>
          <w:rFonts w:hint="eastAsia"/>
          <w:color w:val="auto"/>
          <w:szCs w:val="21"/>
        </w:rPr>
        <w:t>1.</w:t>
      </w:r>
      <w:r>
        <w:rPr>
          <w:rFonts w:hint="eastAsia"/>
          <w:color w:val="auto"/>
          <w:szCs w:val="21"/>
          <w:lang w:val="en-US" w:eastAsia="zh-CN"/>
        </w:rPr>
        <w:t>质保期</w:t>
      </w:r>
      <w:r>
        <w:rPr>
          <w:rFonts w:hint="eastAsia"/>
          <w:color w:val="auto"/>
          <w:szCs w:val="21"/>
        </w:rPr>
        <w:t>：</w:t>
      </w:r>
      <w:r>
        <w:rPr>
          <w:rFonts w:hint="eastAsia" w:ascii="宋体" w:hAnsi="宋体" w:eastAsia="宋体" w:cs="宋体"/>
          <w:color w:val="auto"/>
          <w:sz w:val="21"/>
          <w:szCs w:val="21"/>
          <w:shd w:val="clear" w:color="auto" w:fill="FFFFFF"/>
        </w:rPr>
        <w:t>自项目验收合格之日起，乙方应提供至少5年免费质保，且包含</w:t>
      </w:r>
      <w:r>
        <w:rPr>
          <w:rFonts w:hint="eastAsia" w:ascii="宋体" w:hAnsi="宋体" w:eastAsia="宋体" w:cs="宋体"/>
          <w:color w:val="auto"/>
          <w:sz w:val="21"/>
          <w:szCs w:val="21"/>
          <w:shd w:val="clear" w:color="auto" w:fill="FFFFFF"/>
          <w:lang w:eastAsia="zh-CN"/>
        </w:rPr>
        <w:t>云诊疗</w:t>
      </w:r>
      <w:r>
        <w:rPr>
          <w:rFonts w:hint="eastAsia" w:ascii="宋体" w:hAnsi="宋体" w:eastAsia="宋体" w:cs="宋体"/>
          <w:color w:val="auto"/>
          <w:sz w:val="21"/>
          <w:szCs w:val="21"/>
          <w:shd w:val="clear" w:color="auto" w:fill="FFFFFF"/>
          <w:lang w:val="en-US" w:eastAsia="zh-CN"/>
        </w:rPr>
        <w:t>平台软件</w:t>
      </w:r>
      <w:r>
        <w:rPr>
          <w:rFonts w:hint="eastAsia" w:ascii="宋体" w:hAnsi="宋体" w:eastAsia="宋体" w:cs="宋体"/>
          <w:color w:val="auto"/>
          <w:sz w:val="21"/>
          <w:szCs w:val="21"/>
          <w:shd w:val="clear" w:color="auto" w:fill="FFFFFF"/>
        </w:rPr>
        <w:t>的</w:t>
      </w:r>
      <w:r>
        <w:rPr>
          <w:rFonts w:hint="eastAsia" w:ascii="宋体" w:hAnsi="宋体" w:eastAsia="宋体" w:cs="宋体"/>
          <w:color w:val="auto"/>
          <w:sz w:val="21"/>
          <w:szCs w:val="21"/>
          <w:shd w:val="clear" w:color="auto" w:fill="FFFFFF"/>
          <w:lang w:val="en-US" w:eastAsia="zh-CN"/>
        </w:rPr>
        <w:t>升级和</w:t>
      </w:r>
      <w:r>
        <w:rPr>
          <w:rFonts w:hint="eastAsia" w:ascii="宋体" w:hAnsi="宋体" w:eastAsia="宋体" w:cs="宋体"/>
          <w:color w:val="auto"/>
          <w:sz w:val="21"/>
          <w:szCs w:val="21"/>
          <w:shd w:val="clear" w:color="auto" w:fill="FFFFFF"/>
        </w:rPr>
        <w:t>运维服务</w:t>
      </w:r>
      <w:r>
        <w:rPr>
          <w:rFonts w:hint="eastAsia"/>
          <w:color w:val="auto"/>
          <w:szCs w:val="21"/>
        </w:rPr>
        <w:t>。</w:t>
      </w:r>
    </w:p>
    <w:p w14:paraId="6853B1A1">
      <w:pPr>
        <w:spacing w:line="360" w:lineRule="auto"/>
        <w:ind w:firstLine="567"/>
        <w:jc w:val="left"/>
        <w:rPr>
          <w:rFonts w:hint="eastAsia"/>
          <w:color w:val="auto"/>
          <w:szCs w:val="21"/>
        </w:rPr>
      </w:pPr>
      <w:r>
        <w:rPr>
          <w:rFonts w:hint="eastAsia"/>
          <w:color w:val="auto"/>
          <w:szCs w:val="21"/>
        </w:rPr>
        <w:t>2.服务响应时间：提供7*24小时热线服务，电话服务响应时间15分钟内；普通故障2小时内解决，一般故障‌8小时‌内解决，重大故障12小时内解决必要时‌提供备件或备机。保修期内因设备性能故障检修多次仍不能正常使用的，须无偿更换新设备。</w:t>
      </w:r>
    </w:p>
    <w:p w14:paraId="0ABA5F4E">
      <w:pPr>
        <w:spacing w:line="360" w:lineRule="auto"/>
        <w:ind w:firstLine="567"/>
        <w:jc w:val="left"/>
        <w:rPr>
          <w:rFonts w:hint="eastAsia"/>
          <w:color w:val="auto"/>
          <w:szCs w:val="21"/>
        </w:rPr>
      </w:pPr>
      <w:r>
        <w:rPr>
          <w:rFonts w:hint="eastAsia"/>
          <w:color w:val="auto"/>
          <w:szCs w:val="21"/>
        </w:rPr>
        <w:t>3.质保期内提供现场免费部署、维护、升级服务；提供备品备件，发生的设备损坏、性能不合格以及设备故障无法维修时，免费提供包修、包换、包退服务；如遇软件产品升级、改版，更新及因医院业务对接需进行第三方接口开发等工作，均免费提供；同时须完成服务期内所有工作及善后服务；交付使用前发生的设备损坏和不合格，一律退换新品。</w:t>
      </w:r>
    </w:p>
    <w:p w14:paraId="3F50A054">
      <w:pPr>
        <w:spacing w:line="360" w:lineRule="auto"/>
        <w:ind w:firstLine="567"/>
        <w:jc w:val="left"/>
        <w:rPr>
          <w:rFonts w:hint="eastAsia"/>
          <w:color w:val="auto"/>
          <w:szCs w:val="21"/>
        </w:rPr>
      </w:pPr>
      <w:r>
        <w:rPr>
          <w:rFonts w:hint="eastAsia"/>
          <w:color w:val="auto"/>
          <w:szCs w:val="21"/>
        </w:rPr>
        <w:t>4.投标人承诺其所提供的设备均为原装正品，保证设备的完整性和可用性；提供全新的货物(含零部件、配件等)，表面无划伤、无碰撞痕迹，且权属清楚，不侵害他人的知识产权。所投产品是全新的生产日期为近期的且优质优配的。货物制造质量出现问题，供应商负责三包(包修、包换、包退)，费用由供应商承担。</w:t>
      </w:r>
    </w:p>
    <w:p w14:paraId="7EBF9196">
      <w:pPr>
        <w:spacing w:line="360" w:lineRule="auto"/>
        <w:ind w:firstLine="567"/>
        <w:jc w:val="left"/>
        <w:rPr>
          <w:rFonts w:hint="eastAsia"/>
          <w:color w:val="auto"/>
          <w:szCs w:val="21"/>
        </w:rPr>
      </w:pPr>
      <w:r>
        <w:rPr>
          <w:rFonts w:hint="eastAsia"/>
          <w:color w:val="auto"/>
          <w:szCs w:val="21"/>
        </w:rPr>
        <w:t>5.巡检服务：为保证所提供设备正常运行，乙方提供每年度4次以上不定期巡检服务，并保证所提供软硬件产品正常运行；</w:t>
      </w:r>
    </w:p>
    <w:p w14:paraId="51E5AB9F">
      <w:pPr>
        <w:spacing w:line="360" w:lineRule="auto"/>
        <w:ind w:firstLine="567"/>
        <w:jc w:val="left"/>
        <w:rPr>
          <w:rFonts w:hint="eastAsia"/>
          <w:color w:val="auto"/>
          <w:szCs w:val="21"/>
        </w:rPr>
      </w:pPr>
      <w:r>
        <w:rPr>
          <w:rFonts w:hint="eastAsia"/>
          <w:color w:val="auto"/>
          <w:szCs w:val="21"/>
        </w:rPr>
        <w:t>6.合同服务期内，免费向技术人员进行现场培训，内容包括软硬件操作、维护、设备的简单维修，直至使技术操作人员能熟练掌握；</w:t>
      </w:r>
    </w:p>
    <w:p w14:paraId="5D476E52">
      <w:pPr>
        <w:spacing w:line="360" w:lineRule="auto"/>
        <w:ind w:firstLine="567"/>
        <w:jc w:val="left"/>
        <w:rPr>
          <w:rFonts w:hint="eastAsia"/>
          <w:color w:val="auto"/>
          <w:szCs w:val="21"/>
        </w:rPr>
      </w:pPr>
      <w:r>
        <w:rPr>
          <w:rFonts w:hint="eastAsia"/>
          <w:color w:val="auto"/>
          <w:szCs w:val="21"/>
        </w:rPr>
        <w:t>7.供应商达不到采购人要求及承诺标准，在售后服务中给采购人造成损失，应接受相应法律法规处罚；并承担由此造成的责任和一切经济损失；</w:t>
      </w:r>
    </w:p>
    <w:p w14:paraId="1FDEB8DB">
      <w:pPr>
        <w:spacing w:line="360" w:lineRule="auto"/>
        <w:ind w:firstLine="567"/>
        <w:jc w:val="left"/>
        <w:rPr>
          <w:rFonts w:hint="eastAsia"/>
          <w:color w:val="auto"/>
          <w:szCs w:val="21"/>
        </w:rPr>
      </w:pPr>
      <w:r>
        <w:rPr>
          <w:rFonts w:hint="eastAsia"/>
          <w:color w:val="auto"/>
          <w:szCs w:val="21"/>
        </w:rPr>
        <w:t>8.质保期内对设备引起软硬件问题进行检查和分析，并纠正潜在的设计缺陷或 Bug;为用户正常使用软硬件提供支持，如疑难解答、操作指导、系统恢复等。</w:t>
      </w:r>
    </w:p>
    <w:p w14:paraId="525814AE">
      <w:pPr>
        <w:widowControl/>
        <w:numPr>
          <w:ilvl w:val="0"/>
          <w:numId w:val="1"/>
        </w:numPr>
        <w:spacing w:line="360" w:lineRule="auto"/>
        <w:jc w:val="left"/>
        <w:rPr>
          <w:rFonts w:hint="eastAsia"/>
          <w:b/>
          <w:bCs/>
          <w:color w:val="auto"/>
          <w:kern w:val="0"/>
          <w:sz w:val="24"/>
          <w:lang w:bidi="ar"/>
        </w:rPr>
      </w:pPr>
      <w:r>
        <w:rPr>
          <w:rFonts w:hint="eastAsia"/>
          <w:b/>
          <w:bCs/>
          <w:color w:val="auto"/>
          <w:kern w:val="0"/>
          <w:sz w:val="24"/>
          <w:lang w:bidi="ar"/>
        </w:rPr>
        <w:t>其他要求</w:t>
      </w:r>
    </w:p>
    <w:p w14:paraId="041BAFD2">
      <w:pPr>
        <w:spacing w:line="360" w:lineRule="auto"/>
        <w:ind w:firstLine="567"/>
        <w:jc w:val="left"/>
        <w:rPr>
          <w:rFonts w:hint="eastAsia"/>
          <w:color w:val="auto"/>
          <w:szCs w:val="21"/>
        </w:rPr>
      </w:pPr>
      <w:r>
        <w:rPr>
          <w:rFonts w:hint="eastAsia"/>
          <w:color w:val="auto"/>
          <w:szCs w:val="21"/>
        </w:rPr>
        <w:t>1.投标人可针对本项目，提供实施方案，包含但不限于实施计划和进度保障措施、安装调试及测试验收方案、安全保障措施、质量保障措施、人员培训配置及技术支持方案。</w:t>
      </w:r>
    </w:p>
    <w:p w14:paraId="35838358">
      <w:pPr>
        <w:pStyle w:val="5"/>
        <w:spacing w:line="360" w:lineRule="auto"/>
        <w:ind w:firstLine="422"/>
        <w:rPr>
          <w:rFonts w:hint="eastAsia" w:ascii="宋体" w:hAnsi="宋体"/>
          <w:b/>
          <w:bCs/>
          <w:color w:val="auto"/>
          <w:szCs w:val="21"/>
        </w:rPr>
      </w:pPr>
    </w:p>
    <w:p w14:paraId="5E0DBEA6">
      <w:pPr>
        <w:pStyle w:val="5"/>
        <w:spacing w:line="360" w:lineRule="auto"/>
        <w:ind w:firstLine="422"/>
        <w:rPr>
          <w:rFonts w:hint="eastAsia" w:ascii="宋体" w:hAnsi="宋体"/>
          <w:b/>
          <w:bCs/>
          <w:color w:val="auto"/>
          <w:szCs w:val="21"/>
        </w:rPr>
      </w:pPr>
      <w:r>
        <w:rPr>
          <w:rFonts w:hint="eastAsia" w:ascii="宋体" w:hAnsi="宋体"/>
          <w:b/>
          <w:bCs/>
          <w:color w:val="auto"/>
          <w:szCs w:val="21"/>
        </w:rPr>
        <w:t>注：</w:t>
      </w:r>
    </w:p>
    <w:p w14:paraId="57D0804D">
      <w:pPr>
        <w:pStyle w:val="5"/>
        <w:spacing w:line="360" w:lineRule="auto"/>
        <w:rPr>
          <w:rFonts w:hint="eastAsia" w:ascii="宋体" w:hAnsi="宋体"/>
          <w:color w:val="auto"/>
          <w:szCs w:val="21"/>
        </w:rPr>
      </w:pPr>
      <w:r>
        <w:rPr>
          <w:rFonts w:hint="eastAsia" w:ascii="宋体" w:hAnsi="宋体"/>
          <w:color w:val="auto"/>
          <w:szCs w:val="21"/>
        </w:rPr>
        <w:t>1.投标人在满足技术要求和性能的前提下可投同档次或优于上述参数、性能和质量的货物。</w:t>
      </w:r>
    </w:p>
    <w:p w14:paraId="2BD34808">
      <w:pPr>
        <w:pStyle w:val="5"/>
        <w:spacing w:line="360" w:lineRule="auto"/>
        <w:rPr>
          <w:rFonts w:hint="eastAsia" w:ascii="宋体" w:hAnsi="宋体"/>
          <w:color w:val="auto"/>
        </w:rPr>
      </w:pPr>
      <w:r>
        <w:rPr>
          <w:rFonts w:hint="eastAsia" w:ascii="宋体" w:hAnsi="宋体"/>
          <w:color w:val="auto"/>
          <w:szCs w:val="21"/>
        </w:rPr>
        <w:t>2.</w:t>
      </w:r>
      <w:r>
        <w:rPr>
          <w:rFonts w:hint="eastAsia" w:ascii="宋体" w:hAnsi="宋体"/>
          <w:b/>
          <w:bCs/>
          <w:color w:val="auto"/>
          <w:szCs w:val="21"/>
          <w:u w:val="single"/>
        </w:rPr>
        <w:t xml:space="preserve"> </w:t>
      </w:r>
      <w:r>
        <w:rPr>
          <w:rFonts w:hint="eastAsia"/>
          <w:b/>
          <w:bCs/>
          <w:color w:val="auto"/>
          <w:szCs w:val="21"/>
          <w:u w:val="single"/>
        </w:rPr>
        <w:t>远程会诊终端</w:t>
      </w:r>
      <w:r>
        <w:rPr>
          <w:rFonts w:hint="eastAsia" w:ascii="宋体" w:hAnsi="宋体"/>
          <w:b/>
          <w:bCs/>
          <w:color w:val="auto"/>
          <w:szCs w:val="21"/>
          <w:u w:val="single"/>
        </w:rPr>
        <w:t xml:space="preserve">  </w:t>
      </w:r>
      <w:r>
        <w:rPr>
          <w:rFonts w:hint="eastAsia" w:ascii="宋体" w:hAnsi="宋体"/>
          <w:color w:val="auto"/>
          <w:szCs w:val="21"/>
        </w:rPr>
        <w:t>产品为本次采购的核心产品。</w:t>
      </w:r>
      <w:bookmarkStart w:id="0" w:name="_GoBack"/>
      <w:bookmarkEnd w:id="0"/>
    </w:p>
    <w:p w14:paraId="63ECBC5E">
      <w:pPr>
        <w:pStyle w:val="5"/>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.（1）</w:t>
      </w:r>
      <w:r>
        <w:rPr>
          <w:rFonts w:hint="eastAsia" w:ascii="宋体" w:hAnsi="宋体" w:eastAsia="宋体" w:cs="宋体"/>
          <w:color w:val="auto"/>
          <w:szCs w:val="21"/>
          <w:lang w:val="en-US" w:eastAsia="zh-CN"/>
        </w:rPr>
        <w:t>招标文件“采购需求”技术参数中加★项及需要提供证明材料项（投标人应根据技术参数的具体要求进行提供），投标人应对证明材料的真实性负责，并承担相应的法律责任。其他技术指标在合同签订前及履行过程中，发现有虚假应标者，取消其中标资格并追究相应的法律责任及相应的赔偿。若技术证明材料为英文资料，应在参数对应位置加标下划线，并备注中文注释，未注释的，视为本条参数负偏差。</w:t>
      </w:r>
    </w:p>
    <w:p w14:paraId="4FBF3927">
      <w:pPr>
        <w:spacing w:line="360" w:lineRule="auto"/>
        <w:rPr>
          <w:rFonts w:hint="eastAsia"/>
          <w:lang w:val="en-US" w:eastAsia="zh-CN"/>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w:t>
      </w:r>
      <w:r>
        <w:rPr>
          <w:rFonts w:hint="eastAsia" w:ascii="宋体" w:hAnsi="宋体" w:eastAsia="宋体" w:cs="宋体"/>
          <w:color w:val="auto"/>
          <w:szCs w:val="21"/>
          <w:lang w:val="en-US" w:eastAsia="zh-CN"/>
        </w:rPr>
        <w:t>投标文件“技术偏差表”中“备注”中须说明与每一条参数相对应的技术证明资料所在投标文件页码作为专家评审依据，投标人未提供或提供的每一条参数相对应的技术证明资料所在投标文件位置（具体响应参数以醒目方式标注）未说明或表述不清或证明资料内容不能有效反映出响应招标文件技术要求的，视为本条参数负偏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63CBB"/>
    <w:multiLevelType w:val="singleLevel"/>
    <w:tmpl w:val="DC963CBB"/>
    <w:lvl w:ilvl="0" w:tentative="0">
      <w:start w:val="1"/>
      <w:numFmt w:val="decimal"/>
      <w:suff w:val="nothing"/>
      <w:lvlText w:val="%1、"/>
      <w:lvlJc w:val="left"/>
    </w:lvl>
  </w:abstractNum>
  <w:abstractNum w:abstractNumId="1">
    <w:nsid w:val="45CBEC26"/>
    <w:multiLevelType w:val="singleLevel"/>
    <w:tmpl w:val="45CBEC26"/>
    <w:lvl w:ilvl="0" w:tentative="0">
      <w:start w:val="1"/>
      <w:numFmt w:val="decimal"/>
      <w:lvlText w:val="(%1)"/>
      <w:lvlJc w:val="left"/>
      <w:pPr>
        <w:ind w:left="425" w:hanging="425"/>
      </w:pPr>
      <w:rPr>
        <w:rFonts w:hint="default"/>
      </w:rPr>
    </w:lvl>
  </w:abstractNum>
  <w:abstractNum w:abstractNumId="2">
    <w:nsid w:val="65C57CFA"/>
    <w:multiLevelType w:val="singleLevel"/>
    <w:tmpl w:val="65C57CF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B04B1"/>
    <w:rsid w:val="4C9C4231"/>
    <w:rsid w:val="67D7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4740</Words>
  <Characters>5244</Characters>
  <Lines>0</Lines>
  <Paragraphs>0</Paragraphs>
  <TotalTime>0</TotalTime>
  <ScaleCrop>false</ScaleCrop>
  <LinksUpToDate>false</LinksUpToDate>
  <CharactersWithSpaces>5280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2025-10-24T06:17:00Z</dcterms:created>
  <dc:creator>Administrator</dc:creator>
  <cp:lastModifiedBy>Leslie</cp:lastModifiedBy>
  <dcterms:modified xsi:type="dcterms:W3CDTF">2025-10-24T06:45:39Z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eyJoZGlkIjoiZDc5OTE4ZGE1MTY0MmJhNTFlOTZiYjEwYTMzNGNiNDYiLCJ1c2VySWQiOiI0MjgyNzE1MDUifQ==</vt:lpwstr>
  </property>
  <property fmtid="{D5CDD505-2E9C-101B-9397-08002B2CF9AE}" pid="4" name="ICV">
    <vt:lpwstr>86C3DCD36E7040D0A03D33CC572E91FE_12</vt:lpwstr>
  </property>
</Properties>
</file>