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auto"/>
          <w:kern w:val="1"/>
          <w:szCs w:val="21"/>
          <w:highlight w:val="none"/>
        </w:rPr>
      </w:pPr>
    </w:p>
    <w:p>
      <w:pPr>
        <w:jc w:val="center"/>
        <w:rPr>
          <w:rFonts w:hint="eastAsia" w:ascii="仿宋" w:hAnsi="仿宋" w:eastAsia="仿宋" w:cs="仿宋"/>
          <w:b/>
          <w:bCs/>
          <w:color w:val="auto"/>
          <w:sz w:val="48"/>
          <w:szCs w:val="56"/>
          <w:highlight w:val="none"/>
        </w:rPr>
      </w:pPr>
    </w:p>
    <w:p>
      <w:pPr>
        <w:pStyle w:val="23"/>
        <w:rPr>
          <w:rFonts w:hint="eastAsia" w:ascii="仿宋" w:hAnsi="仿宋" w:eastAsia="仿宋" w:cs="仿宋"/>
          <w:highlight w:val="none"/>
        </w:rPr>
      </w:pPr>
    </w:p>
    <w:p>
      <w:pPr>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44"/>
          <w:szCs w:val="44"/>
          <w:highlight w:val="none"/>
        </w:rPr>
        <w:t>中牟县自然资源和规划局建设项目服务费</w:t>
      </w:r>
      <w:r>
        <w:rPr>
          <w:rFonts w:hint="eastAsia" w:ascii="仿宋" w:hAnsi="仿宋" w:eastAsia="仿宋" w:cs="仿宋"/>
          <w:b/>
          <w:bCs/>
          <w:color w:val="auto"/>
          <w:sz w:val="44"/>
          <w:szCs w:val="44"/>
          <w:highlight w:val="none"/>
          <w:lang w:val="en-US" w:eastAsia="zh-CN"/>
        </w:rPr>
        <w:t>项目</w:t>
      </w:r>
    </w:p>
    <w:p>
      <w:pPr>
        <w:pStyle w:val="25"/>
        <w:rPr>
          <w:rFonts w:hint="eastAsia" w:ascii="仿宋" w:hAnsi="仿宋" w:eastAsia="仿宋" w:cs="仿宋"/>
          <w:b/>
          <w:bCs/>
          <w:color w:val="auto"/>
          <w:sz w:val="52"/>
          <w:szCs w:val="72"/>
          <w:highlight w:val="none"/>
        </w:rPr>
      </w:pPr>
    </w:p>
    <w:p>
      <w:pPr>
        <w:pStyle w:val="25"/>
        <w:ind w:left="0" w:firstLine="0"/>
        <w:rPr>
          <w:rFonts w:hint="eastAsia" w:ascii="仿宋" w:hAnsi="仿宋" w:eastAsia="仿宋" w:cs="仿宋"/>
          <w:b/>
          <w:bCs/>
          <w:color w:val="auto"/>
          <w:sz w:val="52"/>
          <w:szCs w:val="72"/>
          <w:highlight w:val="none"/>
        </w:rPr>
      </w:pPr>
    </w:p>
    <w:p>
      <w:pPr>
        <w:rPr>
          <w:rFonts w:hint="eastAsia"/>
          <w:highlight w:val="none"/>
        </w:rPr>
      </w:pPr>
    </w:p>
    <w:p>
      <w:pPr>
        <w:pStyle w:val="14"/>
        <w:rPr>
          <w:rFonts w:hint="eastAsia" w:ascii="仿宋" w:hAnsi="仿宋" w:eastAsia="仿宋" w:cs="仿宋"/>
          <w:highlight w:val="none"/>
        </w:rPr>
      </w:pPr>
    </w:p>
    <w:p>
      <w:pPr>
        <w:rPr>
          <w:rFonts w:hint="eastAsia" w:ascii="仿宋" w:hAnsi="仿宋" w:eastAsia="仿宋" w:cs="仿宋"/>
          <w:highlight w:val="none"/>
        </w:rPr>
      </w:pPr>
    </w:p>
    <w:p>
      <w:pPr>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竞争性磋商文件</w:t>
      </w:r>
    </w:p>
    <w:p>
      <w:pPr>
        <w:spacing w:line="480" w:lineRule="auto"/>
        <w:ind w:left="1680" w:firstLine="42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中牟磋商采购-2024-2</w:t>
      </w:r>
    </w:p>
    <w:p>
      <w:pPr>
        <w:spacing w:line="480" w:lineRule="auto"/>
        <w:ind w:left="1680" w:firstLine="420"/>
        <w:rPr>
          <w:rFonts w:hint="eastAsia" w:ascii="仿宋" w:hAnsi="仿宋" w:eastAsia="仿宋" w:cs="仿宋"/>
          <w:b/>
          <w:color w:val="auto"/>
          <w:sz w:val="24"/>
          <w:highlight w:val="none"/>
          <w:lang w:val="en-US" w:eastAsia="zh-CN"/>
        </w:rPr>
      </w:pPr>
      <w:r>
        <w:rPr>
          <w:rFonts w:hint="eastAsia" w:ascii="仿宋" w:hAnsi="仿宋" w:eastAsia="仿宋" w:cs="仿宋"/>
          <w:b/>
          <w:color w:val="auto"/>
          <w:sz w:val="28"/>
          <w:szCs w:val="28"/>
          <w:highlight w:val="none"/>
        </w:rPr>
        <w:t>交易中心进场编号：牟公资采</w:t>
      </w:r>
      <w:r>
        <w:rPr>
          <w:rFonts w:hint="eastAsia" w:ascii="仿宋" w:hAnsi="仿宋" w:eastAsia="仿宋" w:cs="仿宋"/>
          <w:b/>
          <w:color w:val="auto"/>
          <w:sz w:val="28"/>
          <w:szCs w:val="28"/>
          <w:highlight w:val="none"/>
          <w:lang w:val="en-US" w:eastAsia="zh-CN"/>
        </w:rPr>
        <w:t>2024</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0109-001</w:t>
      </w:r>
    </w:p>
    <w:p>
      <w:pPr>
        <w:pStyle w:val="17"/>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17"/>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3"/>
        <w:rPr>
          <w:rFonts w:hint="eastAsia" w:ascii="仿宋" w:hAnsi="仿宋" w:eastAsia="仿宋" w:cs="仿宋"/>
          <w:highlight w:val="none"/>
        </w:rPr>
      </w:pPr>
    </w:p>
    <w:p>
      <w:pPr>
        <w:pStyle w:val="24"/>
        <w:rPr>
          <w:rFonts w:hint="eastAsia"/>
          <w:highlight w:val="none"/>
        </w:rPr>
      </w:pPr>
    </w:p>
    <w:p>
      <w:pPr>
        <w:pStyle w:val="24"/>
        <w:rPr>
          <w:rFonts w:hint="eastAsia" w:ascii="仿宋" w:hAnsi="仿宋" w:eastAsia="仿宋" w:cs="仿宋"/>
          <w:highlight w:val="none"/>
        </w:rPr>
      </w:pPr>
    </w:p>
    <w:p>
      <w:pPr>
        <w:pStyle w:val="25"/>
        <w:jc w:val="both"/>
        <w:rPr>
          <w:rFonts w:hint="eastAsia" w:ascii="仿宋" w:hAnsi="仿宋" w:eastAsia="仿宋" w:cs="仿宋"/>
          <w:b/>
          <w:color w:val="auto"/>
          <w:sz w:val="32"/>
          <w:szCs w:val="32"/>
          <w:highlight w:val="none"/>
        </w:rPr>
      </w:pPr>
    </w:p>
    <w:p>
      <w:pPr>
        <w:pStyle w:val="25"/>
        <w:jc w:val="both"/>
        <w:rPr>
          <w:rFonts w:hint="eastAsia" w:ascii="仿宋" w:hAnsi="仿宋" w:eastAsia="仿宋" w:cs="仿宋"/>
          <w:b/>
          <w:color w:val="auto"/>
          <w:sz w:val="32"/>
          <w:szCs w:val="32"/>
          <w:highlight w:val="none"/>
        </w:rPr>
      </w:pPr>
    </w:p>
    <w:p>
      <w:pPr>
        <w:pStyle w:val="25"/>
        <w:ind w:left="0" w:firstLine="0"/>
        <w:jc w:val="both"/>
        <w:rPr>
          <w:rFonts w:hint="eastAsia" w:ascii="仿宋" w:hAnsi="仿宋" w:eastAsia="仿宋" w:cs="仿宋"/>
          <w:b/>
          <w:color w:val="auto"/>
          <w:sz w:val="32"/>
          <w:szCs w:val="32"/>
          <w:highlight w:val="none"/>
        </w:rPr>
      </w:pPr>
    </w:p>
    <w:p>
      <w:pPr>
        <w:spacing w:line="360" w:lineRule="auto"/>
        <w:ind w:firstLine="1606" w:firstLineChars="500"/>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采 购 人：中牟县自然资源和规划局</w:t>
      </w:r>
    </w:p>
    <w:p>
      <w:pPr>
        <w:spacing w:line="360" w:lineRule="auto"/>
        <w:ind w:firstLine="1606" w:firstLineChars="5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代理机构：河南达信工程管理有限公司 </w:t>
      </w:r>
    </w:p>
    <w:p>
      <w:pPr>
        <w:spacing w:line="360" w:lineRule="auto"/>
        <w:ind w:firstLine="1606" w:firstLineChars="500"/>
        <w:rPr>
          <w:rFonts w:hint="eastAsia" w:ascii="仿宋" w:hAnsi="仿宋" w:eastAsia="仿宋" w:cs="仿宋"/>
          <w:b/>
          <w:color w:val="auto"/>
          <w:kern w:val="1"/>
          <w:sz w:val="32"/>
          <w:szCs w:val="36"/>
          <w:highlight w:val="none"/>
        </w:rPr>
      </w:pPr>
      <w:r>
        <w:rPr>
          <w:rFonts w:hint="eastAsia" w:ascii="仿宋" w:hAnsi="仿宋" w:eastAsia="仿宋" w:cs="仿宋"/>
          <w:b/>
          <w:color w:val="auto"/>
          <w:sz w:val="32"/>
          <w:szCs w:val="32"/>
          <w:highlight w:val="none"/>
        </w:rPr>
        <w:t>日    期：二零二</w:t>
      </w:r>
      <w:r>
        <w:rPr>
          <w:rFonts w:hint="eastAsia" w:ascii="仿宋" w:hAnsi="仿宋" w:eastAsia="仿宋" w:cs="仿宋"/>
          <w:b/>
          <w:color w:val="auto"/>
          <w:sz w:val="32"/>
          <w:szCs w:val="32"/>
          <w:highlight w:val="none"/>
          <w:lang w:val="en-US" w:eastAsia="zh-CN"/>
        </w:rPr>
        <w:t>四</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sz w:val="30"/>
          <w:szCs w:val="30"/>
          <w:highlight w:val="none"/>
        </w:rPr>
        <w:sectPr>
          <w:footerReference r:id="rId3" w:type="default"/>
          <w:pgSz w:w="11907" w:h="16839"/>
          <w:pgMar w:top="1440" w:right="1080" w:bottom="1440" w:left="1080" w:header="0" w:footer="469" w:gutter="0"/>
          <w:pgBorders>
            <w:top w:val="none" w:sz="0" w:space="0"/>
            <w:left w:val="none" w:sz="0" w:space="0"/>
            <w:bottom w:val="none" w:sz="0" w:space="0"/>
            <w:right w:val="none" w:sz="0" w:space="0"/>
          </w:pgBorders>
          <w:cols w:space="720" w:num="1"/>
        </w:sectPr>
      </w:pPr>
    </w:p>
    <w:sdt>
      <w:sdtPr>
        <w:rPr>
          <w:rFonts w:hint="default" w:ascii="仿宋" w:hAnsi="仿宋" w:eastAsia="仿宋" w:cs="仿宋"/>
          <w:b/>
          <w:bCs/>
          <w:color w:val="000000"/>
          <w:sz w:val="44"/>
          <w:szCs w:val="44"/>
          <w:highlight w:val="none"/>
          <w:lang w:val="en-US" w:eastAsia="zh-CN" w:bidi="ar-SA"/>
        </w:rPr>
        <w:id w:val="147469313"/>
        <w15:color w:val="DBDBDB"/>
        <w:docPartObj>
          <w:docPartGallery w:val="Table of Contents"/>
          <w:docPartUnique/>
        </w:docPartObj>
      </w:sdtPr>
      <w:sdtEndPr>
        <w:rPr>
          <w:rFonts w:hint="eastAsia" w:ascii="仿宋" w:hAnsi="仿宋" w:eastAsia="仿宋" w:cs="仿宋"/>
          <w:b/>
          <w:bCs/>
          <w:color w:val="000000"/>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44"/>
              <w:szCs w:val="44"/>
              <w:highlight w:val="none"/>
            </w:rPr>
          </w:pPr>
          <w:r>
            <w:rPr>
              <w:rFonts w:hint="eastAsia" w:ascii="仿宋" w:hAnsi="仿宋" w:eastAsia="仿宋" w:cs="仿宋"/>
              <w:b/>
              <w:bCs/>
              <w:color w:val="000000"/>
              <w:sz w:val="44"/>
              <w:szCs w:val="44"/>
              <w:highlight w:val="none"/>
              <w:lang w:val="en-US" w:eastAsia="zh-CN" w:bidi="ar-SA"/>
            </w:rPr>
            <w:t>目</w:t>
          </w:r>
          <w:r>
            <w:rPr>
              <w:rFonts w:hint="eastAsia" w:ascii="仿宋" w:hAnsi="仿宋" w:eastAsia="仿宋" w:cs="仿宋"/>
              <w:b/>
              <w:bCs/>
              <w:sz w:val="44"/>
              <w:szCs w:val="44"/>
              <w:highlight w:val="none"/>
              <w:lang w:val="en-US" w:eastAsia="zh-CN"/>
            </w:rPr>
            <w:t xml:space="preserve">  </w:t>
          </w:r>
          <w:r>
            <w:rPr>
              <w:rFonts w:hint="eastAsia" w:ascii="仿宋" w:hAnsi="仿宋" w:eastAsia="仿宋" w:cs="仿宋"/>
              <w:b/>
              <w:bCs/>
              <w:sz w:val="44"/>
              <w:szCs w:val="44"/>
              <w:highlight w:val="none"/>
            </w:rPr>
            <w:t>录</w:t>
          </w:r>
        </w:p>
        <w:p>
          <w:pPr>
            <w:pStyle w:val="12"/>
            <w:keepNext w:val="0"/>
            <w:keepLines w:val="0"/>
            <w:pageBreakBefore w:val="0"/>
            <w:widowControl w:val="0"/>
            <w:tabs>
              <w:tab w:val="right" w:leader="dot" w:pos="9188"/>
              <w:tab w:val="clear" w:pos="906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_Toc30390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xml:space="preserve">第一章 </w:t>
          </w:r>
          <w:r>
            <w:rPr>
              <w:rFonts w:hint="eastAsia" w:ascii="仿宋" w:hAnsi="仿宋" w:eastAsia="仿宋" w:cs="仿宋"/>
              <w:sz w:val="24"/>
              <w:szCs w:val="24"/>
              <w:highlight w:val="none"/>
              <w:lang w:val="en-US" w:eastAsia="zh-CN"/>
            </w:rPr>
            <w:t>竞争性磋商</w:t>
          </w:r>
          <w:r>
            <w:rPr>
              <w:rFonts w:hint="eastAsia" w:ascii="仿宋" w:hAnsi="仿宋" w:eastAsia="仿宋" w:cs="仿宋"/>
              <w:sz w:val="24"/>
              <w:szCs w:val="24"/>
              <w:highlight w:val="none"/>
            </w:rPr>
            <w:t>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_Toc30390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2"/>
            <w:keepNext w:val="0"/>
            <w:keepLines w:val="0"/>
            <w:pageBreakBefore w:val="0"/>
            <w:widowControl w:val="0"/>
            <w:tabs>
              <w:tab w:val="right" w:leader="dot" w:pos="9188"/>
              <w:tab w:val="clear" w:pos="906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_Toc32071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第二章 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_Toc32071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2"/>
            <w:keepNext w:val="0"/>
            <w:keepLines w:val="0"/>
            <w:pageBreakBefore w:val="0"/>
            <w:widowControl w:val="0"/>
            <w:tabs>
              <w:tab w:val="right" w:leader="dot" w:pos="9188"/>
              <w:tab w:val="clear" w:pos="906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_Toc8338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 xml:space="preserve">第三章 </w:t>
          </w:r>
          <w:r>
            <w:rPr>
              <w:rFonts w:hint="eastAsia" w:ascii="仿宋" w:hAnsi="仿宋" w:eastAsia="仿宋" w:cs="仿宋"/>
              <w:sz w:val="24"/>
              <w:szCs w:val="24"/>
              <w:highlight w:val="none"/>
            </w:rPr>
            <w:t>磋商办法（综合评分法）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_Toc8338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2"/>
            <w:keepNext w:val="0"/>
            <w:keepLines w:val="0"/>
            <w:pageBreakBefore w:val="0"/>
            <w:widowControl w:val="0"/>
            <w:tabs>
              <w:tab w:val="right" w:leader="dot" w:pos="9188"/>
              <w:tab w:val="clear" w:pos="906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_Toc14814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第四章 采购需求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_Toc14814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2"/>
            <w:keepNext w:val="0"/>
            <w:keepLines w:val="0"/>
            <w:pageBreakBefore w:val="0"/>
            <w:widowControl w:val="0"/>
            <w:tabs>
              <w:tab w:val="right" w:leader="dot" w:pos="9188"/>
              <w:tab w:val="clear" w:pos="906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_Toc18227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第五章 合同主要条款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_Toc18227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2"/>
            <w:keepNext w:val="0"/>
            <w:keepLines w:val="0"/>
            <w:pageBreakBefore w:val="0"/>
            <w:widowControl w:val="0"/>
            <w:tabs>
              <w:tab w:val="right" w:leader="dot" w:pos="9188"/>
              <w:tab w:val="clear" w:pos="9061"/>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_Toc9526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第六章 竞争性磋商响应文件格式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_Toc9526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keepNext w:val="0"/>
            <w:keepLines w:val="0"/>
            <w:pageBreakBefore w:val="0"/>
            <w:widowControl w:val="0"/>
            <w:tabs>
              <w:tab w:val="right" w:leader="dot" w:pos="9188"/>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_Toc15001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一、磋商函及磋商函附录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_Toc15001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keepNext w:val="0"/>
            <w:keepLines w:val="0"/>
            <w:pageBreakBefore w:val="0"/>
            <w:widowControl w:val="0"/>
            <w:tabs>
              <w:tab w:val="right" w:leader="dot" w:pos="9188"/>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_Toc14709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_Toc14709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keepNext w:val="0"/>
            <w:keepLines w:val="0"/>
            <w:pageBreakBefore w:val="0"/>
            <w:widowControl w:val="0"/>
            <w:tabs>
              <w:tab w:val="right" w:leader="dot" w:pos="9188"/>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_Toc3547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三、授权委托书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_Toc3547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keepNext w:val="0"/>
            <w:keepLines w:val="0"/>
            <w:pageBreakBefore w:val="0"/>
            <w:widowControl w:val="0"/>
            <w:tabs>
              <w:tab w:val="right" w:leader="dot" w:pos="9188"/>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_Toc15197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w:t>
          </w:r>
          <w:r>
            <w:rPr>
              <w:rFonts w:hint="eastAsia" w:ascii="仿宋" w:hAnsi="仿宋" w:eastAsia="仿宋" w:cs="仿宋"/>
              <w:highlight w:val="none"/>
            </w:rPr>
            <w:t>供应商基本情况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_Toc15197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keepNext w:val="0"/>
            <w:keepLines w:val="0"/>
            <w:pageBreakBefore w:val="0"/>
            <w:widowControl w:val="0"/>
            <w:tabs>
              <w:tab w:val="right" w:leader="dot" w:pos="9188"/>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_Toc19849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五、技术部分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_Toc19849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keepNext w:val="0"/>
            <w:keepLines w:val="0"/>
            <w:pageBreakBefore w:val="0"/>
            <w:widowControl w:val="0"/>
            <w:tabs>
              <w:tab w:val="right" w:leader="dot" w:pos="9188"/>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_Toc2580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六、商务部分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_Toc2580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keepNext w:val="0"/>
            <w:keepLines w:val="0"/>
            <w:pageBreakBefore w:val="0"/>
            <w:widowControl w:val="0"/>
            <w:tabs>
              <w:tab w:val="right" w:leader="dot" w:pos="9188"/>
            </w:tabs>
            <w:kinsoku/>
            <w:wordWrap/>
            <w:overflowPunct/>
            <w:topLinePunct w:val="0"/>
            <w:autoSpaceDE/>
            <w:autoSpaceDN/>
            <w:bidi w:val="0"/>
            <w:adjustRightInd/>
            <w:snapToGrid/>
            <w:spacing w:line="360" w:lineRule="auto"/>
            <w:textAlignment w:val="auto"/>
            <w:rPr>
              <w:rFonts w:hint="eastAsia" w:ascii="仿宋" w:hAnsi="仿宋" w:eastAsia="仿宋" w:cs="仿宋"/>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_Toc16011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七、</w:t>
          </w:r>
          <w:r>
            <w:rPr>
              <w:rFonts w:hint="eastAsia" w:ascii="仿宋" w:hAnsi="仿宋" w:eastAsia="仿宋" w:cs="仿宋"/>
              <w:sz w:val="24"/>
              <w:szCs w:val="24"/>
              <w:highlight w:val="none"/>
              <w:lang w:val="en-US" w:eastAsia="zh-CN"/>
            </w:rPr>
            <w:t>供应商认为需提供的反映其实力的其他材料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_Toc16011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sdtContent>
    </w:sdt>
    <w:p>
      <w:pPr>
        <w:rPr>
          <w:rFonts w:hint="eastAsia" w:ascii="仿宋" w:hAnsi="仿宋" w:eastAsia="仿宋" w:cs="仿宋"/>
          <w:highlight w:val="none"/>
        </w:rPr>
      </w:pPr>
      <w:r>
        <w:rPr>
          <w:rFonts w:hint="eastAsia" w:ascii="仿宋" w:hAnsi="仿宋" w:eastAsia="仿宋" w:cs="仿宋"/>
          <w:highlight w:val="none"/>
        </w:rPr>
        <w:br w:type="page"/>
      </w:r>
    </w:p>
    <w:p>
      <w:pPr>
        <w:pStyle w:val="3"/>
        <w:numPr>
          <w:ilvl w:val="0"/>
          <w:numId w:val="3"/>
        </w:numPr>
        <w:spacing w:line="360" w:lineRule="auto"/>
        <w:rPr>
          <w:rFonts w:hint="eastAsia" w:ascii="仿宋" w:hAnsi="仿宋" w:eastAsia="仿宋" w:cs="仿宋"/>
          <w:highlight w:val="none"/>
        </w:rPr>
      </w:pPr>
      <w:bookmarkStart w:id="0" w:name="_Toc30390"/>
      <w:bookmarkStart w:id="1" w:name="_Toc30530"/>
      <w:bookmarkStart w:id="2" w:name="_Toc31833"/>
      <w:r>
        <w:rPr>
          <w:rFonts w:hint="eastAsia" w:ascii="仿宋" w:hAnsi="仿宋" w:eastAsia="仿宋" w:cs="仿宋"/>
          <w:highlight w:val="none"/>
          <w:lang w:val="en-US" w:eastAsia="zh-CN"/>
        </w:rPr>
        <w:t>竞争性磋商</w:t>
      </w:r>
      <w:r>
        <w:rPr>
          <w:rFonts w:hint="eastAsia" w:ascii="仿宋" w:hAnsi="仿宋" w:eastAsia="仿宋" w:cs="仿宋"/>
          <w:highlight w:val="none"/>
        </w:rPr>
        <w:t>公告</w:t>
      </w:r>
      <w:bookmarkEnd w:id="0"/>
      <w:bookmarkEnd w:id="1"/>
      <w:bookmarkEnd w:id="2"/>
    </w:p>
    <w:p>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中牟县自然资源和规划局建设项目服务费</w:t>
      </w:r>
      <w:r>
        <w:rPr>
          <w:rFonts w:hint="eastAsia" w:ascii="仿宋" w:hAnsi="仿宋" w:eastAsia="仿宋" w:cs="仿宋"/>
          <w:b/>
          <w:bCs/>
          <w:color w:val="auto"/>
          <w:sz w:val="32"/>
          <w:szCs w:val="32"/>
          <w:highlight w:val="none"/>
          <w:lang w:val="en-US" w:eastAsia="zh-CN"/>
        </w:rPr>
        <w:t>项目-竞争性磋商</w:t>
      </w:r>
      <w:r>
        <w:rPr>
          <w:rFonts w:hint="eastAsia" w:ascii="仿宋" w:hAnsi="仿宋" w:eastAsia="仿宋" w:cs="仿宋"/>
          <w:b/>
          <w:bCs/>
          <w:color w:val="auto"/>
          <w:sz w:val="32"/>
          <w:szCs w:val="32"/>
          <w:highlight w:val="none"/>
        </w:rPr>
        <w:t>公告</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牟县自然资源和规划局建设项目服务费项目招标项目的潜在投标人应在供应商凭企业CA数字证书登录中牟县公共资源交易中心网站（http://www.zmxggzy.com/），点击“交易主体登陆”自行下载所含格式（.ZMZF格式）的本项目的采购文件。获取招标文件，并于2024年</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日09时00分（北京时间）前递交响应文件。</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bookmarkStart w:id="3" w:name="_Toc12518"/>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中牟磋商采购-2024-2</w:t>
      </w:r>
      <w:r>
        <w:rPr>
          <w:rFonts w:hint="eastAsia" w:ascii="仿宋" w:hAnsi="仿宋" w:eastAsia="仿宋" w:cs="仿宋"/>
          <w:color w:val="auto"/>
          <w:sz w:val="24"/>
          <w:szCs w:val="24"/>
          <w:highlight w:val="none"/>
        </w:rPr>
        <w:t>，交易中心进场编号：牟公资采</w:t>
      </w:r>
      <w:r>
        <w:rPr>
          <w:rFonts w:hint="eastAsia" w:ascii="仿宋" w:hAnsi="仿宋" w:eastAsia="仿宋" w:cs="仿宋"/>
          <w:color w:val="auto"/>
          <w:sz w:val="24"/>
          <w:szCs w:val="24"/>
          <w:highlight w:val="none"/>
          <w:lang w:val="en-US" w:eastAsia="zh-CN"/>
        </w:rPr>
        <w:t>2024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0109-001</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2、项目名称：中牟县自然资源和规划局建设项目服务费</w:t>
      </w:r>
      <w:r>
        <w:rPr>
          <w:rFonts w:hint="eastAsia" w:ascii="仿宋" w:hAnsi="仿宋" w:eastAsia="仿宋" w:cs="仿宋"/>
          <w:color w:val="auto"/>
          <w:sz w:val="24"/>
          <w:szCs w:val="24"/>
          <w:highlight w:val="none"/>
          <w:lang w:val="en-US" w:eastAsia="zh-CN"/>
        </w:rPr>
        <w:t>项目</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3、采购方式：</w:t>
      </w:r>
      <w:r>
        <w:rPr>
          <w:rFonts w:hint="eastAsia" w:ascii="仿宋" w:hAnsi="仿宋" w:eastAsia="仿宋" w:cs="仿宋"/>
          <w:color w:val="auto"/>
          <w:sz w:val="24"/>
          <w:szCs w:val="24"/>
          <w:highlight w:val="none"/>
          <w:lang w:val="en-US" w:eastAsia="zh-CN"/>
        </w:rPr>
        <w:t>竞争性磋商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4、预算金额：</w:t>
      </w:r>
      <w:r>
        <w:rPr>
          <w:rFonts w:hint="eastAsia" w:ascii="仿宋" w:hAnsi="仿宋" w:eastAsia="仿宋" w:cs="仿宋"/>
          <w:color w:val="auto"/>
          <w:sz w:val="24"/>
          <w:szCs w:val="24"/>
          <w:highlight w:val="none"/>
          <w:lang w:val="en-US" w:eastAsia="zh-CN"/>
        </w:rPr>
        <w:t>1000000</w:t>
      </w:r>
      <w:r>
        <w:rPr>
          <w:rFonts w:hint="eastAsia" w:ascii="仿宋" w:hAnsi="仿宋" w:eastAsia="仿宋" w:cs="仿宋"/>
          <w:color w:val="auto"/>
          <w:sz w:val="24"/>
          <w:szCs w:val="24"/>
          <w:highlight w:val="none"/>
        </w:rPr>
        <w:t>.00元</w:t>
      </w:r>
    </w:p>
    <w:p>
      <w:pPr>
        <w:spacing w:line="360" w:lineRule="auto"/>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1000000</w:t>
      </w:r>
      <w:r>
        <w:rPr>
          <w:rFonts w:hint="eastAsia" w:ascii="仿宋" w:hAnsi="仿宋" w:eastAsia="仿宋" w:cs="仿宋"/>
          <w:color w:val="auto"/>
          <w:sz w:val="24"/>
          <w:szCs w:val="24"/>
          <w:highlight w:val="none"/>
        </w:rPr>
        <w:t>.00元</w:t>
      </w:r>
    </w:p>
    <w:tbl>
      <w:tblPr>
        <w:tblStyle w:val="19"/>
        <w:tblW w:w="9058" w:type="dxa"/>
        <w:tblInd w:w="1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97"/>
        <w:gridCol w:w="1582"/>
        <w:gridCol w:w="3690"/>
        <w:gridCol w:w="1441"/>
        <w:gridCol w:w="17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9" w:hRule="atLeast"/>
        </w:trPr>
        <w:tc>
          <w:tcPr>
            <w:tcW w:w="597"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82"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包号</w:t>
            </w:r>
          </w:p>
        </w:tc>
        <w:tc>
          <w:tcPr>
            <w:tcW w:w="3690"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包名称</w:t>
            </w:r>
          </w:p>
        </w:tc>
        <w:tc>
          <w:tcPr>
            <w:tcW w:w="144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包预算(元)</w:t>
            </w:r>
          </w:p>
        </w:tc>
        <w:tc>
          <w:tcPr>
            <w:tcW w:w="1748"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52" w:hRule="atLeast"/>
        </w:trPr>
        <w:tc>
          <w:tcPr>
            <w:tcW w:w="597"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82"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中牟磋商采购-2024-2-1</w:t>
            </w:r>
          </w:p>
        </w:tc>
        <w:tc>
          <w:tcPr>
            <w:tcW w:w="3690"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中牟县自然资源和规划局建设项目服务费</w:t>
            </w:r>
            <w:r>
              <w:rPr>
                <w:rFonts w:hint="eastAsia" w:ascii="仿宋" w:hAnsi="仿宋" w:eastAsia="仿宋" w:cs="仿宋"/>
                <w:color w:val="auto"/>
                <w:sz w:val="24"/>
                <w:szCs w:val="24"/>
                <w:highlight w:val="none"/>
                <w:lang w:val="en-US" w:eastAsia="zh-CN"/>
              </w:rPr>
              <w:t>项目</w:t>
            </w:r>
          </w:p>
        </w:tc>
        <w:tc>
          <w:tcPr>
            <w:tcW w:w="144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1000000.00</w:t>
            </w:r>
          </w:p>
        </w:tc>
        <w:tc>
          <w:tcPr>
            <w:tcW w:w="1748"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1000000.00</w:t>
            </w:r>
          </w:p>
        </w:tc>
      </w:tr>
    </w:tbl>
    <w:p>
      <w:pPr>
        <w:pStyle w:val="17"/>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5、采购需求（包括但不限于标的的名称、数量、简要技术需求或服务要求等）</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（1）采购内容：中牟县自然资源和规划局建设项目服务费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详见磋商文件“采购需求”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tabs>
          <w:tab w:val="left" w:pos="210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（2）服务期限：</w:t>
      </w:r>
      <w:r>
        <w:rPr>
          <w:rFonts w:hint="eastAsia" w:ascii="仿宋" w:hAnsi="仿宋" w:eastAsia="仿宋" w:cs="仿宋"/>
          <w:color w:val="auto"/>
          <w:sz w:val="24"/>
          <w:szCs w:val="24"/>
          <w:highlight w:val="none"/>
          <w:lang w:val="en-US" w:eastAsia="zh-CN"/>
        </w:rPr>
        <w:t>一年</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（3）质量要求：成果必须满足相关技术规范要求，质量合格；</w:t>
      </w:r>
    </w:p>
    <w:p>
      <w:pPr>
        <w:pStyle w:val="17"/>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（4）标段划分：本项目共划分为1个标段；</w:t>
      </w:r>
    </w:p>
    <w:p>
      <w:pPr>
        <w:pStyle w:val="17"/>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6、合同履行期限：同服务期限</w:t>
      </w:r>
    </w:p>
    <w:p>
      <w:pPr>
        <w:pStyle w:val="17"/>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7、本项目是否接受联合体投标：否</w:t>
      </w:r>
    </w:p>
    <w:p>
      <w:pPr>
        <w:pStyle w:val="17"/>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8、是否接受进口产品：否</w:t>
      </w:r>
    </w:p>
    <w:p>
      <w:pPr>
        <w:pStyle w:val="17"/>
        <w:spacing w:after="0"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9、是否专门面向中小企业：</w:t>
      </w:r>
      <w:r>
        <w:rPr>
          <w:rFonts w:hint="eastAsia" w:ascii="仿宋" w:hAnsi="仿宋" w:eastAsia="仿宋" w:cs="仿宋"/>
          <w:color w:val="auto"/>
          <w:sz w:val="24"/>
          <w:szCs w:val="24"/>
          <w:highlight w:val="none"/>
          <w:lang w:val="en-US" w:eastAsia="zh-CN"/>
        </w:rPr>
        <w:t>否</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二、申请人资格要求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1、满足《中华人民共和国政府采购法》第二十二条规定；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2、落实政府采购政策满足的资格要求：本项目落实政府采购促进中小企业发展（监狱企业、残疾人福利性企业视同小微企业）等相关政府采购政策。</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投标人需具有独立法人资格，具备有效期范围内的营业执照；</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w:t>
      </w:r>
      <w:r>
        <w:rPr>
          <w:rFonts w:hint="eastAsia" w:ascii="仿宋" w:hAnsi="仿宋" w:eastAsia="仿宋" w:cs="仿宋"/>
          <w:color w:val="auto"/>
          <w:sz w:val="24"/>
          <w:szCs w:val="24"/>
          <w:highlight w:val="none"/>
          <w:lang w:eastAsia="zh-CN"/>
        </w:rPr>
        <w:t>须具有国家测绘地理信息局颁发的测绘</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级</w:t>
      </w:r>
      <w:r>
        <w:rPr>
          <w:rFonts w:hint="eastAsia" w:ascii="仿宋" w:hAnsi="仿宋" w:eastAsia="仿宋" w:cs="仿宋"/>
          <w:color w:val="auto"/>
          <w:sz w:val="24"/>
          <w:szCs w:val="24"/>
          <w:highlight w:val="none"/>
          <w:lang w:val="en-US" w:eastAsia="zh-CN"/>
        </w:rPr>
        <w:t>及以上</w:t>
      </w:r>
      <w:r>
        <w:rPr>
          <w:rFonts w:hint="eastAsia" w:ascii="仿宋" w:hAnsi="仿宋" w:eastAsia="仿宋" w:cs="仿宋"/>
          <w:color w:val="auto"/>
          <w:sz w:val="24"/>
          <w:szCs w:val="24"/>
          <w:highlight w:val="none"/>
          <w:lang w:eastAsia="zh-CN"/>
        </w:rPr>
        <w:t>资质</w:t>
      </w:r>
      <w:r>
        <w:rPr>
          <w:rFonts w:hint="eastAsia" w:ascii="仿宋" w:hAnsi="仿宋" w:eastAsia="仿宋" w:cs="仿宋"/>
          <w:color w:val="auto"/>
          <w:sz w:val="24"/>
          <w:szCs w:val="24"/>
          <w:highlight w:val="none"/>
        </w:rPr>
        <w:t>，拟派项目负责人具备测绘专业中级及以上工程师资格并具有劳动合同和本单位交纳的2023年1月1日以来任意</w:t>
      </w:r>
      <w:r>
        <w:rPr>
          <w:rFonts w:hint="eastAsia" w:ascii="仿宋" w:hAnsi="仿宋" w:eastAsia="仿宋" w:cs="仿宋"/>
          <w:color w:val="auto"/>
          <w:sz w:val="24"/>
          <w:szCs w:val="24"/>
          <w:highlight w:val="none"/>
          <w:lang w:eastAsia="zh-CN"/>
        </w:rPr>
        <w:t>两个月</w:t>
      </w:r>
      <w:r>
        <w:rPr>
          <w:rFonts w:hint="eastAsia" w:ascii="仿宋" w:hAnsi="仿宋" w:eastAsia="仿宋" w:cs="仿宋"/>
          <w:color w:val="auto"/>
          <w:sz w:val="24"/>
          <w:szCs w:val="24"/>
          <w:highlight w:val="none"/>
        </w:rPr>
        <w:t>以上养老保险证明。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（3）信誉要求：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根据《关于在政府采购活动中查询及使用信用记录有关问题的通知》(财库[2016]125号)的规定，通过“信用中国”网站（www.creditchina.com）查询：失信被执行人、重大税收违法案件当事人和政府采购不良行为记录（从信用服务栏进入查询企业）的企业，失信被执行人名单（从个人信用栏进入查询个人）的企业法定代表人及授权委托人；通过“中国政府采购网”（www.ccgp.com）查询企业“政府采购严重违法失信行为记录名单”有不良记录的， 拒绝参与本项目政府采购活动。（查询日期须在本公告发布日期当日或之后，网页打印（或打印预览）截图须加盖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②：单位负责人为同一人或者存在直接控股、管理关系的不同供应商，不得参加同一合同项下的政府采购活动（提供承诺函，格式自拟）；</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（4）本次招标不接受联合体投标，不允许转包。</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w:t>
      </w:r>
      <w:r>
        <w:rPr>
          <w:rFonts w:hint="eastAsia" w:ascii="仿宋" w:hAnsi="仿宋" w:eastAsia="仿宋" w:cs="仿宋"/>
          <w:b/>
          <w:bCs/>
          <w:color w:val="auto"/>
          <w:sz w:val="24"/>
          <w:szCs w:val="24"/>
          <w:highlight w:val="none"/>
          <w:lang w:val="en-US" w:eastAsia="zh-CN"/>
        </w:rPr>
        <w:t>采购</w:t>
      </w:r>
      <w:r>
        <w:rPr>
          <w:rFonts w:hint="eastAsia" w:ascii="仿宋" w:hAnsi="仿宋" w:eastAsia="仿宋" w:cs="仿宋"/>
          <w:b/>
          <w:bCs/>
          <w:color w:val="auto"/>
          <w:sz w:val="24"/>
          <w:szCs w:val="24"/>
          <w:highlight w:val="none"/>
        </w:rPr>
        <w:t>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 xml:space="preserve">日。每天上午08:30至12:00，下午12:00至17:30（北京时间，法定节假日除外。）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凭企业CA数字证书登录中牟县公共资源交易中心网站（http://www.zmxggzy.com/），点击“交易主体登陆”自行下载所含格式（.ZMZF格式）的本项目的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3.方式：凡有意参加投标者，需进入中牟县公共资源交易中心网站（http://www.zmxggzy.com），进行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供应商会员注册，（注册步骤详见办事指南-办事流程），完成后需到中牟县公共资源交易中心进行现场审核，现场审核需携带相关资料原件及加盖公章的复印件一套，审核通过后供应商需在中牟县房产交易大厦18楼办理CA锁，办理完毕携带CA锁到中牟县公共资源交易中心信息科（中牟县房产交易大厦18楼）审核激活，供应商通过CA锁登陆进行招标文件（含.ZMZF格式文件）等相关文件的下载，未按规定在网上下载招标文件的，其投标将被拒绝。</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4.售价：0元。</w:t>
      </w:r>
    </w:p>
    <w:p>
      <w:pPr>
        <w:spacing w:line="36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四、</w:t>
      </w:r>
      <w:r>
        <w:rPr>
          <w:rFonts w:hint="eastAsia" w:ascii="仿宋" w:hAnsi="仿宋" w:eastAsia="仿宋" w:cs="仿宋"/>
          <w:b/>
          <w:bCs/>
          <w:color w:val="auto"/>
          <w:sz w:val="24"/>
          <w:szCs w:val="24"/>
          <w:highlight w:val="none"/>
          <w:lang w:val="en-US" w:eastAsia="zh-CN"/>
        </w:rPr>
        <w:t>响应文件提交</w:t>
      </w:r>
    </w:p>
    <w:p>
      <w:pPr>
        <w:pStyle w:val="18"/>
        <w:spacing w:after="0"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分（北京时间）；</w:t>
      </w:r>
    </w:p>
    <w:p>
      <w:pPr>
        <w:pStyle w:val="18"/>
        <w:spacing w:after="0"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2.地点：中牟县公共资源交易中心（http://www.zmxggzy.com）电子交易平台；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文件递交截止时间前登录中牟县公共资源交易中心网站（http://www.zmxggzy.com）通过电子交易平台上传加密的电子</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文件，确保成功上传电子</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文件。加密电子</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文件逾期上传，</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不予受理。</w:t>
      </w:r>
    </w:p>
    <w:p>
      <w:pPr>
        <w:spacing w:line="360" w:lineRule="auto"/>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五、</w:t>
      </w:r>
      <w:r>
        <w:rPr>
          <w:rFonts w:hint="eastAsia" w:ascii="仿宋" w:hAnsi="仿宋" w:eastAsia="仿宋" w:cs="仿宋"/>
          <w:b/>
          <w:bCs/>
          <w:color w:val="auto"/>
          <w:sz w:val="24"/>
          <w:szCs w:val="24"/>
          <w:highlight w:val="none"/>
          <w:lang w:val="en-US" w:eastAsia="zh-CN"/>
        </w:rPr>
        <w:t>响应文件开启</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1.时间：202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分（北京时间）；</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2.地点：本项目采用“远程不见面”开标方式，</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无需到开标现场参与开标活动，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须在投标截止前进入远程开标大厅（http://www.zmxggzy.com/BidOpening）进行开标操作和投标文件的解密；在规定时间内投标文件未解密的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，视为放弃投标；具体操作流程及程序，请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查阅中牟县公共资源交易中心网站（http://www.zmxggzy.com）“下载中心”专区的“中牟不见面开标-操作手册”。</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六、发布公告的媒介及公告期限</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本次招标公告在《河南省政府采购网》、《中牟县政府采购网》、《中牟县公共资源交易中心网》、《中国招标投标公共服务平台》上发布，招标公告期限为五个工作日。</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七、其它补充事宜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1、本项目落实以下相关政府采购政策：</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(1)执行《财政部关于进一步加大政府采购支持中小企业力度的通知》财库〔2022〕19号，对小型和微型企业产品的价格给予20%的扣除，用扣除后的价格参与评审；</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(2)执行财政部、司法部《关于政府采购支持监狱企业发展有关问题的通知》(财 库〔2014〕68 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(3)执行财政部、民政部、中国残疾人联合会《关于促进残疾人就业政府采购政 策的通知》(财库〔2017〕141 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(4)执行财政部、发展改革委、生态环境部、市场监管总局《关于调整优化节能 产品、环境标志产品政府采购执行机制的通知》(财库〔2019〕9 号)；</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2、本项目所有供应商应提前 30 分钟登录“中牟县公共资源交易中心门户网站远程 开标大厅(</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"http://www.zmxggzy.com/BidOpening"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http://www.zmxggzy.com/BidOpening</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 )”进行远程开标准备工作。</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3、供应商登录“中牟县公共资源交易中心门户网站远程开标大厅”后，须先进行 签到， 其后应一直保持在线状态， 保证能准时参加开标大会、响应文件的解密、现场答 疑澄清等活动。(说明：相关驱动和电子投标工具请登录中牟县公共资源交易中心网站(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"http://www.zmxggzy.com"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http://www.zmxggzy.com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)“下载中心”栏目下载。供应商在制作电子标书过程中，如遇到电子交易系统的软件操作问题时，可通过热线电话(4009980000) 进行咨询。)</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、本项目监督单位：中牟县财政局</w:t>
      </w:r>
    </w:p>
    <w:p>
      <w:pPr>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八、凡对本次招标提出询问，请按照以下方式联系</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1.采购人信息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名称：中牟县自然资源和规划局</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地址：河南省郑州市中牟县商都大道368号</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马芳</w:t>
      </w:r>
    </w:p>
    <w:p>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15936271936</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名称：河南达信工程管理有限公司</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地址：河南省郑州市郑东新区如意湖街道商务内环路2号中油新澳大厦 13楼1305</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联系人：蔡</w:t>
      </w:r>
      <w:r>
        <w:rPr>
          <w:rFonts w:hint="eastAsia" w:ascii="仿宋" w:hAnsi="仿宋" w:eastAsia="仿宋" w:cs="仿宋"/>
          <w:color w:val="auto"/>
          <w:sz w:val="24"/>
          <w:szCs w:val="24"/>
          <w:highlight w:val="none"/>
          <w:lang w:val="en-US" w:eastAsia="zh-CN"/>
        </w:rPr>
        <w:t>海涛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联系方式：0371-61651888</w:t>
      </w:r>
    </w:p>
    <w:p>
      <w:pPr>
        <w:pStyle w:val="17"/>
        <w:spacing w:after="0" w:line="360" w:lineRule="auto"/>
        <w:ind w:firstLine="480" w:firstLineChars="200"/>
        <w:rPr>
          <w:rFonts w:hint="eastAsia" w:ascii="仿宋" w:hAnsi="仿宋" w:eastAsia="仿宋" w:cs="仿宋"/>
          <w:color w:val="auto"/>
          <w:kern w:val="2"/>
          <w:sz w:val="24"/>
          <w:szCs w:val="24"/>
          <w:highlight w:val="none"/>
        </w:rPr>
      </w:pPr>
    </w:p>
    <w:p>
      <w:pPr>
        <w:pStyle w:val="17"/>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3.项目联系方式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项目联系人：蔡</w:t>
      </w:r>
      <w:r>
        <w:rPr>
          <w:rFonts w:hint="eastAsia" w:ascii="仿宋" w:hAnsi="仿宋" w:eastAsia="仿宋" w:cs="仿宋"/>
          <w:color w:val="auto"/>
          <w:sz w:val="24"/>
          <w:szCs w:val="24"/>
          <w:highlight w:val="none"/>
          <w:lang w:val="en-US" w:eastAsia="zh-CN"/>
        </w:rPr>
        <w:t>海涛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联系方式：0371-61651888</w:t>
      </w:r>
    </w:p>
    <w:p>
      <w:pPr>
        <w:pStyle w:val="24"/>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bookmarkEnd w:id="3"/>
    <w:p>
      <w:pPr>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发布人：河南达信工程管理有限公司 </w:t>
      </w:r>
      <w:bookmarkStart w:id="4" w:name="_Toc11440"/>
      <w:bookmarkStart w:id="5" w:name="_Toc29662"/>
      <w:bookmarkStart w:id="6" w:name="_Toc21888"/>
    </w:p>
    <w:p>
      <w:pPr>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发布时间：</w:t>
      </w:r>
      <w:bookmarkEnd w:id="4"/>
      <w:bookmarkEnd w:id="5"/>
      <w:bookmarkEnd w:id="6"/>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w:t>
      </w:r>
    </w:p>
    <w:p>
      <w:pPr>
        <w:rPr>
          <w:rFonts w:hint="eastAsia" w:ascii="仿宋" w:hAnsi="仿宋" w:eastAsia="仿宋" w:cs="仿宋"/>
          <w:highlight w:val="none"/>
        </w:rPr>
      </w:pPr>
      <w:r>
        <w:rPr>
          <w:rFonts w:hint="eastAsia" w:ascii="仿宋" w:hAnsi="仿宋" w:eastAsia="仿宋" w:cs="仿宋"/>
          <w:highlight w:val="none"/>
        </w:rPr>
        <w:br w:type="page"/>
      </w:r>
    </w:p>
    <w:p>
      <w:pPr>
        <w:pStyle w:val="3"/>
        <w:keepNext/>
        <w:keepLines/>
        <w:pageBreakBefore w:val="0"/>
        <w:widowControl w:val="0"/>
        <w:kinsoku/>
        <w:wordWrap/>
        <w:overflowPunct/>
        <w:topLinePunct w:val="0"/>
        <w:autoSpaceDE/>
        <w:autoSpaceDN/>
        <w:bidi w:val="0"/>
        <w:snapToGrid/>
        <w:spacing w:line="240" w:lineRule="auto"/>
        <w:jc w:val="center"/>
        <w:rPr>
          <w:rFonts w:hint="eastAsia" w:ascii="仿宋" w:hAnsi="仿宋" w:eastAsia="仿宋" w:cs="仿宋"/>
          <w:highlight w:val="none"/>
        </w:rPr>
      </w:pPr>
      <w:bookmarkStart w:id="7" w:name="_Toc24419"/>
      <w:bookmarkStart w:id="8" w:name="_Toc32071"/>
      <w:r>
        <w:rPr>
          <w:rFonts w:hint="eastAsia" w:ascii="仿宋" w:hAnsi="仿宋" w:eastAsia="仿宋" w:cs="仿宋"/>
          <w:highlight w:val="none"/>
        </w:rPr>
        <w:t>第二章 供应商须知</w:t>
      </w:r>
      <w:bookmarkEnd w:id="7"/>
      <w:bookmarkEnd w:id="8"/>
    </w:p>
    <w:p>
      <w:pPr>
        <w:pStyle w:val="4"/>
        <w:keepNext/>
        <w:keepLines/>
        <w:pageBreakBefore w:val="0"/>
        <w:widowControl w:val="0"/>
        <w:numPr>
          <w:ilvl w:val="1"/>
          <w:numId w:val="0"/>
        </w:numPr>
        <w:kinsoku/>
        <w:wordWrap/>
        <w:overflowPunct/>
        <w:topLinePunct w:val="0"/>
        <w:autoSpaceDE/>
        <w:autoSpaceDN/>
        <w:bidi w:val="0"/>
        <w:snapToGrid/>
        <w:spacing w:line="240" w:lineRule="auto"/>
        <w:jc w:val="center"/>
        <w:rPr>
          <w:rFonts w:hint="eastAsia" w:ascii="仿宋" w:hAnsi="仿宋" w:eastAsia="仿宋" w:cs="仿宋"/>
          <w:highlight w:val="none"/>
        </w:rPr>
      </w:pPr>
      <w:bookmarkStart w:id="9" w:name="_Toc27594"/>
      <w:bookmarkStart w:id="10" w:name="_Toc9472"/>
      <w:r>
        <w:rPr>
          <w:rFonts w:hint="eastAsia" w:ascii="仿宋" w:hAnsi="仿宋" w:eastAsia="仿宋" w:cs="仿宋"/>
          <w:highlight w:val="none"/>
        </w:rPr>
        <w:t>供应商须知前附表</w:t>
      </w:r>
      <w:bookmarkEnd w:id="9"/>
      <w:bookmarkEnd w:id="10"/>
    </w:p>
    <w:p>
      <w:pPr>
        <w:spacing w:line="70" w:lineRule="exact"/>
        <w:rPr>
          <w:rFonts w:hint="eastAsia" w:ascii="仿宋" w:hAnsi="仿宋" w:eastAsia="仿宋" w:cs="仿宋"/>
          <w:highlight w:val="none"/>
        </w:rPr>
      </w:pPr>
    </w:p>
    <w:tbl>
      <w:tblPr>
        <w:tblStyle w:val="19"/>
        <w:tblW w:w="50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51"/>
        <w:gridCol w:w="2324"/>
        <w:gridCol w:w="6024"/>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566"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条款号</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条 款 名 称</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编</w:t>
            </w:r>
            <w:r>
              <w:rPr>
                <w:rFonts w:hint="eastAsia" w:ascii="仿宋" w:hAnsi="仿宋" w:eastAsia="仿宋" w:cs="仿宋"/>
                <w:b/>
                <w:bCs/>
                <w:sz w:val="21"/>
                <w:szCs w:val="21"/>
                <w:highlight w:val="none"/>
              </w:rPr>
              <w:tab/>
            </w:r>
            <w:r>
              <w:rPr>
                <w:rFonts w:hint="eastAsia" w:ascii="仿宋" w:hAnsi="仿宋" w:eastAsia="仿宋" w:cs="仿宋"/>
                <w:b/>
                <w:bCs/>
                <w:sz w:val="21"/>
                <w:szCs w:val="21"/>
                <w:highlight w:val="none"/>
              </w:rPr>
              <w:t>列</w:t>
            </w:r>
            <w:r>
              <w:rPr>
                <w:rFonts w:hint="eastAsia" w:ascii="仿宋" w:hAnsi="仿宋" w:eastAsia="仿宋" w:cs="仿宋"/>
                <w:b/>
                <w:bCs/>
                <w:sz w:val="21"/>
                <w:szCs w:val="21"/>
                <w:highlight w:val="none"/>
              </w:rPr>
              <w:tab/>
            </w:r>
            <w:r>
              <w:rPr>
                <w:rFonts w:hint="eastAsia" w:ascii="仿宋" w:hAnsi="仿宋" w:eastAsia="仿宋" w:cs="仿宋"/>
                <w:b/>
                <w:bCs/>
                <w:sz w:val="21"/>
                <w:szCs w:val="21"/>
                <w:highlight w:val="none"/>
              </w:rPr>
              <w:t>内</w:t>
            </w:r>
            <w:r>
              <w:rPr>
                <w:rFonts w:hint="eastAsia" w:ascii="仿宋" w:hAnsi="仿宋" w:eastAsia="仿宋" w:cs="仿宋"/>
                <w:b/>
                <w:bCs/>
                <w:sz w:val="21"/>
                <w:szCs w:val="21"/>
                <w:highlight w:val="none"/>
              </w:rPr>
              <w:tab/>
            </w:r>
            <w:r>
              <w:rPr>
                <w:rFonts w:hint="eastAsia" w:ascii="仿宋" w:hAnsi="仿宋" w:eastAsia="仿宋" w:cs="仿宋"/>
                <w:b/>
                <w:bCs/>
                <w:sz w:val="21"/>
                <w:szCs w:val="21"/>
                <w:highlight w:val="none"/>
              </w:rPr>
              <w:t>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1582"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采购人</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名称：中牟县自然资源和规划局</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地址：河南省郑州市中牟县商都大道368号</w:t>
            </w:r>
          </w:p>
          <w:p>
            <w:pPr>
              <w:bidi w:val="0"/>
              <w:spacing w:line="360" w:lineRule="auto"/>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联系人：</w:t>
            </w:r>
            <w:r>
              <w:rPr>
                <w:rFonts w:hint="eastAsia" w:ascii="仿宋" w:hAnsi="仿宋" w:eastAsia="仿宋" w:cs="仿宋"/>
                <w:sz w:val="21"/>
                <w:szCs w:val="21"/>
                <w:highlight w:val="none"/>
                <w:lang w:val="en-US" w:eastAsia="zh-CN"/>
              </w:rPr>
              <w:t>马芳</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联系方式：</w:t>
            </w:r>
            <w:r>
              <w:rPr>
                <w:rFonts w:hint="eastAsia" w:ascii="仿宋" w:hAnsi="仿宋" w:eastAsia="仿宋" w:cs="仿宋"/>
                <w:sz w:val="21"/>
                <w:szCs w:val="21"/>
                <w:highlight w:val="none"/>
                <w:lang w:val="en-US" w:eastAsia="zh-CN"/>
              </w:rPr>
              <w:t>15936271936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205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1.1.3</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采购代理机构</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名称：河南达信工程管理有限公司</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地址：河南省郑州市郑东新区如意湖街道商务内环路2号中油新澳大厦 13楼1305</w:t>
            </w:r>
          </w:p>
          <w:p>
            <w:pPr>
              <w:bidi w:val="0"/>
              <w:spacing w:line="360" w:lineRule="auto"/>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联系人：蔡</w:t>
            </w:r>
            <w:r>
              <w:rPr>
                <w:rFonts w:hint="eastAsia" w:ascii="仿宋" w:hAnsi="仿宋" w:eastAsia="仿宋" w:cs="仿宋"/>
                <w:sz w:val="21"/>
                <w:szCs w:val="21"/>
                <w:highlight w:val="none"/>
                <w:lang w:val="en-US" w:eastAsia="zh-CN"/>
              </w:rPr>
              <w:t>海涛</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联系方式：0371-61651888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597"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1.1.4</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中牟县自然资源和规划局建设项目服务费</w:t>
            </w:r>
            <w:r>
              <w:rPr>
                <w:rFonts w:hint="eastAsia" w:ascii="仿宋" w:hAnsi="仿宋" w:eastAsia="仿宋" w:cs="仿宋"/>
                <w:sz w:val="21"/>
                <w:szCs w:val="21"/>
                <w:highlight w:val="none"/>
                <w:lang w:val="en-US"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607"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1.1.5</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项目地点</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中牟县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626"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资金来源</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财政资金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586"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出资比例</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586"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1.2.3</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资金落实情况</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925"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采购</w:t>
            </w:r>
            <w:r>
              <w:rPr>
                <w:rFonts w:hint="eastAsia" w:ascii="仿宋" w:hAnsi="仿宋" w:eastAsia="仿宋" w:cs="仿宋"/>
                <w:sz w:val="21"/>
                <w:szCs w:val="21"/>
                <w:highlight w:val="none"/>
                <w:lang w:val="en-US" w:eastAsia="zh-CN"/>
              </w:rPr>
              <w:t>范围</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中牟县自然资源和规划局建设项目服务费</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详见磋商文件“采购需求”</w:t>
            </w:r>
            <w:r>
              <w:rPr>
                <w:rFonts w:hint="eastAsia" w:ascii="仿宋" w:hAnsi="仿宋" w:eastAsia="仿宋" w:cs="仿宋"/>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497"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1.3.2</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服务期限</w:t>
            </w:r>
          </w:p>
        </w:tc>
        <w:tc>
          <w:tcPr>
            <w:tcW w:w="66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一</w:t>
            </w:r>
            <w:r>
              <w:rPr>
                <w:rFonts w:hint="eastAsia" w:ascii="仿宋" w:hAnsi="仿宋" w:eastAsia="仿宋" w:cs="仿宋"/>
                <w:sz w:val="21"/>
                <w:szCs w:val="21"/>
                <w:highlight w:val="none"/>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447"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1.3.3</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质量要求</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成果必须满足相关技术规范要求，质量合格；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 w:type="pct"/>
          <w:trHeight w:val="90"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供应商资格要求</w:t>
            </w:r>
          </w:p>
        </w:tc>
        <w:tc>
          <w:tcPr>
            <w:tcW w:w="32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1、满足《中华人民共和国政府采购法》第二十二条规定； </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2、落实政府采购政策满足的资格要求：本项目落实政府采购促进中小企业发展（监狱企业、残疾人福利性企业视同小微企业）等相关政府采购政策。</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3、本项目的特定资格要求</w:t>
            </w:r>
          </w:p>
          <w:p>
            <w:pPr>
              <w:bidi w:val="0"/>
              <w:spacing w:line="360" w:lineRule="auto"/>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eastAsia="zh-CN"/>
              </w:rPr>
              <w:t>投标人需具有独立法人资格，具备有效期范围内的营业执照</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（2）供应商须具有国家测绘地理信息局颁发的测绘</w:t>
            </w:r>
            <w:r>
              <w:rPr>
                <w:rFonts w:hint="eastAsia" w:ascii="仿宋" w:hAnsi="仿宋" w:eastAsia="仿宋" w:cs="仿宋"/>
                <w:sz w:val="21"/>
                <w:szCs w:val="21"/>
                <w:highlight w:val="none"/>
                <w:lang w:val="en-US" w:eastAsia="zh-CN"/>
              </w:rPr>
              <w:t>乙</w:t>
            </w:r>
            <w:r>
              <w:rPr>
                <w:rFonts w:hint="eastAsia" w:ascii="仿宋" w:hAnsi="仿宋" w:eastAsia="仿宋" w:cs="仿宋"/>
                <w:sz w:val="21"/>
                <w:szCs w:val="21"/>
                <w:highlight w:val="none"/>
              </w:rPr>
              <w:t>级及以上资质，拟派项目负责人具备测绘专业中级及以上工程师资格并具有劳动合同和本单位交纳的2023年1月1日以来任意两个月以上养老保险证明。</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（3）信誉要求：</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①根据《关于在政府采购活动中查询及使用信用记录有关问题的通知》(财库[2016]125号)的规定，通过“信用中国”网站（www.creditchina.com）查询：失信被执行人、重大税收违法案件当事人和政府采购不良行为记录（从信用服务栏进入查询企业）的企业，失信被执行人名单（从个人信用栏进入查询个人）的企业法定代表人及授权委托人；通过“中国政府采购网”（www.ccgp.com）查询企业“政府采购严重违法失信行为记录名单”有不良记录的， 拒绝参与本项目政府采购活动。（查询日期须在本公告发布日期当日或之后，网页打印（或打印预览）截图须加盖</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公章）；</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②：单位负责人为同一人或者存在直接控股、管理关系的不同供应商，不得参加同一合同项下的政府采购活动（提供承诺函，格式自拟）；</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（4）本次招标不接受联合体投标，不允许转包。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1.4.2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是否接受联合体投标</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1.9.1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踏勘现场</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不组织，供应商自行踏勘。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1.10.1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投标预备会</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1.10.2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供应商提出异议的截止时间</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递交响应文件截止之日 5 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1.10.3</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采购人书面澄清的时间</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递交响应文件截止之日 5 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分包</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偏离</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构成磋商文件其他材料</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除磋商文件外，采购人在磋商期间发出的澄清、修改、补充、补遗和其 它有效正式函件等内容均是磋商文件的组成部分</w:t>
            </w:r>
            <w:r>
              <w:rPr>
                <w:rFonts w:hint="eastAsia" w:ascii="仿宋" w:hAnsi="仿宋" w:eastAsia="仿宋" w:cs="仿宋"/>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供应商要求澄清磋商文件的截止时间</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响应文件递交截止时间5天前。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投标截止时间</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202</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01</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25</w:t>
            </w:r>
            <w:r>
              <w:rPr>
                <w:rFonts w:hint="eastAsia" w:ascii="仿宋" w:hAnsi="仿宋" w:eastAsia="仿宋" w:cs="仿宋"/>
                <w:sz w:val="21"/>
                <w:szCs w:val="21"/>
                <w:highlight w:val="none"/>
              </w:rPr>
              <w:t>日</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时</w:t>
            </w:r>
            <w:r>
              <w:rPr>
                <w:rFonts w:hint="eastAsia" w:ascii="仿宋" w:hAnsi="仿宋" w:eastAsia="仿宋" w:cs="仿宋"/>
                <w:sz w:val="21"/>
                <w:szCs w:val="21"/>
                <w:highlight w:val="none"/>
                <w:lang w:val="en-US" w:eastAsia="zh-CN"/>
              </w:rPr>
              <w:t>00</w:t>
            </w:r>
            <w:r>
              <w:rPr>
                <w:rFonts w:hint="eastAsia" w:ascii="仿宋" w:hAnsi="仿宋" w:eastAsia="仿宋" w:cs="仿宋"/>
                <w:sz w:val="21"/>
                <w:szCs w:val="21"/>
                <w:highlight w:val="none"/>
              </w:rPr>
              <w:t>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1"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2.2.3</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供应商确认收到磋商文件澄清的时间</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所有澄清均通过“</w:t>
            </w:r>
            <w:r>
              <w:rPr>
                <w:rFonts w:hint="eastAsia" w:ascii="仿宋" w:hAnsi="仿宋" w:eastAsia="仿宋" w:cs="仿宋"/>
                <w:sz w:val="21"/>
                <w:szCs w:val="21"/>
                <w:highlight w:val="none"/>
                <w:lang w:val="en-US" w:eastAsia="zh-CN"/>
              </w:rPr>
              <w:t>中牟县</w:t>
            </w:r>
            <w:r>
              <w:rPr>
                <w:rFonts w:hint="eastAsia" w:ascii="仿宋" w:hAnsi="仿宋" w:eastAsia="仿宋" w:cs="仿宋"/>
                <w:sz w:val="21"/>
                <w:szCs w:val="21"/>
                <w:highlight w:val="none"/>
              </w:rPr>
              <w:t>公共资源交易中心”电子平台发布，一经发布即视为供应商已收到并确认，请各供应商及时关注本项目系统发出的通知，如有遗漏自行负责，采购人和采购代理机构不承担任何责任。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8"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2.3.2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供应商确认收到磋商文件修改的时间</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所有修改均通过“</w:t>
            </w:r>
            <w:r>
              <w:rPr>
                <w:rFonts w:hint="eastAsia" w:ascii="仿宋" w:hAnsi="仿宋" w:eastAsia="仿宋" w:cs="仿宋"/>
                <w:sz w:val="21"/>
                <w:szCs w:val="21"/>
                <w:highlight w:val="none"/>
                <w:lang w:val="en-US" w:eastAsia="zh-CN"/>
              </w:rPr>
              <w:t>中牟县</w:t>
            </w:r>
            <w:r>
              <w:rPr>
                <w:rFonts w:hint="eastAsia" w:ascii="仿宋" w:hAnsi="仿宋" w:eastAsia="仿宋" w:cs="仿宋"/>
                <w:sz w:val="21"/>
                <w:szCs w:val="21"/>
                <w:highlight w:val="none"/>
              </w:rPr>
              <w:t>公共资源交易中心”电子平台发布，一经发布即视为供应商已收到并确认，请各供应商及时关注本项目通过系统发出的通知，如有遗漏自行负责，采购人和采购代理机构不承担任何责任。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3.1.1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构成响应文件其他材料</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1、采购人发出的补充文件或变更资料（如有）。</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2、供应商认为需要提交的其他证明材料，具体见响应文件格式。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3.3.1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磋商有效期</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60日历天（投标截止之日起）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3.4.1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3.6</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是否允许备选投标方案</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3.7.3</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签字或盖章要求</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响应文件签章要求</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1、电子响应文件</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 所有要求供应商加盖公章的地方都应用供应商单位的 CA 印章。</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 所有要求法定代表人签字的地方都应用法定代表人的 CA 印章。若 有委托代理人， 且委托代理人没有 CA 锁，则响应文件需上传有手写签 名的扫描件。</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2、不再要求提供纸质响应文件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3.7.4</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响应文件的制作及要求</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加密的电子响应文件壹份（*.hntf格式，在会员系统指定位置上传）。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8"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4.2.2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递交响应文件地点</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供应商须在响应文件提交截止时间前在</w:t>
            </w:r>
            <w:r>
              <w:rPr>
                <w:rFonts w:hint="eastAsia" w:ascii="仿宋" w:hAnsi="仿宋" w:eastAsia="仿宋" w:cs="仿宋"/>
                <w:sz w:val="21"/>
                <w:szCs w:val="21"/>
                <w:highlight w:val="none"/>
                <w:lang w:val="en-US" w:eastAsia="zh-CN"/>
              </w:rPr>
              <w:t>中牟县</w:t>
            </w:r>
            <w:r>
              <w:rPr>
                <w:rFonts w:hint="eastAsia" w:ascii="仿宋" w:hAnsi="仿宋" w:eastAsia="仿宋" w:cs="仿宋"/>
                <w:sz w:val="21"/>
                <w:szCs w:val="21"/>
                <w:highlight w:val="none"/>
              </w:rPr>
              <w:t>公共资源交易中心交易系统中将加密电子响应文件加密上传。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4.2.3</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是否退还响应文件</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5.1</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磋商时间和地点</w:t>
            </w:r>
          </w:p>
        </w:tc>
        <w:tc>
          <w:tcPr>
            <w:tcW w:w="66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磋商时间： 同响应文件递交截止时间</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磋商地点： 同响应文件递交地点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1"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程序</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本项目采用电子开标。到投标截止时间止，各供应商对加密的电子响应文件进行解密。解密完成后各供应商的电子响应文件的实质性内容将自动显示在网页中。供应商在投标截止时间前未上传电子响应文件的将视为放弃投标。</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供应商未参加开标的，视同认可开标结果。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6.1.1</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磋商小组的组建</w:t>
            </w:r>
          </w:p>
        </w:tc>
        <w:tc>
          <w:tcPr>
            <w:tcW w:w="66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磋商小组构成： 3 人，其中采购人代表 1 人， 专家评委 2 人；</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专家确定方式： 磋商前从政府采购专家库中随机抽取。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7.1</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是否授权磋商小组确定成交供应商</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否，推荐的成交候选供应商人数：3名。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需要补充的其他内容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10.1</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采购限价</w:t>
            </w:r>
          </w:p>
        </w:tc>
        <w:tc>
          <w:tcPr>
            <w:tcW w:w="66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采购限价为：大写：壹佰万元整；小写：¥1000000.00元；</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报价高于最高限价的视为无效报价， 其投标予以拒绝。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10.2</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采购服务费</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本次招标代理服务费参考《河南省招标代理服务收费指导意见》【豫招协（2023）002号】由中标单位支付向代理机构缴纳</w:t>
            </w:r>
            <w:r>
              <w:rPr>
                <w:rFonts w:hint="eastAsia" w:ascii="仿宋" w:hAnsi="仿宋" w:eastAsia="仿宋" w:cs="仿宋"/>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3"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10.3</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本项目执行政府采购政策</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tabs>
                <w:tab w:val="left" w:pos="720"/>
                <w:tab w:val="left" w:pos="1904"/>
              </w:tabs>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本项目非专门面向中小企业、监狱企业及残疾人福利性单位采购项目。</w:t>
            </w:r>
          </w:p>
          <w:p>
            <w:pPr>
              <w:autoSpaceDE w:val="0"/>
              <w:autoSpaceDN w:val="0"/>
              <w:adjustRightIn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政府采购政策：本项目执行节约能源、保护环境、扶持不发达及少数民族地区，促进中小企业发展等政府采购政策。</w:t>
            </w:r>
          </w:p>
          <w:p>
            <w:pPr>
              <w:autoSpaceDE w:val="0"/>
              <w:autoSpaceDN w:val="0"/>
              <w:adjustRightIn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中小微型企业有关政策</w:t>
            </w:r>
          </w:p>
          <w:p>
            <w:pPr>
              <w:autoSpaceDE w:val="0"/>
              <w:autoSpaceDN w:val="0"/>
              <w:adjustRightIn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于供应商为监狱企业、小型和微型企业及其投标产品为小型和微型企业生产的，将以扣除优惠比率后的报价参与价格评议，但不作为成交价和合同签约价。成交价和合同签约价仍以其响应文件中的询价报价为准。</w:t>
            </w:r>
          </w:p>
          <w:p>
            <w:pPr>
              <w:autoSpaceDE w:val="0"/>
              <w:autoSpaceDN w:val="0"/>
              <w:adjustRightIn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小型和微型企业产品价格给予扣除标准：根据《</w:t>
            </w:r>
            <w:r>
              <w:rPr>
                <w:rFonts w:hint="eastAsia" w:ascii="仿宋" w:hAnsi="仿宋" w:eastAsia="仿宋" w:cs="仿宋"/>
                <w:color w:val="auto"/>
                <w:szCs w:val="21"/>
                <w:highlight w:val="none"/>
                <w:lang w:val="en-US" w:eastAsia="zh-CN"/>
              </w:rPr>
              <w:t>财政部关于进一步加大政府采购支持中小企业力度的通知》财库〔2022〕19号</w:t>
            </w:r>
            <w:r>
              <w:rPr>
                <w:rFonts w:hint="eastAsia" w:ascii="仿宋" w:hAnsi="仿宋" w:eastAsia="仿宋" w:cs="仿宋"/>
                <w:color w:val="auto"/>
                <w:szCs w:val="21"/>
                <w:highlight w:val="none"/>
              </w:rPr>
              <w:t xml:space="preserve">的规定，对于非专门面向中小企业的项目，对小型和微型企业产品的价格给予 </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0%的扣除，用扣除后的报价参与评审。对于中型企业产品的价格不予扣除。供应商应当在响应文件中单独列明本项目中所投的“小型和微型企业产品清单”及中小企业声明函等证明材料，否则不予认可。（小型、微型企业提供中型企业制造的货物的，视同为中型企业。）</w:t>
            </w:r>
          </w:p>
          <w:p>
            <w:pPr>
              <w:autoSpaceDE w:val="0"/>
              <w:autoSpaceDN w:val="0"/>
              <w:adjustRightIn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根据《财政部、司法部关于政府采购支持监狱企业发展有关问题的通知》(财库〔2014〕68 号)的规定，提供由省级以上监狱管理局、戒毒管理局（含新疆生产建设兵团）出具的属于监狱企业的证明文件，监狱企业视同小型、微型企业，价格给予</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0%的扣除，用扣除后的报价参与评审。</w:t>
            </w:r>
          </w:p>
          <w:p>
            <w:pPr>
              <w:autoSpaceDE w:val="0"/>
              <w:autoSpaceDN w:val="0"/>
              <w:adjustRightIn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根据《财政部、民政部、中国残疾人联合会关于促进残疾人就业政府采购政策的通知》（财库[2017]141 号）的规定，提供《残疾人福利性单位声明函》（见附件），并对声明的真实性负责。成交供应商为残疾人福利性单位的，采购人或者其委托的采购代理机构应当随成交结果同时公告其《残疾人福利性单位声明函》，接受社会监督。提供的《残疾人福利性单位声明函》与事实不符的，依照《中华人民共和国政府采购法》第七十七条第一款的规定追究法律责任。在政府采购活动中，残疾人福利性单位视同小型、微型企业，价格给予 </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0%的扣除，用扣除后的报价参与评审。</w:t>
            </w:r>
          </w:p>
          <w:p>
            <w:pPr>
              <w:autoSpaceDE w:val="0"/>
              <w:autoSpaceDN w:val="0"/>
              <w:adjustRightInd w:val="0"/>
              <w:spacing w:line="360" w:lineRule="auto"/>
              <w:ind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备注：监狱企业和残疾人福利性单位属于小型、微型企业的，不重复享受政策。</w:t>
            </w:r>
          </w:p>
          <w:p>
            <w:pPr>
              <w:autoSpaceDE w:val="0"/>
              <w:autoSpaceDN w:val="0"/>
              <w:adjustRightIn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2.优先采购的节能产品、环境标志产品要求</w:t>
            </w:r>
          </w:p>
          <w:p>
            <w:pPr>
              <w:autoSpaceDE w:val="0"/>
              <w:autoSpaceDN w:val="0"/>
              <w:adjustRightIn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如果所投产品是国家规定的节能产品及环境标志产品的（强制采购节能产品的除外），给予优先采购的权利，须提供以下材料：</w:t>
            </w:r>
          </w:p>
          <w:p>
            <w:pPr>
              <w:autoSpaceDE w:val="0"/>
              <w:autoSpaceDN w:val="0"/>
              <w:adjustRightIn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投标产品中属于政府优先采购节能产品、环境标志产品，应提供对应型号的国家确定的认证机构出具的处于有效期之内的节能产品、环境标志产品认证证书等证明材料，否则视为主动放弃被优先采购的权利。</w:t>
            </w:r>
          </w:p>
          <w:p>
            <w:pPr>
              <w:bidi w:val="0"/>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优先采购节能产品和环境标志产品在同等条件下属于优先采购范围（优先采购指最终得分相等时，投标报价也相同时，按技术指标优劣顺序排序，技术指标优劣情况相同的，优先采购节能产品和环境标志产品合计金额占自身投标报价比例大的）</w:t>
            </w:r>
          </w:p>
          <w:p>
            <w:pPr>
              <w:bidi w:val="0"/>
              <w:spacing w:line="360" w:lineRule="auto"/>
              <w:ind w:firstLine="420" w:firstLineChars="20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、本项目所属行业：</w:t>
            </w:r>
            <w:r>
              <w:rPr>
                <w:rFonts w:hint="eastAsia" w:ascii="仿宋" w:hAnsi="仿宋" w:eastAsia="仿宋" w:cs="仿宋"/>
                <w:b/>
                <w:bCs/>
                <w:sz w:val="21"/>
                <w:szCs w:val="21"/>
                <w:highlight w:val="none"/>
              </w:rPr>
              <w:t>其它未列明行业。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5"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10.4</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其他要求</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1、本项目磋商文件未尽事宜，则按照《中华人民共和国政府采购法》、《中华人民共和国政府采购法实施条例》等法律法规执行。</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2、供应商需独立制作、修改和上传响应文件，若因响应文件制作机器码与其他供应商一致，机器码一致的所有响应文件按无效文件处理，所造成的不良后果由供应商自行承担。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10.5</w:t>
            </w:r>
          </w:p>
        </w:tc>
        <w:tc>
          <w:tcPr>
            <w:tcW w:w="124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付款方式</w:t>
            </w:r>
          </w:p>
        </w:tc>
        <w:tc>
          <w:tcPr>
            <w:tcW w:w="32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签订合同时与采购人协商确定。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3" w:hRule="atLeast"/>
        </w:trPr>
        <w:tc>
          <w:tcPr>
            <w:tcW w:w="5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10.6</w:t>
            </w:r>
          </w:p>
        </w:tc>
        <w:tc>
          <w:tcPr>
            <w:tcW w:w="25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其他</w:t>
            </w:r>
          </w:p>
        </w:tc>
        <w:tc>
          <w:tcPr>
            <w:tcW w:w="661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1、本项目实行电子开评标，获取磋商文件后，请各供应商在“ 中 牟 县 公 共 资 源 交 易 中 心 门 户 网 站 ( http://</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"http://www.zmxggzy.com/"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www.zmxggzy.com</w:t>
            </w:r>
            <w:r>
              <w:rPr>
                <w:rFonts w:hint="eastAsia" w:ascii="仿宋" w:hAnsi="仿宋" w:eastAsia="仿宋" w:cs="仿宋"/>
                <w:sz w:val="21"/>
                <w:szCs w:val="21"/>
                <w:highlight w:val="none"/>
              </w:rPr>
              <w:fldChar w:fldCharType="end"/>
            </w:r>
            <w:r>
              <w:rPr>
                <w:rFonts w:hint="eastAsia" w:ascii="仿宋" w:hAnsi="仿宋" w:eastAsia="仿宋" w:cs="仿宋"/>
                <w:sz w:val="21"/>
                <w:szCs w:val="21"/>
                <w:highlight w:val="none"/>
              </w:rPr>
              <w:t>)</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“下载中心”栏目下载相关驱动和电子投标工具。供应商在制作电子标 书过程中， 如遇到电子交易系统的软件操作问题时，可通过热线电话(4009980000) 进行咨询。</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2、响应文件的上传：供应商须使用电子交易系统提供的响应文件制作工 具进行电子响应文件的制作，并按要求上传经 CA 锁签章和加密的电子 响应文件( .ZMTF 格式) 。</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3、开标方式</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 加密的电子响应文件( .ZMTF 格式) 须在响应文件递交截止时间前通过“中牟县公共资源交易中心网站(http://www.zmxggzy.com)”电 子交易平台加密上传；</w:t>
            </w:r>
          </w:p>
          <w:p>
            <w:pPr>
              <w:bidi w:val="0"/>
              <w:spacing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(2) 本项目实施不见面开标方式，供应商不需再提供纸质文件。供应商须提前进入远程开标大厅(</w:t>
            </w: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HYPERLINK "http://www.zmxggzy.com/BidOpening" </w:instrText>
            </w:r>
            <w:r>
              <w:rPr>
                <w:rFonts w:hint="eastAsia" w:ascii="仿宋" w:hAnsi="仿宋" w:eastAsia="仿宋" w:cs="仿宋"/>
                <w:sz w:val="21"/>
                <w:szCs w:val="21"/>
                <w:highlight w:val="none"/>
              </w:rPr>
              <w:fldChar w:fldCharType="separate"/>
            </w:r>
            <w:r>
              <w:rPr>
                <w:rFonts w:hint="eastAsia" w:ascii="仿宋" w:hAnsi="仿宋" w:eastAsia="仿宋" w:cs="仿宋"/>
                <w:sz w:val="21"/>
                <w:szCs w:val="21"/>
                <w:highlight w:val="none"/>
              </w:rPr>
              <w:t>http://www.zmxggzy.com/BidOpening</w:t>
            </w:r>
            <w:r>
              <w:rPr>
                <w:rFonts w:hint="eastAsia" w:ascii="仿宋" w:hAnsi="仿宋" w:eastAsia="仿宋" w:cs="仿宋"/>
                <w:sz w:val="21"/>
                <w:szCs w:val="21"/>
                <w:highlight w:val="none"/>
              </w:rPr>
              <w:fldChar w:fldCharType="end"/>
            </w:r>
            <w:r>
              <w:rPr>
                <w:rFonts w:hint="eastAsia" w:ascii="仿宋" w:hAnsi="仿宋" w:eastAsia="仿宋" w:cs="仿宋"/>
                <w:sz w:val="21"/>
                <w:szCs w:val="21"/>
                <w:highlight w:val="none"/>
              </w:rPr>
              <w:t>) 进行 开标操作和响应文件的解密。具体操作流程及程序，请供应商查阅中牟 县公共资源交易中心网站“下载专区”《中牟不见面开标-操作手册》。</w:t>
            </w:r>
          </w:p>
        </w:tc>
      </w:tr>
    </w:tbl>
    <w:p>
      <w:pPr>
        <w:pageBreakBefore w:val="0"/>
        <w:wordWrap/>
        <w:topLinePunct w:val="0"/>
        <w:bidi w:val="0"/>
        <w:spacing w:line="360" w:lineRule="auto"/>
        <w:textAlignment w:val="auto"/>
        <w:rPr>
          <w:rFonts w:hint="eastAsia" w:ascii="仿宋" w:hAnsi="仿宋" w:eastAsia="仿宋" w:cs="仿宋"/>
          <w:color w:val="auto"/>
          <w:sz w:val="6"/>
          <w:szCs w:val="6"/>
          <w:highlight w:val="none"/>
        </w:rPr>
        <w:sectPr>
          <w:headerReference r:id="rId4" w:type="default"/>
          <w:footerReference r:id="rId5" w:type="default"/>
          <w:pgSz w:w="11910" w:h="16840"/>
          <w:pgMar w:top="1361" w:right="1361" w:bottom="1361" w:left="1361" w:header="828" w:footer="1197" w:gutter="0"/>
          <w:pgBorders>
            <w:top w:val="none" w:sz="0" w:space="0"/>
            <w:left w:val="none" w:sz="0" w:space="0"/>
            <w:bottom w:val="none" w:sz="0" w:space="0"/>
            <w:right w:val="none" w:sz="0" w:space="0"/>
          </w:pgBorders>
          <w:lnNumType w:countBy="0" w:distance="360"/>
          <w:pgNumType w:fmt="decimal" w:start="1"/>
          <w:cols w:space="720" w:num="1"/>
        </w:sectPr>
      </w:pPr>
    </w:p>
    <w:p>
      <w:pPr>
        <w:pStyle w:val="6"/>
        <w:keepNext w:val="0"/>
        <w:keepLines w:val="0"/>
        <w:pageBreakBefore w:val="0"/>
        <w:widowControl w:val="0"/>
        <w:numPr>
          <w:ilvl w:val="0"/>
          <w:numId w:val="4"/>
        </w:numPr>
        <w:tabs>
          <w:tab w:val="left" w:pos="420"/>
        </w:tabs>
        <w:kinsoku w:val="0"/>
        <w:wordWrap/>
        <w:overflowPunct w:val="0"/>
        <w:topLinePunct w:val="0"/>
        <w:autoSpaceDE w:val="0"/>
        <w:autoSpaceDN w:val="0"/>
        <w:bidi w:val="0"/>
        <w:adjustRightInd w:val="0"/>
        <w:snapToGrid/>
        <w:spacing w:line="360" w:lineRule="auto"/>
        <w:ind w:left="419" w:hanging="318"/>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总则</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11" w:name="1.1 项目概况"/>
      <w:bookmarkEnd w:id="11"/>
      <w:r>
        <w:rPr>
          <w:rFonts w:hint="eastAsia" w:ascii="仿宋" w:hAnsi="仿宋" w:eastAsia="仿宋" w:cs="仿宋"/>
          <w:color w:val="auto"/>
          <w:sz w:val="21"/>
          <w:szCs w:val="21"/>
          <w:highlight w:val="none"/>
        </w:rPr>
        <w:t>项目概况</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before="1" w:line="360" w:lineRule="auto"/>
        <w:ind w:right="106" w:rightChars="0" w:firstLine="420"/>
        <w:jc w:val="both"/>
        <w:textAlignment w:val="auto"/>
        <w:rPr>
          <w:rFonts w:hint="eastAsia" w:ascii="仿宋" w:hAnsi="仿宋" w:eastAsia="仿宋" w:cs="仿宋"/>
          <w:color w:val="auto"/>
          <w:spacing w:val="-13"/>
          <w:sz w:val="21"/>
          <w:szCs w:val="21"/>
          <w:highlight w:val="none"/>
        </w:rPr>
      </w:pPr>
      <w:r>
        <w:rPr>
          <w:rFonts w:hint="eastAsia" w:ascii="仿宋" w:hAnsi="仿宋" w:eastAsia="仿宋" w:cs="仿宋"/>
          <w:color w:val="auto"/>
          <w:spacing w:val="-13"/>
          <w:sz w:val="21"/>
          <w:szCs w:val="21"/>
          <w:highlight w:val="none"/>
        </w:rPr>
        <w:t>根据《中华人民共和国政府采购法》等有关法律、法规和规章的规定，本采购项目已具备采购条件，现对本项目进行采购。</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本采购项目采购人：见供应商须知前附表。</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本项目采购代理机构：见供应商须知前附表。</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本采购项目名称：见供应商须知前附表。</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left="1100" w:hanging="57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本项目项目地点：见供应商须知前附表。</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12" w:name="1.2 资金来源和落实情况"/>
      <w:bookmarkEnd w:id="12"/>
      <w:r>
        <w:rPr>
          <w:rFonts w:hint="eastAsia" w:ascii="仿宋" w:hAnsi="仿宋" w:eastAsia="仿宋" w:cs="仿宋"/>
          <w:color w:val="auto"/>
          <w:sz w:val="21"/>
          <w:szCs w:val="21"/>
          <w:highlight w:val="none"/>
        </w:rPr>
        <w:t>资金来源和落实情况</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本采购项目的资金来源：见供应商须知前附表。</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本采购项目的出资比例：见供应商须知前附表。</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本采购项目的资金落实情况：见供应商须知前附表。</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13" w:name="1.3 采购范围、工期和质量标准"/>
      <w:bookmarkEnd w:id="13"/>
      <w:r>
        <w:rPr>
          <w:rFonts w:hint="eastAsia" w:ascii="仿宋" w:hAnsi="仿宋" w:eastAsia="仿宋" w:cs="仿宋"/>
          <w:color w:val="auto"/>
          <w:sz w:val="21"/>
          <w:szCs w:val="21"/>
          <w:highlight w:val="none"/>
        </w:rPr>
        <w:t>采购</w:t>
      </w:r>
      <w:r>
        <w:rPr>
          <w:rFonts w:hint="eastAsia" w:ascii="仿宋" w:hAnsi="仿宋" w:eastAsia="仿宋" w:cs="仿宋"/>
          <w:color w:val="auto"/>
          <w:sz w:val="21"/>
          <w:szCs w:val="21"/>
          <w:highlight w:val="none"/>
          <w:lang w:val="en-US" w:eastAsia="zh-CN"/>
        </w:rPr>
        <w:t>内容</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服务期限</w:t>
      </w:r>
      <w:r>
        <w:rPr>
          <w:rFonts w:hint="eastAsia" w:ascii="仿宋" w:hAnsi="仿宋" w:eastAsia="仿宋" w:cs="仿宋"/>
          <w:color w:val="auto"/>
          <w:sz w:val="21"/>
          <w:szCs w:val="21"/>
          <w:highlight w:val="none"/>
        </w:rPr>
        <w:t>和质量</w:t>
      </w:r>
      <w:r>
        <w:rPr>
          <w:rFonts w:hint="eastAsia" w:ascii="仿宋" w:hAnsi="仿宋" w:eastAsia="仿宋" w:cs="仿宋"/>
          <w:color w:val="auto"/>
          <w:sz w:val="21"/>
          <w:szCs w:val="21"/>
          <w:highlight w:val="none"/>
          <w:lang w:val="en-US" w:eastAsia="zh-CN"/>
        </w:rPr>
        <w:t>要求</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本次采购范围：见供应商须知前附表。</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本项目的</w:t>
      </w:r>
      <w:r>
        <w:rPr>
          <w:rFonts w:hint="eastAsia" w:ascii="仿宋" w:hAnsi="仿宋" w:eastAsia="仿宋" w:cs="仿宋"/>
          <w:color w:val="auto"/>
          <w:sz w:val="21"/>
          <w:szCs w:val="21"/>
          <w:highlight w:val="none"/>
          <w:lang w:val="en-US" w:eastAsia="zh-CN"/>
        </w:rPr>
        <w:t>服务期限</w:t>
      </w:r>
      <w:r>
        <w:rPr>
          <w:rFonts w:hint="eastAsia" w:ascii="仿宋" w:hAnsi="仿宋" w:eastAsia="仿宋" w:cs="仿宋"/>
          <w:color w:val="auto"/>
          <w:sz w:val="21"/>
          <w:szCs w:val="21"/>
          <w:highlight w:val="none"/>
        </w:rPr>
        <w:t>：见供应商前附表。</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本项目的质量</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rPr>
        <w:t>：见供应商须知前附表。</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before="70" w:line="360" w:lineRule="auto"/>
        <w:ind w:hanging="421"/>
        <w:textAlignment w:val="auto"/>
        <w:rPr>
          <w:rFonts w:hint="eastAsia" w:ascii="仿宋" w:hAnsi="仿宋" w:eastAsia="仿宋" w:cs="仿宋"/>
          <w:color w:val="auto"/>
          <w:sz w:val="21"/>
          <w:szCs w:val="21"/>
          <w:highlight w:val="none"/>
        </w:rPr>
      </w:pPr>
      <w:bookmarkStart w:id="14" w:name="1.4 供货商资格要求"/>
      <w:bookmarkEnd w:id="14"/>
      <w:r>
        <w:rPr>
          <w:rFonts w:hint="eastAsia" w:ascii="仿宋" w:hAnsi="仿宋" w:eastAsia="仿宋" w:cs="仿宋"/>
          <w:color w:val="auto"/>
          <w:sz w:val="21"/>
          <w:szCs w:val="21"/>
          <w:highlight w:val="none"/>
        </w:rPr>
        <w:t>供货商资格要求</w:t>
      </w:r>
    </w:p>
    <w:p>
      <w:pPr>
        <w:pStyle w:val="28"/>
        <w:keepNext w:val="0"/>
        <w:keepLines w:val="0"/>
        <w:pageBreakBefore w:val="0"/>
        <w:widowControl w:val="0"/>
        <w:numPr>
          <w:ilvl w:val="2"/>
          <w:numId w:val="5"/>
        </w:numPr>
        <w:tabs>
          <w:tab w:val="left" w:pos="1048"/>
        </w:tabs>
        <w:kinsoku w:val="0"/>
        <w:wordWrap/>
        <w:overflowPunct w:val="0"/>
        <w:topLinePunct w:val="0"/>
        <w:autoSpaceDE w:val="0"/>
        <w:autoSpaceDN w:val="0"/>
        <w:bidi w:val="0"/>
        <w:adjustRightInd w:val="0"/>
        <w:snapToGrid/>
        <w:spacing w:line="360" w:lineRule="auto"/>
        <w:ind w:left="1048" w:hanging="526"/>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供货商应具备承担本项目的资格要求：详见供应商须知前附表；</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本次采购不接受联合体投标。</w:t>
      </w:r>
    </w:p>
    <w:p>
      <w:pPr>
        <w:pStyle w:val="28"/>
        <w:keepNext w:val="0"/>
        <w:keepLines w:val="0"/>
        <w:pageBreakBefore w:val="0"/>
        <w:widowControl w:val="0"/>
        <w:numPr>
          <w:ilvl w:val="2"/>
          <w:numId w:val="5"/>
        </w:numPr>
        <w:tabs>
          <w:tab w:val="left" w:pos="1154"/>
        </w:tabs>
        <w:kinsoku w:val="0"/>
        <w:wordWrap/>
        <w:overflowPunct w:val="0"/>
        <w:topLinePunct w:val="0"/>
        <w:autoSpaceDE w:val="0"/>
        <w:autoSpaceDN w:val="0"/>
        <w:bidi w:val="0"/>
        <w:adjustRightInd w:val="0"/>
        <w:snapToGrid/>
        <w:spacing w:line="360" w:lineRule="auto"/>
        <w:ind w:left="1153" w:hanging="63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供应商不得存在下列情形之一：</w:t>
      </w:r>
    </w:p>
    <w:p>
      <w:pPr>
        <w:pStyle w:val="28"/>
        <w:keepNext w:val="0"/>
        <w:keepLines w:val="0"/>
        <w:pageBreakBefore w:val="0"/>
        <w:widowControl w:val="0"/>
        <w:numPr>
          <w:ilvl w:val="0"/>
          <w:numId w:val="6"/>
        </w:numPr>
        <w:tabs>
          <w:tab w:val="left" w:pos="1047"/>
        </w:tabs>
        <w:kinsoku w:val="0"/>
        <w:wordWrap/>
        <w:overflowPunct w:val="0"/>
        <w:topLinePunct w:val="0"/>
        <w:autoSpaceDE w:val="0"/>
        <w:autoSpaceDN w:val="0"/>
        <w:bidi w:val="0"/>
        <w:adjustRightInd w:val="0"/>
        <w:snapToGrid/>
        <w:spacing w:before="1"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为采购人不具有独立法人资格的附属机构（单位）；</w:t>
      </w:r>
    </w:p>
    <w:p>
      <w:pPr>
        <w:pStyle w:val="28"/>
        <w:keepNext w:val="0"/>
        <w:keepLines w:val="0"/>
        <w:pageBreakBefore w:val="0"/>
        <w:widowControl w:val="0"/>
        <w:numPr>
          <w:ilvl w:val="0"/>
          <w:numId w:val="6"/>
        </w:numPr>
        <w:tabs>
          <w:tab w:val="left" w:pos="1047"/>
        </w:tabs>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为本标段前期准备提供设计或咨询服务的，但设计施工总承包的除外；</w:t>
      </w:r>
    </w:p>
    <w:p>
      <w:pPr>
        <w:pStyle w:val="28"/>
        <w:keepNext w:val="0"/>
        <w:keepLines w:val="0"/>
        <w:pageBreakBefore w:val="0"/>
        <w:widowControl w:val="0"/>
        <w:numPr>
          <w:ilvl w:val="0"/>
          <w:numId w:val="6"/>
        </w:numPr>
        <w:tabs>
          <w:tab w:val="left" w:pos="1047"/>
        </w:tabs>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为本标段提供招标代理服务的；</w:t>
      </w:r>
    </w:p>
    <w:p>
      <w:pPr>
        <w:pStyle w:val="28"/>
        <w:keepNext w:val="0"/>
        <w:keepLines w:val="0"/>
        <w:pageBreakBefore w:val="0"/>
        <w:widowControl w:val="0"/>
        <w:numPr>
          <w:ilvl w:val="0"/>
          <w:numId w:val="6"/>
        </w:numPr>
        <w:tabs>
          <w:tab w:val="left" w:pos="1047"/>
        </w:tabs>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被责令停业的；</w:t>
      </w:r>
    </w:p>
    <w:p>
      <w:pPr>
        <w:pStyle w:val="28"/>
        <w:keepNext w:val="0"/>
        <w:keepLines w:val="0"/>
        <w:pageBreakBefore w:val="0"/>
        <w:widowControl w:val="0"/>
        <w:numPr>
          <w:ilvl w:val="0"/>
          <w:numId w:val="6"/>
        </w:numPr>
        <w:tabs>
          <w:tab w:val="left" w:pos="1047"/>
        </w:tabs>
        <w:kinsoku w:val="0"/>
        <w:wordWrap/>
        <w:overflowPunct w:val="0"/>
        <w:topLinePunct w:val="0"/>
        <w:autoSpaceDE w:val="0"/>
        <w:autoSpaceDN w:val="0"/>
        <w:bidi w:val="0"/>
        <w:adjustRightInd w:val="0"/>
        <w:snapToGrid/>
        <w:spacing w:before="1"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被暂停或取消投标资格的；</w:t>
      </w:r>
    </w:p>
    <w:p>
      <w:pPr>
        <w:pStyle w:val="28"/>
        <w:keepNext w:val="0"/>
        <w:keepLines w:val="0"/>
        <w:pageBreakBefore w:val="0"/>
        <w:widowControl w:val="0"/>
        <w:numPr>
          <w:ilvl w:val="0"/>
          <w:numId w:val="6"/>
        </w:numPr>
        <w:tabs>
          <w:tab w:val="left" w:pos="1047"/>
        </w:tabs>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财产被接管或冻结的；</w:t>
      </w:r>
    </w:p>
    <w:p>
      <w:pPr>
        <w:pStyle w:val="28"/>
        <w:keepNext w:val="0"/>
        <w:keepLines w:val="0"/>
        <w:pageBreakBefore w:val="0"/>
        <w:widowControl w:val="0"/>
        <w:numPr>
          <w:ilvl w:val="0"/>
          <w:numId w:val="6"/>
        </w:numPr>
        <w:tabs>
          <w:tab w:val="left" w:pos="1047"/>
        </w:tabs>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在最近三年内有骗取中标或严重违约或重大工程质量问题的。</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15" w:name="1.5 费用承担"/>
      <w:bookmarkEnd w:id="15"/>
      <w:r>
        <w:rPr>
          <w:rFonts w:hint="eastAsia" w:ascii="仿宋" w:hAnsi="仿宋" w:eastAsia="仿宋" w:cs="仿宋"/>
          <w:color w:val="auto"/>
          <w:sz w:val="21"/>
          <w:szCs w:val="21"/>
          <w:highlight w:val="none"/>
        </w:rPr>
        <w:t>费用承担</w:t>
      </w:r>
    </w:p>
    <w:p>
      <w:pPr>
        <w:pStyle w:val="2"/>
        <w:keepNext w:val="0"/>
        <w:keepLines w:val="0"/>
        <w:pageBreakBefore w:val="0"/>
        <w:widowControl w:val="0"/>
        <w:kinsoku w:val="0"/>
        <w:wordWrap/>
        <w:overflowPunct w:val="0"/>
        <w:topLinePunct w:val="0"/>
        <w:autoSpaceDE w:val="0"/>
        <w:autoSpaceDN w:val="0"/>
        <w:bidi w:val="0"/>
        <w:adjustRightInd w:val="0"/>
        <w:snapToGrid/>
        <w:spacing w:before="1" w:line="360" w:lineRule="auto"/>
        <w:ind w:left="527"/>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供应商准备和参加投标活动发生的费用自理。</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16" w:name="1.6 保密"/>
      <w:bookmarkEnd w:id="16"/>
      <w:r>
        <w:rPr>
          <w:rFonts w:hint="eastAsia" w:ascii="仿宋" w:hAnsi="仿宋" w:eastAsia="仿宋" w:cs="仿宋"/>
          <w:color w:val="auto"/>
          <w:sz w:val="21"/>
          <w:szCs w:val="21"/>
          <w:highlight w:val="none"/>
        </w:rPr>
        <w:t>保密</w:t>
      </w:r>
    </w:p>
    <w:p>
      <w:pPr>
        <w:pStyle w:val="2"/>
        <w:keepNext w:val="0"/>
        <w:keepLines w:val="0"/>
        <w:pageBreakBefore w:val="0"/>
        <w:widowControl w:val="0"/>
        <w:tabs>
          <w:tab w:val="left" w:pos="8200"/>
        </w:tabs>
        <w:kinsoku w:val="0"/>
        <w:wordWrap/>
        <w:overflowPunct w:val="0"/>
        <w:topLinePunct w:val="0"/>
        <w:autoSpaceDE w:val="0"/>
        <w:autoSpaceDN w:val="0"/>
        <w:bidi w:val="0"/>
        <w:adjustRightInd w:val="0"/>
        <w:snapToGrid/>
        <w:spacing w:line="360" w:lineRule="auto"/>
        <w:ind w:left="102" w:right="106" w:rightChars="0"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参与采购投标活动的各方应对磋商文件和响应文件中的商业和技术等秘密保密，违者应对由此造成的后果承担法律责任。</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17" w:name="1.7 语言文字"/>
      <w:bookmarkEnd w:id="17"/>
      <w:r>
        <w:rPr>
          <w:rFonts w:hint="eastAsia" w:ascii="仿宋" w:hAnsi="仿宋" w:eastAsia="仿宋" w:cs="仿宋"/>
          <w:color w:val="auto"/>
          <w:sz w:val="21"/>
          <w:szCs w:val="21"/>
          <w:highlight w:val="none"/>
        </w:rPr>
        <w:t>语言文字</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除专用术语外，与采购投标有关的语言均使用中文。必要时专用术语应附有中文注释。</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before="1" w:line="360" w:lineRule="auto"/>
        <w:ind w:hanging="421"/>
        <w:textAlignment w:val="auto"/>
        <w:rPr>
          <w:rFonts w:hint="eastAsia" w:ascii="仿宋" w:hAnsi="仿宋" w:eastAsia="仿宋" w:cs="仿宋"/>
          <w:color w:val="auto"/>
          <w:sz w:val="21"/>
          <w:szCs w:val="21"/>
          <w:highlight w:val="none"/>
        </w:rPr>
      </w:pPr>
      <w:bookmarkStart w:id="18" w:name="1.8 计量单位"/>
      <w:bookmarkEnd w:id="18"/>
      <w:r>
        <w:rPr>
          <w:rFonts w:hint="eastAsia" w:ascii="仿宋" w:hAnsi="仿宋" w:eastAsia="仿宋" w:cs="仿宋"/>
          <w:color w:val="auto"/>
          <w:sz w:val="21"/>
          <w:szCs w:val="21"/>
          <w:highlight w:val="none"/>
        </w:rPr>
        <w:t>计量单位</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所有计量均采用中华人民共和国法定计量单位。</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19" w:name="1.9 踏勘现场"/>
      <w:bookmarkEnd w:id="19"/>
      <w:r>
        <w:rPr>
          <w:rFonts w:hint="eastAsia" w:ascii="仿宋" w:hAnsi="仿宋" w:eastAsia="仿宋" w:cs="仿宋"/>
          <w:color w:val="auto"/>
          <w:sz w:val="21"/>
          <w:szCs w:val="21"/>
          <w:highlight w:val="none"/>
        </w:rPr>
        <w:t>踏勘现场</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不组织。</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20" w:name="1.10 投标预备会"/>
      <w:bookmarkEnd w:id="20"/>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投标预备</w:t>
      </w:r>
      <w:r>
        <w:rPr>
          <w:rFonts w:hint="eastAsia" w:ascii="仿宋" w:hAnsi="仿宋" w:eastAsia="仿宋" w:cs="仿宋"/>
          <w:color w:val="auto"/>
          <w:sz w:val="21"/>
          <w:szCs w:val="21"/>
          <w:highlight w:val="none"/>
          <w:lang w:val="en-US" w:eastAsia="zh-CN"/>
        </w:rPr>
        <w:t>会不组织。</w:t>
      </w:r>
    </w:p>
    <w:p>
      <w:pPr>
        <w:pStyle w:val="28"/>
        <w:keepNext w:val="0"/>
        <w:keepLines w:val="0"/>
        <w:pageBreakBefore w:val="0"/>
        <w:widowControl w:val="0"/>
        <w:numPr>
          <w:ilvl w:val="1"/>
          <w:numId w:val="5"/>
        </w:numPr>
        <w:tabs>
          <w:tab w:val="left" w:pos="628"/>
        </w:tabs>
        <w:kinsoku w:val="0"/>
        <w:wordWrap/>
        <w:overflowPunct w:val="0"/>
        <w:topLinePunct w:val="0"/>
        <w:autoSpaceDE w:val="0"/>
        <w:autoSpaceDN w:val="0"/>
        <w:bidi w:val="0"/>
        <w:adjustRightInd w:val="0"/>
        <w:snapToGrid/>
        <w:spacing w:line="360" w:lineRule="auto"/>
        <w:ind w:left="628" w:hanging="526"/>
        <w:textAlignment w:val="auto"/>
        <w:rPr>
          <w:rFonts w:hint="eastAsia" w:ascii="仿宋" w:hAnsi="仿宋" w:eastAsia="仿宋" w:cs="仿宋"/>
          <w:color w:val="auto"/>
          <w:sz w:val="21"/>
          <w:szCs w:val="21"/>
          <w:highlight w:val="none"/>
        </w:rPr>
      </w:pPr>
      <w:bookmarkStart w:id="21" w:name="1.11 分包"/>
      <w:bookmarkEnd w:id="21"/>
      <w:r>
        <w:rPr>
          <w:rFonts w:hint="eastAsia" w:ascii="仿宋" w:hAnsi="仿宋" w:eastAsia="仿宋" w:cs="仿宋"/>
          <w:color w:val="auto"/>
          <w:sz w:val="21"/>
          <w:szCs w:val="21"/>
          <w:highlight w:val="none"/>
        </w:rPr>
        <w:t>分包</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不允许。</w:t>
      </w:r>
    </w:p>
    <w:p>
      <w:pPr>
        <w:pStyle w:val="28"/>
        <w:keepNext w:val="0"/>
        <w:keepLines w:val="0"/>
        <w:pageBreakBefore w:val="0"/>
        <w:widowControl w:val="0"/>
        <w:numPr>
          <w:ilvl w:val="1"/>
          <w:numId w:val="5"/>
        </w:numPr>
        <w:tabs>
          <w:tab w:val="left" w:pos="628"/>
        </w:tabs>
        <w:kinsoku w:val="0"/>
        <w:wordWrap/>
        <w:overflowPunct w:val="0"/>
        <w:topLinePunct w:val="0"/>
        <w:autoSpaceDE w:val="0"/>
        <w:autoSpaceDN w:val="0"/>
        <w:bidi w:val="0"/>
        <w:adjustRightInd w:val="0"/>
        <w:snapToGrid/>
        <w:spacing w:line="360" w:lineRule="auto"/>
        <w:ind w:left="628" w:hanging="526"/>
        <w:textAlignment w:val="auto"/>
        <w:rPr>
          <w:rFonts w:hint="eastAsia" w:ascii="仿宋" w:hAnsi="仿宋" w:eastAsia="仿宋" w:cs="仿宋"/>
          <w:color w:val="auto"/>
          <w:sz w:val="21"/>
          <w:szCs w:val="21"/>
          <w:highlight w:val="none"/>
        </w:rPr>
      </w:pPr>
      <w:bookmarkStart w:id="22" w:name="1.12 偏离"/>
      <w:bookmarkEnd w:id="22"/>
      <w:r>
        <w:rPr>
          <w:rFonts w:hint="eastAsia" w:ascii="仿宋" w:hAnsi="仿宋" w:eastAsia="仿宋" w:cs="仿宋"/>
          <w:color w:val="auto"/>
          <w:sz w:val="21"/>
          <w:szCs w:val="21"/>
          <w:highlight w:val="none"/>
        </w:rPr>
        <w:t>偏离</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不允许。</w:t>
      </w:r>
    </w:p>
    <w:p>
      <w:pPr>
        <w:pStyle w:val="6"/>
        <w:keepNext w:val="0"/>
        <w:keepLines w:val="0"/>
        <w:pageBreakBefore w:val="0"/>
        <w:widowControl w:val="0"/>
        <w:numPr>
          <w:ilvl w:val="0"/>
          <w:numId w:val="5"/>
        </w:numPr>
        <w:tabs>
          <w:tab w:val="left" w:pos="420"/>
        </w:tabs>
        <w:kinsoku w:val="0"/>
        <w:wordWrap/>
        <w:overflowPunct w:val="0"/>
        <w:topLinePunct w:val="0"/>
        <w:autoSpaceDE w:val="0"/>
        <w:autoSpaceDN w:val="0"/>
        <w:bidi w:val="0"/>
        <w:adjustRightInd w:val="0"/>
        <w:snapToGrid/>
        <w:spacing w:before="70" w:line="360" w:lineRule="auto"/>
        <w:ind w:hanging="318"/>
        <w:jc w:val="both"/>
        <w:textAlignment w:val="auto"/>
        <w:rPr>
          <w:rFonts w:hint="eastAsia" w:ascii="仿宋" w:hAnsi="仿宋" w:eastAsia="仿宋" w:cs="仿宋"/>
          <w:color w:val="auto"/>
          <w:sz w:val="21"/>
          <w:szCs w:val="21"/>
          <w:highlight w:val="none"/>
        </w:rPr>
      </w:pPr>
      <w:bookmarkStart w:id="23" w:name="2. 磋商文件"/>
      <w:bookmarkEnd w:id="23"/>
      <w:r>
        <w:rPr>
          <w:rFonts w:hint="eastAsia" w:ascii="仿宋" w:hAnsi="仿宋" w:eastAsia="仿宋" w:cs="仿宋"/>
          <w:color w:val="auto"/>
          <w:sz w:val="21"/>
          <w:szCs w:val="21"/>
          <w:highlight w:val="none"/>
        </w:rPr>
        <w:t>磋商文件</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jc w:val="both"/>
        <w:textAlignment w:val="auto"/>
        <w:rPr>
          <w:rFonts w:hint="eastAsia" w:ascii="仿宋" w:hAnsi="仿宋" w:eastAsia="仿宋" w:cs="仿宋"/>
          <w:color w:val="auto"/>
          <w:sz w:val="21"/>
          <w:szCs w:val="21"/>
          <w:highlight w:val="none"/>
        </w:rPr>
      </w:pPr>
      <w:bookmarkStart w:id="24" w:name="2.1 磋商文件的组成"/>
      <w:bookmarkEnd w:id="24"/>
      <w:r>
        <w:rPr>
          <w:rFonts w:hint="eastAsia" w:ascii="仿宋" w:hAnsi="仿宋" w:eastAsia="仿宋" w:cs="仿宋"/>
          <w:color w:val="auto"/>
          <w:sz w:val="21"/>
          <w:szCs w:val="21"/>
          <w:highlight w:val="none"/>
        </w:rPr>
        <w:t>磋商文件的组成</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628"/>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本磋商文件包括：</w:t>
      </w:r>
    </w:p>
    <w:p>
      <w:pPr>
        <w:pStyle w:val="28"/>
        <w:keepNext w:val="0"/>
        <w:keepLines w:val="0"/>
        <w:pageBreakBefore w:val="0"/>
        <w:widowControl w:val="0"/>
        <w:numPr>
          <w:ilvl w:val="0"/>
          <w:numId w:val="7"/>
        </w:numPr>
        <w:tabs>
          <w:tab w:val="left" w:pos="1053"/>
        </w:tabs>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竞争性</w:t>
      </w:r>
      <w:r>
        <w:rPr>
          <w:rFonts w:hint="eastAsia" w:ascii="仿宋" w:hAnsi="仿宋" w:eastAsia="仿宋" w:cs="仿宋"/>
          <w:color w:val="auto"/>
          <w:sz w:val="21"/>
          <w:szCs w:val="21"/>
          <w:highlight w:val="none"/>
        </w:rPr>
        <w:t>磋商公告</w:t>
      </w:r>
    </w:p>
    <w:p>
      <w:pPr>
        <w:pStyle w:val="28"/>
        <w:keepNext w:val="0"/>
        <w:keepLines w:val="0"/>
        <w:pageBreakBefore w:val="0"/>
        <w:widowControl w:val="0"/>
        <w:numPr>
          <w:ilvl w:val="0"/>
          <w:numId w:val="7"/>
        </w:numPr>
        <w:tabs>
          <w:tab w:val="left" w:pos="1052"/>
        </w:tabs>
        <w:kinsoku w:val="0"/>
        <w:wordWrap/>
        <w:overflowPunct w:val="0"/>
        <w:topLinePunct w:val="0"/>
        <w:autoSpaceDE w:val="0"/>
        <w:autoSpaceDN w:val="0"/>
        <w:bidi w:val="0"/>
        <w:adjustRightInd w:val="0"/>
        <w:snapToGrid/>
        <w:spacing w:before="1" w:line="360" w:lineRule="auto"/>
        <w:ind w:left="1051" w:hanging="52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供应商须知；</w:t>
      </w:r>
    </w:p>
    <w:p>
      <w:pPr>
        <w:pStyle w:val="28"/>
        <w:keepNext w:val="0"/>
        <w:keepLines w:val="0"/>
        <w:pageBreakBefore w:val="0"/>
        <w:widowControl w:val="0"/>
        <w:numPr>
          <w:ilvl w:val="0"/>
          <w:numId w:val="7"/>
        </w:numPr>
        <w:tabs>
          <w:tab w:val="left" w:pos="1052"/>
        </w:tabs>
        <w:kinsoku w:val="0"/>
        <w:wordWrap/>
        <w:overflowPunct w:val="0"/>
        <w:topLinePunct w:val="0"/>
        <w:autoSpaceDE w:val="0"/>
        <w:autoSpaceDN w:val="0"/>
        <w:bidi w:val="0"/>
        <w:adjustRightInd w:val="0"/>
        <w:snapToGrid/>
        <w:spacing w:line="360" w:lineRule="auto"/>
        <w:ind w:left="1051" w:hanging="52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办法；</w:t>
      </w:r>
    </w:p>
    <w:p>
      <w:pPr>
        <w:pStyle w:val="28"/>
        <w:keepNext w:val="0"/>
        <w:keepLines w:val="0"/>
        <w:pageBreakBefore w:val="0"/>
        <w:widowControl w:val="0"/>
        <w:numPr>
          <w:ilvl w:val="0"/>
          <w:numId w:val="7"/>
        </w:numPr>
        <w:tabs>
          <w:tab w:val="left" w:pos="1052"/>
        </w:tabs>
        <w:kinsoku w:val="0"/>
        <w:wordWrap/>
        <w:overflowPunct w:val="0"/>
        <w:topLinePunct w:val="0"/>
        <w:autoSpaceDE w:val="0"/>
        <w:autoSpaceDN w:val="0"/>
        <w:bidi w:val="0"/>
        <w:adjustRightInd w:val="0"/>
        <w:snapToGrid/>
        <w:spacing w:line="360" w:lineRule="auto"/>
        <w:ind w:left="1051" w:hanging="52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p>
      <w:pPr>
        <w:pStyle w:val="28"/>
        <w:keepNext w:val="0"/>
        <w:keepLines w:val="0"/>
        <w:pageBreakBefore w:val="0"/>
        <w:widowControl w:val="0"/>
        <w:numPr>
          <w:ilvl w:val="0"/>
          <w:numId w:val="7"/>
        </w:numPr>
        <w:tabs>
          <w:tab w:val="left" w:pos="1052"/>
        </w:tabs>
        <w:kinsoku w:val="0"/>
        <w:wordWrap/>
        <w:overflowPunct w:val="0"/>
        <w:topLinePunct w:val="0"/>
        <w:autoSpaceDE w:val="0"/>
        <w:autoSpaceDN w:val="0"/>
        <w:bidi w:val="0"/>
        <w:adjustRightInd w:val="0"/>
        <w:snapToGrid/>
        <w:spacing w:line="360" w:lineRule="auto"/>
        <w:ind w:left="1051" w:hanging="525"/>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合同主要条款；</w:t>
      </w:r>
    </w:p>
    <w:p>
      <w:pPr>
        <w:pStyle w:val="28"/>
        <w:keepNext w:val="0"/>
        <w:keepLines w:val="0"/>
        <w:pageBreakBefore w:val="0"/>
        <w:widowControl w:val="0"/>
        <w:numPr>
          <w:ilvl w:val="0"/>
          <w:numId w:val="7"/>
        </w:numPr>
        <w:tabs>
          <w:tab w:val="left" w:pos="1053"/>
        </w:tabs>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竞争性磋商响应文件格式</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firstLine="380" w:firstLineChars="200"/>
        <w:textAlignment w:val="auto"/>
        <w:rPr>
          <w:rFonts w:hint="eastAsia" w:ascii="仿宋" w:hAnsi="仿宋" w:eastAsia="仿宋" w:cs="仿宋"/>
          <w:color w:val="auto"/>
          <w:spacing w:val="-8"/>
          <w:sz w:val="21"/>
          <w:szCs w:val="21"/>
          <w:highlight w:val="none"/>
        </w:rPr>
      </w:pPr>
      <w:r>
        <w:rPr>
          <w:rFonts w:hint="eastAsia" w:ascii="仿宋" w:hAnsi="仿宋" w:eastAsia="仿宋" w:cs="仿宋"/>
          <w:color w:val="auto"/>
          <w:spacing w:val="-10"/>
          <w:sz w:val="21"/>
          <w:szCs w:val="21"/>
          <w:highlight w:val="none"/>
        </w:rPr>
        <w:t>根据本章第</w:t>
      </w:r>
      <w:r>
        <w:rPr>
          <w:rFonts w:hint="eastAsia" w:ascii="仿宋" w:hAnsi="仿宋" w:eastAsia="仿宋" w:cs="仿宋"/>
          <w:color w:val="auto"/>
          <w:sz w:val="21"/>
          <w:szCs w:val="21"/>
          <w:highlight w:val="none"/>
        </w:rPr>
        <w:t>1.10</w:t>
      </w:r>
      <w:r>
        <w:rPr>
          <w:rFonts w:hint="eastAsia" w:ascii="仿宋" w:hAnsi="仿宋" w:eastAsia="仿宋" w:cs="仿宋"/>
          <w:color w:val="auto"/>
          <w:spacing w:val="-23"/>
          <w:sz w:val="21"/>
          <w:szCs w:val="21"/>
          <w:highlight w:val="none"/>
        </w:rPr>
        <w:t>款、第</w:t>
      </w:r>
      <w:r>
        <w:rPr>
          <w:rFonts w:hint="eastAsia" w:ascii="仿宋" w:hAnsi="仿宋" w:eastAsia="仿宋" w:cs="仿宋"/>
          <w:color w:val="auto"/>
          <w:sz w:val="21"/>
          <w:szCs w:val="21"/>
          <w:highlight w:val="none"/>
        </w:rPr>
        <w:t>2.2</w:t>
      </w:r>
      <w:r>
        <w:rPr>
          <w:rFonts w:hint="eastAsia" w:ascii="仿宋" w:hAnsi="仿宋" w:eastAsia="仿宋" w:cs="仿宋"/>
          <w:color w:val="auto"/>
          <w:spacing w:val="-23"/>
          <w:sz w:val="21"/>
          <w:szCs w:val="21"/>
          <w:highlight w:val="none"/>
        </w:rPr>
        <w:t>款和第</w:t>
      </w:r>
      <w:r>
        <w:rPr>
          <w:rFonts w:hint="eastAsia" w:ascii="仿宋" w:hAnsi="仿宋" w:eastAsia="仿宋" w:cs="仿宋"/>
          <w:color w:val="auto"/>
          <w:sz w:val="21"/>
          <w:szCs w:val="21"/>
          <w:highlight w:val="none"/>
        </w:rPr>
        <w:t>2.3</w:t>
      </w:r>
      <w:r>
        <w:rPr>
          <w:rFonts w:hint="eastAsia" w:ascii="仿宋" w:hAnsi="仿宋" w:eastAsia="仿宋" w:cs="仿宋"/>
          <w:color w:val="auto"/>
          <w:spacing w:val="-8"/>
          <w:sz w:val="21"/>
          <w:szCs w:val="21"/>
          <w:highlight w:val="none"/>
        </w:rPr>
        <w:t>款对磋商文件所作的澄清、修改，构成磋商文件的组成部分。</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jc w:val="both"/>
        <w:textAlignment w:val="auto"/>
        <w:rPr>
          <w:rFonts w:hint="eastAsia" w:ascii="仿宋" w:hAnsi="仿宋" w:eastAsia="仿宋" w:cs="仿宋"/>
          <w:color w:val="auto"/>
          <w:sz w:val="21"/>
          <w:szCs w:val="21"/>
          <w:highlight w:val="none"/>
        </w:rPr>
      </w:pPr>
      <w:bookmarkStart w:id="25" w:name="2.2 磋商文件的澄清"/>
      <w:bookmarkEnd w:id="25"/>
      <w:r>
        <w:rPr>
          <w:rFonts w:hint="eastAsia" w:ascii="仿宋" w:hAnsi="仿宋" w:eastAsia="仿宋" w:cs="仿宋"/>
          <w:color w:val="auto"/>
          <w:sz w:val="21"/>
          <w:szCs w:val="21"/>
          <w:highlight w:val="none"/>
        </w:rPr>
        <w:t>磋商文件的澄清</w:t>
      </w:r>
    </w:p>
    <w:p>
      <w:pPr>
        <w:pStyle w:val="28"/>
        <w:keepNext w:val="0"/>
        <w:keepLines w:val="0"/>
        <w:pageBreakBefore w:val="0"/>
        <w:widowControl w:val="0"/>
        <w:numPr>
          <w:ilvl w:val="0"/>
          <w:numId w:val="0"/>
        </w:numPr>
        <w:tabs>
          <w:tab w:val="left" w:pos="523"/>
        </w:tabs>
        <w:kinsoku w:val="0"/>
        <w:wordWrap/>
        <w:overflowPunct w:val="0"/>
        <w:topLinePunct w:val="0"/>
        <w:autoSpaceDE w:val="0"/>
        <w:autoSpaceDN w:val="0"/>
        <w:bidi w:val="0"/>
        <w:adjustRightInd w:val="0"/>
        <w:snapToGrid/>
        <w:spacing w:line="360" w:lineRule="auto"/>
        <w:ind w:left="101" w:leftChars="0" w:firstLine="420" w:firstLineChars="200"/>
        <w:jc w:val="both"/>
        <w:textAlignment w:val="auto"/>
        <w:rPr>
          <w:rFonts w:hint="eastAsia" w:ascii="仿宋" w:hAnsi="仿宋" w:eastAsia="仿宋" w:cs="仿宋"/>
          <w:color w:val="auto"/>
          <w:sz w:val="21"/>
          <w:szCs w:val="21"/>
          <w:highlight w:val="none"/>
        </w:rPr>
      </w:pPr>
      <w:bookmarkStart w:id="26" w:name="2.3 磋商文件的修改"/>
      <w:bookmarkEnd w:id="26"/>
      <w:r>
        <w:rPr>
          <w:rFonts w:hint="eastAsia" w:ascii="仿宋" w:hAnsi="仿宋" w:eastAsia="仿宋" w:cs="仿宋"/>
          <w:color w:val="auto"/>
          <w:sz w:val="21"/>
          <w:szCs w:val="21"/>
          <w:highlight w:val="none"/>
          <w:lang w:val="en-US" w:eastAsia="zh-CN"/>
        </w:rPr>
        <w:t xml:space="preserve">2.2.1 </w:t>
      </w:r>
      <w:r>
        <w:rPr>
          <w:rFonts w:hint="eastAsia" w:ascii="仿宋" w:hAnsi="仿宋" w:eastAsia="仿宋" w:cs="仿宋"/>
          <w:color w:val="auto"/>
          <w:sz w:val="21"/>
          <w:szCs w:val="21"/>
          <w:highlight w:val="none"/>
        </w:rPr>
        <w:t>供应商应仔细阅读和检查磋商文件的全部内容。如发现缺页或附件不全，应及时向采购人 提出，以便补齐。如有疑问，应在供应商须知前附表规定的时间前以书面形式(包括信函、电报、 传真等可以有形地表现所载内容的形式，下同)，要求采购人对磋商文件予以澄清，否则由此引起 的任何后果均由供应商自己承担，采购人与采购代理机构均不承担任何责任。</w:t>
      </w:r>
    </w:p>
    <w:p>
      <w:pPr>
        <w:pStyle w:val="28"/>
        <w:keepNext w:val="0"/>
        <w:keepLines w:val="0"/>
        <w:pageBreakBefore w:val="0"/>
        <w:widowControl w:val="0"/>
        <w:numPr>
          <w:ilvl w:val="0"/>
          <w:numId w:val="0"/>
        </w:numPr>
        <w:tabs>
          <w:tab w:val="left" w:pos="523"/>
        </w:tabs>
        <w:kinsoku w:val="0"/>
        <w:wordWrap/>
        <w:overflowPunct w:val="0"/>
        <w:topLinePunct w:val="0"/>
        <w:autoSpaceDE w:val="0"/>
        <w:autoSpaceDN w:val="0"/>
        <w:bidi w:val="0"/>
        <w:adjustRightInd w:val="0"/>
        <w:snapToGrid/>
        <w:spacing w:line="360" w:lineRule="auto"/>
        <w:ind w:left="101" w:lef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2.2.2 </w:t>
      </w:r>
      <w:r>
        <w:rPr>
          <w:rFonts w:hint="eastAsia" w:ascii="仿宋" w:hAnsi="仿宋" w:eastAsia="仿宋" w:cs="仿宋"/>
          <w:color w:val="auto"/>
          <w:sz w:val="21"/>
          <w:szCs w:val="21"/>
          <w:highlight w:val="none"/>
        </w:rPr>
        <w:t>磋商文件的澄清将在供应商须知前附表规定的提交响应文件截止时间 5 天前以书面形式发 给所有购买磋商文件的供应商，但不指明澄清问题的来源。如果澄清发出的时间距提交响应文件截 止时间不足 5 天，相应延长提交响应文件截止时间。</w:t>
      </w:r>
    </w:p>
    <w:p>
      <w:pPr>
        <w:pStyle w:val="28"/>
        <w:keepNext w:val="0"/>
        <w:keepLines w:val="0"/>
        <w:pageBreakBefore w:val="0"/>
        <w:widowControl w:val="0"/>
        <w:numPr>
          <w:ilvl w:val="0"/>
          <w:numId w:val="0"/>
        </w:numPr>
        <w:tabs>
          <w:tab w:val="left" w:pos="523"/>
        </w:tabs>
        <w:kinsoku w:val="0"/>
        <w:wordWrap/>
        <w:overflowPunct w:val="0"/>
        <w:topLinePunct w:val="0"/>
        <w:autoSpaceDE w:val="0"/>
        <w:autoSpaceDN w:val="0"/>
        <w:bidi w:val="0"/>
        <w:adjustRightInd w:val="0"/>
        <w:snapToGrid/>
        <w:spacing w:line="360" w:lineRule="auto"/>
        <w:ind w:left="101" w:leftChars="0" w:firstLine="420" w:firstLineChars="200"/>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2.2.3 </w:t>
      </w:r>
      <w:r>
        <w:rPr>
          <w:rFonts w:hint="eastAsia" w:ascii="仿宋" w:hAnsi="仿宋" w:eastAsia="仿宋" w:cs="仿宋"/>
          <w:color w:val="auto"/>
          <w:sz w:val="21"/>
          <w:szCs w:val="21"/>
          <w:highlight w:val="none"/>
        </w:rPr>
        <w:t>供应商在收到澄清后，应在供应商须知前附表规定的时间内以书面形式通知采购人，确认已收到该澄清</w:t>
      </w:r>
      <w:r>
        <w:rPr>
          <w:rFonts w:hint="eastAsia" w:ascii="仿宋" w:hAnsi="仿宋" w:eastAsia="仿宋" w:cs="仿宋"/>
          <w:color w:val="auto"/>
          <w:sz w:val="21"/>
          <w:szCs w:val="21"/>
          <w:highlight w:val="none"/>
          <w:lang w:eastAsia="zh-CN"/>
        </w:rPr>
        <w:t>。</w:t>
      </w:r>
    </w:p>
    <w:p>
      <w:pPr>
        <w:pStyle w:val="28"/>
        <w:keepNext w:val="0"/>
        <w:keepLines w:val="0"/>
        <w:pageBreakBefore w:val="0"/>
        <w:widowControl w:val="0"/>
        <w:numPr>
          <w:ilvl w:val="0"/>
          <w:numId w:val="0"/>
        </w:numPr>
        <w:tabs>
          <w:tab w:val="left" w:pos="523"/>
        </w:tabs>
        <w:kinsoku w:val="0"/>
        <w:wordWrap/>
        <w:overflowPunct w:val="0"/>
        <w:topLinePunct w:val="0"/>
        <w:autoSpaceDE w:val="0"/>
        <w:autoSpaceDN w:val="0"/>
        <w:bidi w:val="0"/>
        <w:adjustRightInd w:val="0"/>
        <w:snapToGrid/>
        <w:spacing w:line="360" w:lineRule="auto"/>
        <w:ind w:left="101" w:left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2.3 </w:t>
      </w:r>
      <w:r>
        <w:rPr>
          <w:rFonts w:hint="eastAsia" w:ascii="仿宋" w:hAnsi="仿宋" w:eastAsia="仿宋" w:cs="仿宋"/>
          <w:color w:val="auto"/>
          <w:sz w:val="21"/>
          <w:szCs w:val="21"/>
          <w:highlight w:val="none"/>
        </w:rPr>
        <w:t>磋商文件的修改</w:t>
      </w:r>
    </w:p>
    <w:p>
      <w:pPr>
        <w:pStyle w:val="28"/>
        <w:keepNext w:val="0"/>
        <w:keepLines w:val="0"/>
        <w:pageBreakBefore w:val="0"/>
        <w:widowControl w:val="0"/>
        <w:numPr>
          <w:ilvl w:val="0"/>
          <w:numId w:val="0"/>
        </w:numPr>
        <w:tabs>
          <w:tab w:val="left" w:pos="523"/>
        </w:tabs>
        <w:kinsoku w:val="0"/>
        <w:wordWrap/>
        <w:overflowPunct w:val="0"/>
        <w:topLinePunct w:val="0"/>
        <w:autoSpaceDE w:val="0"/>
        <w:autoSpaceDN w:val="0"/>
        <w:bidi w:val="0"/>
        <w:adjustRightInd w:val="0"/>
        <w:snapToGrid/>
        <w:spacing w:line="360" w:lineRule="auto"/>
        <w:ind w:left="101" w:lef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2.3.1 </w:t>
      </w:r>
      <w:r>
        <w:rPr>
          <w:rFonts w:hint="eastAsia" w:ascii="仿宋" w:hAnsi="仿宋" w:eastAsia="仿宋" w:cs="仿宋"/>
          <w:color w:val="auto"/>
          <w:sz w:val="21"/>
          <w:szCs w:val="21"/>
          <w:highlight w:val="none"/>
        </w:rPr>
        <w:t>在提交响应文件截止5天前，采购人可以书面形式修改磋商文件，并通过“荥阳市公共资源交易中心平台”通知所有已购买磋商文件的供应商。如果修改磋商文件的时间距提交响应文件截止时间不足5天，相应延长提交响应文件截止时间。</w:t>
      </w:r>
    </w:p>
    <w:p>
      <w:pPr>
        <w:pStyle w:val="28"/>
        <w:keepNext w:val="0"/>
        <w:keepLines w:val="0"/>
        <w:pageBreakBefore w:val="0"/>
        <w:widowControl w:val="0"/>
        <w:numPr>
          <w:ilvl w:val="0"/>
          <w:numId w:val="0"/>
        </w:numPr>
        <w:tabs>
          <w:tab w:val="left" w:pos="523"/>
        </w:tabs>
        <w:kinsoku w:val="0"/>
        <w:wordWrap/>
        <w:overflowPunct w:val="0"/>
        <w:topLinePunct w:val="0"/>
        <w:autoSpaceDE w:val="0"/>
        <w:autoSpaceDN w:val="0"/>
        <w:bidi w:val="0"/>
        <w:adjustRightInd w:val="0"/>
        <w:snapToGrid/>
        <w:spacing w:line="360" w:lineRule="auto"/>
        <w:ind w:left="101" w:lef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2.3.2 </w:t>
      </w:r>
      <w:r>
        <w:rPr>
          <w:rFonts w:hint="eastAsia" w:ascii="仿宋" w:hAnsi="仿宋" w:eastAsia="仿宋" w:cs="仿宋"/>
          <w:color w:val="auto"/>
          <w:sz w:val="21"/>
          <w:szCs w:val="21"/>
          <w:highlight w:val="none"/>
        </w:rPr>
        <w:t>请各供应商及时关注交易平台，因供应商未看到或其他原因造成的后果，由供应商自行承担。</w:t>
      </w:r>
    </w:p>
    <w:p>
      <w:pPr>
        <w:pStyle w:val="6"/>
        <w:keepNext w:val="0"/>
        <w:keepLines w:val="0"/>
        <w:pageBreakBefore w:val="0"/>
        <w:widowControl w:val="0"/>
        <w:numPr>
          <w:ilvl w:val="0"/>
          <w:numId w:val="5"/>
        </w:numPr>
        <w:tabs>
          <w:tab w:val="left" w:pos="420"/>
        </w:tabs>
        <w:kinsoku w:val="0"/>
        <w:wordWrap/>
        <w:overflowPunct w:val="0"/>
        <w:topLinePunct w:val="0"/>
        <w:autoSpaceDE w:val="0"/>
        <w:autoSpaceDN w:val="0"/>
        <w:bidi w:val="0"/>
        <w:adjustRightInd w:val="0"/>
        <w:snapToGrid/>
        <w:spacing w:line="360" w:lineRule="auto"/>
        <w:ind w:hanging="318"/>
        <w:jc w:val="both"/>
        <w:textAlignment w:val="auto"/>
        <w:rPr>
          <w:rFonts w:hint="eastAsia" w:ascii="仿宋" w:hAnsi="仿宋" w:eastAsia="仿宋" w:cs="仿宋"/>
          <w:color w:val="auto"/>
          <w:sz w:val="21"/>
          <w:szCs w:val="21"/>
          <w:highlight w:val="none"/>
        </w:rPr>
      </w:pPr>
      <w:bookmarkStart w:id="27" w:name="3. 响应文件"/>
      <w:bookmarkEnd w:id="27"/>
      <w:r>
        <w:rPr>
          <w:rFonts w:hint="eastAsia" w:ascii="仿宋" w:hAnsi="仿宋" w:eastAsia="仿宋" w:cs="仿宋"/>
          <w:color w:val="auto"/>
          <w:sz w:val="21"/>
          <w:szCs w:val="21"/>
          <w:highlight w:val="none"/>
        </w:rPr>
        <w:t>响应文件</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28" w:name="3.1 响应文件的组成"/>
      <w:bookmarkEnd w:id="28"/>
      <w:r>
        <w:rPr>
          <w:rFonts w:hint="eastAsia" w:ascii="仿宋" w:hAnsi="仿宋" w:eastAsia="仿宋" w:cs="仿宋"/>
          <w:color w:val="auto"/>
          <w:sz w:val="21"/>
          <w:szCs w:val="21"/>
          <w:highlight w:val="none"/>
        </w:rPr>
        <w:t>响应文件的组成</w:t>
      </w:r>
    </w:p>
    <w:p>
      <w:pPr>
        <w:pStyle w:val="28"/>
        <w:keepNext w:val="0"/>
        <w:keepLines w:val="0"/>
        <w:pageBreakBefore w:val="0"/>
        <w:widowControl w:val="0"/>
        <w:numPr>
          <w:ilvl w:val="2"/>
          <w:numId w:val="5"/>
        </w:numPr>
        <w:tabs>
          <w:tab w:val="left" w:pos="681"/>
        </w:tabs>
        <w:kinsoku w:val="0"/>
        <w:wordWrap/>
        <w:overflowPunct w:val="0"/>
        <w:topLinePunct w:val="0"/>
        <w:autoSpaceDE w:val="0"/>
        <w:autoSpaceDN w:val="0"/>
        <w:bidi w:val="0"/>
        <w:adjustRightInd w:val="0"/>
        <w:snapToGrid/>
        <w:spacing w:line="360" w:lineRule="auto"/>
        <w:ind w:right="3740" w:rightChars="0" w:firstLine="0"/>
        <w:textAlignment w:val="auto"/>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响应文件应包括下列内容：</w:t>
      </w:r>
    </w:p>
    <w:p>
      <w:pPr>
        <w:pStyle w:val="28"/>
        <w:keepNext w:val="0"/>
        <w:keepLines w:val="0"/>
        <w:pageBreakBefore w:val="0"/>
        <w:widowControl w:val="0"/>
        <w:numPr>
          <w:ilvl w:val="0"/>
          <w:numId w:val="0"/>
        </w:numPr>
        <w:tabs>
          <w:tab w:val="left" w:pos="681"/>
        </w:tabs>
        <w:kinsoku w:val="0"/>
        <w:wordWrap/>
        <w:overflowPunct w:val="0"/>
        <w:topLinePunct w:val="0"/>
        <w:autoSpaceDE w:val="0"/>
        <w:autoSpaceDN w:val="0"/>
        <w:bidi w:val="0"/>
        <w:adjustRightInd w:val="0"/>
        <w:snapToGrid/>
        <w:spacing w:line="360" w:lineRule="auto"/>
        <w:ind w:left="102" w:leftChars="0" w:right="2860" w:rightChars="0" w:firstLine="416" w:firstLineChars="200"/>
        <w:textAlignment w:val="auto"/>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一、磋商函及磋商函附录</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418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二、法定代表人身份证明</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4180"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三、授权委托书</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四、供应商基本情况</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五、技术部分</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六、商务部分</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七、供应商认为需提供的反映其实力的其他材料</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29" w:name="3.2 投标报价"/>
      <w:bookmarkEnd w:id="29"/>
      <w:r>
        <w:rPr>
          <w:rFonts w:hint="eastAsia" w:ascii="仿宋" w:hAnsi="仿宋" w:eastAsia="仿宋" w:cs="仿宋"/>
          <w:color w:val="auto"/>
          <w:sz w:val="21"/>
          <w:szCs w:val="21"/>
          <w:highlight w:val="none"/>
        </w:rPr>
        <w:t>投标报价</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投标报价中供应商应报出投标总价。</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3"/>
          <w:sz w:val="21"/>
          <w:szCs w:val="21"/>
          <w:highlight w:val="none"/>
        </w:rPr>
      </w:pPr>
      <w:r>
        <w:rPr>
          <w:rFonts w:hint="eastAsia" w:ascii="仿宋" w:hAnsi="仿宋" w:eastAsia="仿宋" w:cs="仿宋"/>
          <w:color w:val="auto"/>
          <w:sz w:val="21"/>
          <w:szCs w:val="21"/>
          <w:highlight w:val="none"/>
          <w:lang w:val="en-US" w:eastAsia="zh-CN" w:bidi="ar-SA"/>
        </w:rPr>
        <w:t>供应商的投标报价应包含验收合格正式交付使用前所发生的一切费用，且供应商只能提出一个不变价格，采购人不接受任何选择价。</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left="1100" w:hanging="57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响应文件的投标报价，应是完成本文件所列采购范围的全部内容。</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30" w:name="3.3 投标有效期"/>
      <w:bookmarkEnd w:id="30"/>
      <w:r>
        <w:rPr>
          <w:rFonts w:hint="eastAsia" w:ascii="仿宋" w:hAnsi="仿宋" w:eastAsia="仿宋" w:cs="仿宋"/>
          <w:color w:val="auto"/>
          <w:sz w:val="21"/>
          <w:szCs w:val="21"/>
          <w:highlight w:val="none"/>
        </w:rPr>
        <w:t>磋商有效期</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left="1100" w:hanging="579"/>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在供应商须知前附表规定的磋商有效期内，供应商不得要求撤销或修改其响应文件。</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jc w:val="both"/>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rPr>
        <w:t>出现特殊情况需要延长磋商有效期的，采购人以书面形式通知所有供应商延长磋商有效期。供应商</w:t>
      </w:r>
      <w:r>
        <w:rPr>
          <w:rFonts w:hint="eastAsia" w:ascii="仿宋" w:hAnsi="仿宋" w:eastAsia="仿宋" w:cs="仿宋"/>
          <w:color w:val="auto"/>
          <w:spacing w:val="-2"/>
          <w:sz w:val="21"/>
          <w:szCs w:val="21"/>
          <w:highlight w:val="none"/>
        </w:rPr>
        <w:t>同意延长的，应相应延长其投标承诺函的有效期，但不得要求或被允许修改或撤销其响应文件；供应商拒绝延长的，其投标失效。</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jc w:val="both"/>
        <w:textAlignment w:val="auto"/>
        <w:rPr>
          <w:rFonts w:hint="eastAsia" w:ascii="仿宋" w:hAnsi="仿宋" w:eastAsia="仿宋" w:cs="仿宋"/>
          <w:color w:val="auto"/>
          <w:sz w:val="21"/>
          <w:szCs w:val="21"/>
          <w:highlight w:val="none"/>
        </w:rPr>
      </w:pPr>
      <w:bookmarkStart w:id="31" w:name="3.4 投标保证金"/>
      <w:bookmarkEnd w:id="31"/>
      <w:r>
        <w:rPr>
          <w:rFonts w:hint="eastAsia" w:ascii="仿宋" w:hAnsi="仿宋" w:eastAsia="仿宋" w:cs="仿宋"/>
          <w:color w:val="auto"/>
          <w:sz w:val="21"/>
          <w:szCs w:val="21"/>
          <w:highlight w:val="none"/>
        </w:rPr>
        <w:t>投标保证金</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222"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按照河南省财政厅发布《关于优化政府采购营商环境有关问题的通知》，本采购项目不再收取投标保证金。</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资格审查资料</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222"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供应商在编制响应文件时，应按新情况提供相关资料，以证实其各项资格条件仍能继续满足磋商文件的要求，具备承担本项目的资质条件、能力和信誉。</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32" w:name="3.6 备选投标方案"/>
      <w:bookmarkEnd w:id="32"/>
      <w:r>
        <w:rPr>
          <w:rFonts w:hint="eastAsia" w:ascii="仿宋" w:hAnsi="仿宋" w:eastAsia="仿宋" w:cs="仿宋"/>
          <w:color w:val="auto"/>
          <w:sz w:val="21"/>
          <w:szCs w:val="21"/>
          <w:highlight w:val="none"/>
        </w:rPr>
        <w:t>备选投标方案</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222" w:firstLine="42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供应商须知前附表另有规定外，供应商不得递交备选投标方案。允许供应商递交备选投标方案的，只有成交供应商所递交的备选投标方案方可予以考虑。磋商小组认为成交供应商的备选投标方案优于其按照磋商文件要求编制的投标方案的，采购人可以接受该备选投标方案。</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jc w:val="both"/>
        <w:textAlignment w:val="auto"/>
        <w:rPr>
          <w:rFonts w:hint="eastAsia" w:ascii="仿宋" w:hAnsi="仿宋" w:eastAsia="仿宋" w:cs="仿宋"/>
          <w:color w:val="auto"/>
          <w:sz w:val="21"/>
          <w:szCs w:val="21"/>
          <w:highlight w:val="none"/>
        </w:rPr>
      </w:pPr>
      <w:bookmarkStart w:id="33" w:name="3.7 响应文件的编制"/>
      <w:bookmarkEnd w:id="33"/>
      <w:r>
        <w:rPr>
          <w:rFonts w:hint="eastAsia" w:ascii="仿宋" w:hAnsi="仿宋" w:eastAsia="仿宋" w:cs="仿宋"/>
          <w:color w:val="auto"/>
          <w:sz w:val="21"/>
          <w:szCs w:val="21"/>
          <w:highlight w:val="none"/>
        </w:rPr>
        <w:t>响应文件的编制</w:t>
      </w:r>
    </w:p>
    <w:p>
      <w:pPr>
        <w:pStyle w:val="28"/>
        <w:keepNext w:val="0"/>
        <w:keepLines w:val="0"/>
        <w:pageBreakBefore w:val="0"/>
        <w:widowControl w:val="0"/>
        <w:numPr>
          <w:ilvl w:val="2"/>
          <w:numId w:val="5"/>
        </w:numPr>
        <w:tabs>
          <w:tab w:val="left" w:pos="1101"/>
        </w:tabs>
        <w:wordWrap/>
        <w:topLinePunct w:val="0"/>
        <w:autoSpaceDE w:val="0"/>
        <w:autoSpaceDN w:val="0"/>
        <w:bidi w:val="0"/>
        <w:adjustRightInd w:val="0"/>
        <w:snapToGrid/>
        <w:spacing w:line="360" w:lineRule="auto"/>
        <w:ind w:right="221" w:firstLine="420"/>
        <w:jc w:val="both"/>
        <w:textAlignment w:val="auto"/>
        <w:rPr>
          <w:rFonts w:hint="eastAsia" w:ascii="仿宋" w:hAnsi="仿宋" w:eastAsia="仿宋" w:cs="仿宋"/>
          <w:color w:val="auto"/>
          <w:spacing w:val="-2"/>
          <w:sz w:val="21"/>
          <w:szCs w:val="21"/>
          <w:highlight w:val="none"/>
        </w:rPr>
      </w:pPr>
      <w:r>
        <w:rPr>
          <w:rFonts w:hint="eastAsia" w:ascii="仿宋" w:hAnsi="仿宋" w:eastAsia="仿宋" w:cs="仿宋"/>
          <w:color w:val="auto"/>
          <w:sz w:val="21"/>
          <w:szCs w:val="21"/>
          <w:highlight w:val="none"/>
          <w:lang w:val="en-US" w:eastAsia="zh-CN" w:bidi="ar-SA"/>
        </w:rPr>
        <w:t>响应文件应按第六章“竞争性磋商响应文件格式”进行编写，如有必要，可以增加附页，作为响应文件的组成部分。其中，磋</w:t>
      </w:r>
      <w:r>
        <w:rPr>
          <w:rFonts w:hint="eastAsia" w:ascii="仿宋" w:hAnsi="仿宋" w:eastAsia="仿宋" w:cs="仿宋"/>
          <w:color w:val="auto"/>
          <w:spacing w:val="-2"/>
          <w:sz w:val="21"/>
          <w:szCs w:val="21"/>
          <w:highlight w:val="none"/>
        </w:rPr>
        <w:t>商响应函附录在满足磋商文件实质性要求的基础上，可以提出比磋商文件要求更有利于采购人的承诺。</w:t>
      </w:r>
    </w:p>
    <w:p>
      <w:pPr>
        <w:pStyle w:val="28"/>
        <w:keepNext w:val="0"/>
        <w:keepLines w:val="0"/>
        <w:pageBreakBefore w:val="0"/>
        <w:widowControl w:val="0"/>
        <w:numPr>
          <w:ilvl w:val="2"/>
          <w:numId w:val="5"/>
        </w:numPr>
        <w:tabs>
          <w:tab w:val="left" w:pos="1101"/>
        </w:tabs>
        <w:wordWrap/>
        <w:topLinePunct w:val="0"/>
        <w:autoSpaceDE w:val="0"/>
        <w:autoSpaceDN w:val="0"/>
        <w:bidi w:val="0"/>
        <w:adjustRightInd w:val="0"/>
        <w:snapToGrid/>
        <w:spacing w:line="360" w:lineRule="auto"/>
        <w:ind w:right="221" w:firstLine="420"/>
        <w:jc w:val="both"/>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响应文件应当对磋商文件有关采购内容、磋商有效期、服务期限、质量要求、采购需求等实质性内容作出响应。</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3"/>
          <w:sz w:val="21"/>
          <w:szCs w:val="21"/>
          <w:highlight w:val="none"/>
        </w:rPr>
      </w:pPr>
      <w:r>
        <w:rPr>
          <w:rFonts w:hint="eastAsia" w:ascii="仿宋" w:hAnsi="仿宋" w:eastAsia="仿宋" w:cs="仿宋"/>
          <w:color w:val="auto"/>
          <w:spacing w:val="-4"/>
          <w:sz w:val="21"/>
          <w:szCs w:val="21"/>
          <w:highlight w:val="none"/>
        </w:rPr>
        <w:t>供应商必须对响应文件所提供的全部资料的真实性承担法律责任，并无条件接受招标单位及招标</w:t>
      </w:r>
      <w:r>
        <w:rPr>
          <w:rFonts w:hint="eastAsia" w:ascii="仿宋" w:hAnsi="仿宋" w:eastAsia="仿宋" w:cs="仿宋"/>
          <w:color w:val="auto"/>
          <w:spacing w:val="-3"/>
          <w:sz w:val="21"/>
          <w:szCs w:val="21"/>
          <w:highlight w:val="none"/>
        </w:rPr>
        <w:t>监督管理部门等对其中任何资料进行核实的要求。</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jc w:val="both"/>
        <w:textAlignment w:val="auto"/>
        <w:rPr>
          <w:rFonts w:hint="eastAsia" w:ascii="仿宋" w:hAnsi="仿宋" w:eastAsia="仿宋" w:cs="仿宋"/>
          <w:color w:val="auto"/>
          <w:sz w:val="21"/>
          <w:szCs w:val="21"/>
          <w:highlight w:val="none"/>
        </w:rPr>
      </w:pPr>
      <w:bookmarkStart w:id="34" w:name="3.8响应文件的样式和签署"/>
      <w:bookmarkEnd w:id="34"/>
      <w:r>
        <w:rPr>
          <w:rFonts w:hint="eastAsia" w:ascii="仿宋" w:hAnsi="仿宋" w:eastAsia="仿宋" w:cs="仿宋"/>
          <w:color w:val="auto"/>
          <w:sz w:val="21"/>
          <w:szCs w:val="21"/>
          <w:highlight w:val="none"/>
        </w:rPr>
        <w:t>响应文件的样式和签署</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left="1100" w:hanging="57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供应商须在响应文件递交截止时间前制作并提交响应文件。</w:t>
      </w:r>
    </w:p>
    <w:p>
      <w:pPr>
        <w:pStyle w:val="28"/>
        <w:keepNext w:val="0"/>
        <w:keepLines w:val="0"/>
        <w:pageBreakBefore w:val="0"/>
        <w:widowControl w:val="0"/>
        <w:numPr>
          <w:ilvl w:val="0"/>
          <w:numId w:val="0"/>
        </w:numPr>
        <w:tabs>
          <w:tab w:val="left" w:pos="1101"/>
        </w:tabs>
        <w:kinsoku w:val="0"/>
        <w:wordWrap/>
        <w:overflowPunct w:val="0"/>
        <w:topLinePunct w:val="0"/>
        <w:autoSpaceDE w:val="0"/>
        <w:autoSpaceDN w:val="0"/>
        <w:bidi w:val="0"/>
        <w:adjustRightInd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（1）加密的电子响应文件（*.hntf格式）,应在投标截止时间前通过“</w:t>
      </w:r>
      <w:r>
        <w:rPr>
          <w:rFonts w:hint="eastAsia" w:ascii="仿宋" w:hAnsi="仿宋" w:eastAsia="仿宋" w:cs="仿宋"/>
          <w:color w:val="auto"/>
          <w:sz w:val="21"/>
          <w:szCs w:val="21"/>
          <w:highlight w:val="none"/>
          <w:lang w:val="en-US" w:eastAsia="zh-CN"/>
        </w:rPr>
        <w:t>中牟县</w:t>
      </w:r>
      <w:r>
        <w:rPr>
          <w:rFonts w:hint="eastAsia" w:ascii="仿宋" w:hAnsi="仿宋" w:eastAsia="仿宋" w:cs="仿宋"/>
          <w:color w:val="auto"/>
          <w:sz w:val="21"/>
          <w:szCs w:val="21"/>
          <w:highlight w:val="none"/>
        </w:rPr>
        <w:t>公共资源交易中心（http://www.zmxggzy.com/）”电子交易平台内上传；</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bookmarkStart w:id="35" w:name="4. 投标"/>
      <w:bookmarkEnd w:id="35"/>
      <w:r>
        <w:rPr>
          <w:rFonts w:hint="eastAsia" w:ascii="仿宋" w:hAnsi="仿宋" w:eastAsia="仿宋" w:cs="仿宋"/>
          <w:color w:val="auto"/>
          <w:spacing w:val="-4"/>
          <w:sz w:val="21"/>
          <w:szCs w:val="21"/>
          <w:highlight w:val="none"/>
        </w:rPr>
        <w:t>加密的电子响应文件为“</w:t>
      </w:r>
      <w:r>
        <w:rPr>
          <w:rFonts w:hint="eastAsia" w:ascii="仿宋" w:hAnsi="仿宋" w:eastAsia="仿宋" w:cs="仿宋"/>
          <w:color w:val="auto"/>
          <w:spacing w:val="-4"/>
          <w:sz w:val="21"/>
          <w:szCs w:val="21"/>
          <w:highlight w:val="none"/>
          <w:lang w:val="en-US" w:eastAsia="zh-CN"/>
        </w:rPr>
        <w:t>中牟县</w:t>
      </w:r>
      <w:r>
        <w:rPr>
          <w:rFonts w:hint="eastAsia" w:ascii="仿宋" w:hAnsi="仿宋" w:eastAsia="仿宋" w:cs="仿宋"/>
          <w:color w:val="auto"/>
          <w:spacing w:val="-4"/>
          <w:sz w:val="21"/>
          <w:szCs w:val="21"/>
          <w:highlight w:val="none"/>
        </w:rPr>
        <w:t>公共资源交易中心（http://www.zmxggzy.com/）”网站提供的“响应文件制作工具”软件制作生成的加密版响应文件。</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left="1100" w:hanging="57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供应商在制作电子响应文件时：</w:t>
      </w:r>
    </w:p>
    <w:p>
      <w:pPr>
        <w:pStyle w:val="28"/>
        <w:keepNext w:val="0"/>
        <w:keepLines w:val="0"/>
        <w:pageBreakBefore w:val="0"/>
        <w:widowControl w:val="0"/>
        <w:numPr>
          <w:ilvl w:val="0"/>
          <w:numId w:val="8"/>
        </w:numPr>
        <w:tabs>
          <w:tab w:val="left" w:pos="1047"/>
        </w:tabs>
        <w:kinsoku w:val="0"/>
        <w:wordWrap/>
        <w:overflowPunct w:val="0"/>
        <w:topLinePunct w:val="0"/>
        <w:autoSpaceDE w:val="0"/>
        <w:autoSpaceDN w:val="0"/>
        <w:bidi w:val="0"/>
        <w:adjustRightInd w:val="0"/>
        <w:snapToGrid/>
        <w:spacing w:line="360" w:lineRule="auto"/>
        <w:ind w:right="222" w:firstLine="420"/>
        <w:jc w:val="both"/>
        <w:textAlignment w:val="auto"/>
        <w:rPr>
          <w:rFonts w:hint="eastAsia" w:ascii="仿宋" w:hAnsi="仿宋" w:eastAsia="仿宋" w:cs="仿宋"/>
          <w:color w:val="auto"/>
          <w:spacing w:val="-3"/>
          <w:sz w:val="21"/>
          <w:szCs w:val="21"/>
          <w:highlight w:val="none"/>
        </w:rPr>
      </w:pPr>
      <w:r>
        <w:rPr>
          <w:rFonts w:hint="eastAsia" w:ascii="仿宋" w:hAnsi="仿宋" w:eastAsia="仿宋" w:cs="仿宋"/>
          <w:color w:val="auto"/>
          <w:sz w:val="21"/>
          <w:szCs w:val="21"/>
          <w:highlight w:val="none"/>
        </w:rPr>
        <w:t>“响应文件制作工具”左侧栏目“响应文件封面”、“磋商响应一览表”制作完成后须加盖电子签</w:t>
      </w:r>
      <w:r>
        <w:rPr>
          <w:rFonts w:hint="eastAsia" w:ascii="仿宋" w:hAnsi="仿宋" w:eastAsia="仿宋" w:cs="仿宋"/>
          <w:color w:val="auto"/>
          <w:spacing w:val="-3"/>
          <w:sz w:val="21"/>
          <w:szCs w:val="21"/>
          <w:highlight w:val="none"/>
        </w:rPr>
        <w:t>章（包括企业电子签章和个人电子签章）；</w:t>
      </w:r>
    </w:p>
    <w:p>
      <w:pPr>
        <w:pStyle w:val="28"/>
        <w:keepNext w:val="0"/>
        <w:keepLines w:val="0"/>
        <w:pageBreakBefore w:val="0"/>
        <w:widowControl w:val="0"/>
        <w:numPr>
          <w:ilvl w:val="0"/>
          <w:numId w:val="8"/>
        </w:numPr>
        <w:tabs>
          <w:tab w:val="left" w:pos="1053"/>
        </w:tabs>
        <w:kinsoku w:val="0"/>
        <w:wordWrap/>
        <w:overflowPunct w:val="0"/>
        <w:topLinePunct w:val="0"/>
        <w:autoSpaceDE w:val="0"/>
        <w:autoSpaceDN w:val="0"/>
        <w:bidi w:val="0"/>
        <w:adjustRightInd w:val="0"/>
        <w:snapToGrid/>
        <w:spacing w:line="360" w:lineRule="auto"/>
        <w:ind w:right="222" w:firstLine="42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左侧栏目“响应文件正文”中的要求签字盖章的格式内容，供应商须按格式内容要求进行电子签章（包括企业电子签章、个人电子签章）。</w:t>
      </w:r>
    </w:p>
    <w:p>
      <w:pPr>
        <w:pStyle w:val="28"/>
        <w:keepNext w:val="0"/>
        <w:keepLines w:val="0"/>
        <w:pageBreakBefore w:val="0"/>
        <w:widowControl w:val="0"/>
        <w:numPr>
          <w:ilvl w:val="0"/>
          <w:numId w:val="8"/>
        </w:numPr>
        <w:tabs>
          <w:tab w:val="left" w:pos="1053"/>
        </w:tabs>
        <w:kinsoku w:val="0"/>
        <w:wordWrap/>
        <w:overflowPunct w:val="0"/>
        <w:topLinePunct w:val="0"/>
        <w:autoSpaceDE w:val="0"/>
        <w:autoSpaceDN w:val="0"/>
        <w:bidi w:val="0"/>
        <w:adjustRightInd w:val="0"/>
        <w:snapToGrid/>
        <w:spacing w:line="360" w:lineRule="auto"/>
        <w:ind w:right="222" w:firstLine="42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将所有不可编辑扫描内容（包括营业执照、资质证书等扫描件）电子签章（企业电子签章）。</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响应文件格式所要求包含的全部资料应全部制作在响应文件内，严格按照本项目磋商文件所有格</w:t>
      </w:r>
      <w:r>
        <w:rPr>
          <w:rFonts w:hint="eastAsia" w:ascii="仿宋" w:hAnsi="仿宋" w:eastAsia="仿宋" w:cs="仿宋"/>
          <w:color w:val="auto"/>
          <w:spacing w:val="-1"/>
          <w:sz w:val="21"/>
          <w:szCs w:val="21"/>
          <w:highlight w:val="none"/>
        </w:rPr>
        <w:t>式如实填写</w:t>
      </w:r>
      <w:r>
        <w:rPr>
          <w:rFonts w:hint="eastAsia" w:ascii="仿宋" w:hAnsi="仿宋" w:eastAsia="仿宋" w:cs="仿宋"/>
          <w:color w:val="auto"/>
          <w:sz w:val="21"/>
          <w:szCs w:val="21"/>
          <w:highlight w:val="none"/>
        </w:rPr>
        <w:t>（不涉及的内容除外</w:t>
      </w:r>
      <w:r>
        <w:rPr>
          <w:rFonts w:hint="eastAsia" w:ascii="仿宋" w:hAnsi="仿宋" w:eastAsia="仿宋" w:cs="仿宋"/>
          <w:color w:val="auto"/>
          <w:spacing w:val="3"/>
          <w:sz w:val="21"/>
          <w:szCs w:val="21"/>
          <w:highlight w:val="none"/>
        </w:rPr>
        <w:t>）</w:t>
      </w:r>
      <w:r>
        <w:rPr>
          <w:rFonts w:hint="eastAsia" w:ascii="仿宋" w:hAnsi="仿宋" w:eastAsia="仿宋" w:cs="仿宋"/>
          <w:color w:val="auto"/>
          <w:sz w:val="21"/>
          <w:szCs w:val="21"/>
          <w:highlight w:val="none"/>
        </w:rPr>
        <w:t>，不应存在漏项或缺项，否则将存在响应文件被拒绝的风险。开标一览表，须严格按照格式编辑，并作为电子开评标系统上传的依据。</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left="1100" w:hanging="579"/>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电子响应文件以外的任何资料采购人和代理机构将拒收。</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供应商编辑电子响应文件时，根据磋商文件要求用</w:t>
      </w:r>
      <w:r>
        <w:rPr>
          <w:rFonts w:hint="eastAsia" w:ascii="仿宋" w:hAnsi="仿宋" w:eastAsia="仿宋" w:cs="仿宋"/>
          <w:color w:val="auto"/>
          <w:sz w:val="21"/>
          <w:szCs w:val="21"/>
          <w:highlight w:val="none"/>
        </w:rPr>
        <w:t>CA</w:t>
      </w:r>
      <w:r>
        <w:rPr>
          <w:rFonts w:hint="eastAsia" w:ascii="仿宋" w:hAnsi="仿宋" w:eastAsia="仿宋" w:cs="仿宋"/>
          <w:color w:val="auto"/>
          <w:spacing w:val="-7"/>
          <w:sz w:val="21"/>
          <w:szCs w:val="21"/>
          <w:highlight w:val="none"/>
        </w:rPr>
        <w:t>密钥进行签章制作；最后一步生成电子响应文件（*.hntf</w:t>
      </w:r>
      <w:r>
        <w:rPr>
          <w:rFonts w:hint="eastAsia" w:ascii="仿宋" w:hAnsi="仿宋" w:eastAsia="仿宋" w:cs="仿宋"/>
          <w:color w:val="auto"/>
          <w:spacing w:val="-1"/>
          <w:sz w:val="21"/>
          <w:szCs w:val="21"/>
          <w:highlight w:val="none"/>
        </w:rPr>
        <w:t>格式和</w:t>
      </w:r>
      <w:r>
        <w:rPr>
          <w:rFonts w:hint="eastAsia" w:ascii="仿宋" w:hAnsi="仿宋" w:eastAsia="仿宋" w:cs="仿宋"/>
          <w:color w:val="auto"/>
          <w:sz w:val="21"/>
          <w:szCs w:val="21"/>
          <w:highlight w:val="none"/>
        </w:rPr>
        <w:t>*.nhntf</w:t>
      </w:r>
      <w:r>
        <w:rPr>
          <w:rFonts w:hint="eastAsia" w:ascii="仿宋" w:hAnsi="仿宋" w:eastAsia="仿宋" w:cs="仿宋"/>
          <w:color w:val="auto"/>
          <w:spacing w:val="-1"/>
          <w:sz w:val="21"/>
          <w:szCs w:val="21"/>
          <w:highlight w:val="none"/>
        </w:rPr>
        <w:t>格式</w:t>
      </w:r>
      <w:r>
        <w:rPr>
          <w:rFonts w:hint="eastAsia" w:ascii="仿宋" w:hAnsi="仿宋" w:eastAsia="仿宋" w:cs="仿宋"/>
          <w:color w:val="auto"/>
          <w:sz w:val="21"/>
          <w:szCs w:val="21"/>
          <w:highlight w:val="none"/>
        </w:rPr>
        <w:t>）时，只能用本单位的企业CA</w:t>
      </w:r>
      <w:r>
        <w:rPr>
          <w:rFonts w:hint="eastAsia" w:ascii="仿宋" w:hAnsi="仿宋" w:eastAsia="仿宋" w:cs="仿宋"/>
          <w:color w:val="auto"/>
          <w:spacing w:val="-1"/>
          <w:sz w:val="21"/>
          <w:szCs w:val="21"/>
          <w:highlight w:val="none"/>
        </w:rPr>
        <w:t>密钥</w:t>
      </w:r>
      <w:r>
        <w:rPr>
          <w:rFonts w:hint="eastAsia" w:ascii="仿宋" w:hAnsi="仿宋" w:eastAsia="仿宋" w:cs="仿宋"/>
          <w:color w:val="auto"/>
          <w:spacing w:val="-4"/>
          <w:sz w:val="21"/>
          <w:szCs w:val="21"/>
          <w:highlight w:val="none"/>
        </w:rPr>
        <w:t>。</w:t>
      </w:r>
    </w:p>
    <w:p>
      <w:pPr>
        <w:pStyle w:val="6"/>
        <w:keepNext w:val="0"/>
        <w:keepLines w:val="0"/>
        <w:pageBreakBefore w:val="0"/>
        <w:widowControl w:val="0"/>
        <w:numPr>
          <w:ilvl w:val="0"/>
          <w:numId w:val="5"/>
        </w:numPr>
        <w:tabs>
          <w:tab w:val="left" w:pos="420"/>
        </w:tabs>
        <w:kinsoku w:val="0"/>
        <w:wordWrap/>
        <w:overflowPunct w:val="0"/>
        <w:topLinePunct w:val="0"/>
        <w:autoSpaceDE w:val="0"/>
        <w:autoSpaceDN w:val="0"/>
        <w:bidi w:val="0"/>
        <w:adjustRightInd w:val="0"/>
        <w:snapToGrid/>
        <w:spacing w:line="360" w:lineRule="auto"/>
        <w:ind w:hanging="318"/>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w:t>
      </w:r>
    </w:p>
    <w:p>
      <w:pPr>
        <w:pStyle w:val="28"/>
        <w:keepNext w:val="0"/>
        <w:keepLines w:val="0"/>
        <w:pageBreakBefore w:val="0"/>
        <w:widowControl w:val="0"/>
        <w:numPr>
          <w:ilvl w:val="1"/>
          <w:numId w:val="5"/>
        </w:numPr>
        <w:tabs>
          <w:tab w:val="left" w:pos="472"/>
        </w:tabs>
        <w:kinsoku w:val="0"/>
        <w:wordWrap/>
        <w:overflowPunct w:val="0"/>
        <w:topLinePunct w:val="0"/>
        <w:autoSpaceDE w:val="0"/>
        <w:autoSpaceDN w:val="0"/>
        <w:bidi w:val="0"/>
        <w:adjustRightInd w:val="0"/>
        <w:snapToGrid/>
        <w:spacing w:line="360" w:lineRule="auto"/>
        <w:ind w:left="472" w:hanging="370"/>
        <w:textAlignment w:val="auto"/>
        <w:rPr>
          <w:rFonts w:hint="eastAsia" w:ascii="仿宋" w:hAnsi="仿宋" w:eastAsia="仿宋" w:cs="仿宋"/>
          <w:b/>
          <w:color w:val="auto"/>
          <w:sz w:val="21"/>
          <w:szCs w:val="21"/>
          <w:highlight w:val="none"/>
        </w:rPr>
      </w:pPr>
      <w:bookmarkStart w:id="36" w:name="4.1响应文件的密封和标记"/>
      <w:bookmarkEnd w:id="36"/>
      <w:r>
        <w:rPr>
          <w:rFonts w:hint="eastAsia" w:ascii="仿宋" w:hAnsi="仿宋" w:eastAsia="仿宋" w:cs="仿宋"/>
          <w:b/>
          <w:color w:val="auto"/>
          <w:sz w:val="21"/>
          <w:szCs w:val="21"/>
          <w:highlight w:val="none"/>
        </w:rPr>
        <w:t>响应文件的密封和标记</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交易中心系统上传的电子响应文件应使用数字证书认证并加密。</w:t>
      </w:r>
    </w:p>
    <w:p>
      <w:pPr>
        <w:pStyle w:val="6"/>
        <w:keepNext w:val="0"/>
        <w:keepLines w:val="0"/>
        <w:pageBreakBefore w:val="0"/>
        <w:widowControl w:val="0"/>
        <w:numPr>
          <w:ilvl w:val="1"/>
          <w:numId w:val="5"/>
        </w:numPr>
        <w:tabs>
          <w:tab w:val="left" w:pos="472"/>
        </w:tabs>
        <w:kinsoku w:val="0"/>
        <w:wordWrap/>
        <w:overflowPunct w:val="0"/>
        <w:topLinePunct w:val="0"/>
        <w:autoSpaceDE w:val="0"/>
        <w:autoSpaceDN w:val="0"/>
        <w:bidi w:val="0"/>
        <w:adjustRightInd w:val="0"/>
        <w:snapToGrid/>
        <w:spacing w:line="360" w:lineRule="auto"/>
        <w:ind w:left="472" w:hanging="37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响应文件的递交</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本项目实行电子开评标，获取磋商文件后，请各供应商在“中牟县公共资源交易中心门户网 站(</w:t>
      </w:r>
      <w:r>
        <w:rPr>
          <w:rFonts w:hint="eastAsia" w:ascii="仿宋" w:hAnsi="仿宋" w:eastAsia="仿宋" w:cs="仿宋"/>
          <w:color w:val="auto"/>
          <w:spacing w:val="-4"/>
          <w:sz w:val="21"/>
          <w:szCs w:val="21"/>
          <w:highlight w:val="none"/>
        </w:rPr>
        <w:fldChar w:fldCharType="begin"/>
      </w:r>
      <w:r>
        <w:rPr>
          <w:rFonts w:hint="eastAsia" w:ascii="仿宋" w:hAnsi="仿宋" w:eastAsia="仿宋" w:cs="仿宋"/>
          <w:color w:val="auto"/>
          <w:spacing w:val="-4"/>
          <w:sz w:val="21"/>
          <w:szCs w:val="21"/>
          <w:highlight w:val="none"/>
        </w:rPr>
        <w:instrText xml:space="preserve"> HYPERLINK "http:// www.zmxggzy.com" </w:instrText>
      </w:r>
      <w:r>
        <w:rPr>
          <w:rFonts w:hint="eastAsia" w:ascii="仿宋" w:hAnsi="仿宋" w:eastAsia="仿宋" w:cs="仿宋"/>
          <w:color w:val="auto"/>
          <w:spacing w:val="-4"/>
          <w:sz w:val="21"/>
          <w:szCs w:val="21"/>
          <w:highlight w:val="none"/>
        </w:rPr>
        <w:fldChar w:fldCharType="separate"/>
      </w:r>
      <w:r>
        <w:rPr>
          <w:rFonts w:hint="eastAsia" w:ascii="仿宋" w:hAnsi="仿宋" w:eastAsia="仿宋" w:cs="仿宋"/>
          <w:color w:val="auto"/>
          <w:spacing w:val="-4"/>
          <w:sz w:val="21"/>
          <w:szCs w:val="21"/>
          <w:highlight w:val="none"/>
        </w:rPr>
        <w:t>http:// www.zmxggzy.com</w:t>
      </w:r>
      <w:r>
        <w:rPr>
          <w:rFonts w:hint="eastAsia" w:ascii="仿宋" w:hAnsi="仿宋" w:eastAsia="仿宋" w:cs="仿宋"/>
          <w:color w:val="auto"/>
          <w:spacing w:val="-4"/>
          <w:sz w:val="21"/>
          <w:szCs w:val="21"/>
          <w:highlight w:val="none"/>
        </w:rPr>
        <w:fldChar w:fldCharType="end"/>
      </w:r>
      <w:r>
        <w:rPr>
          <w:rFonts w:hint="eastAsia" w:ascii="仿宋" w:hAnsi="仿宋" w:eastAsia="仿宋" w:cs="仿宋"/>
          <w:color w:val="auto"/>
          <w:spacing w:val="-4"/>
          <w:sz w:val="21"/>
          <w:szCs w:val="21"/>
          <w:highlight w:val="none"/>
        </w:rPr>
        <w:t xml:space="preserve"> ) “下载中心”栏目下载相关驱动和电子投标工具。供应商在制作电子 标书过程中，如遇到电子交易系统的软件操作问题时，可通过热线电话(4009980000) 进行咨询。</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响应文件的上传：供应商须使用电子交易系统提供的响应文件制作工具进行电子响应文件的 制作， 并按要求上传经 CA 锁签章和加密的电子响应文件( .ZMTF 格式) 。</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根据“中牟县公共资源交易中心关于推行不见面开标服务的通知”,供应商无需到交易中心现 场参加开标会议，评标委员会不再对响应文件中涉及的相关资料原件进行验证。所有供应商不需提供证书原件。</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所有供应商应提前30分钟，登录“中牟县公共资源交易中心门户网站远程开标大厅 (</w:t>
      </w:r>
      <w:r>
        <w:rPr>
          <w:rFonts w:hint="eastAsia" w:ascii="仿宋" w:hAnsi="仿宋" w:eastAsia="仿宋" w:cs="仿宋"/>
          <w:color w:val="auto"/>
          <w:spacing w:val="-4"/>
          <w:sz w:val="21"/>
          <w:szCs w:val="21"/>
          <w:highlight w:val="none"/>
        </w:rPr>
        <w:fldChar w:fldCharType="begin"/>
      </w:r>
      <w:r>
        <w:rPr>
          <w:rFonts w:hint="eastAsia" w:ascii="仿宋" w:hAnsi="仿宋" w:eastAsia="仿宋" w:cs="仿宋"/>
          <w:color w:val="auto"/>
          <w:spacing w:val="-4"/>
          <w:sz w:val="21"/>
          <w:szCs w:val="21"/>
          <w:highlight w:val="none"/>
        </w:rPr>
        <w:instrText xml:space="preserve"> HYPERLINK "http://www.zmxggzy.com/BidOpening" </w:instrText>
      </w:r>
      <w:r>
        <w:rPr>
          <w:rFonts w:hint="eastAsia" w:ascii="仿宋" w:hAnsi="仿宋" w:eastAsia="仿宋" w:cs="仿宋"/>
          <w:color w:val="auto"/>
          <w:spacing w:val="-4"/>
          <w:sz w:val="21"/>
          <w:szCs w:val="21"/>
          <w:highlight w:val="none"/>
        </w:rPr>
        <w:fldChar w:fldCharType="separate"/>
      </w:r>
      <w:r>
        <w:rPr>
          <w:rFonts w:hint="eastAsia" w:ascii="仿宋" w:hAnsi="仿宋" w:eastAsia="仿宋" w:cs="仿宋"/>
          <w:color w:val="auto"/>
          <w:spacing w:val="-4"/>
          <w:sz w:val="21"/>
          <w:szCs w:val="21"/>
          <w:highlight w:val="none"/>
        </w:rPr>
        <w:t>http://www.zmxggzy.com/BidOpening</w:t>
      </w:r>
      <w:r>
        <w:rPr>
          <w:rFonts w:hint="eastAsia" w:ascii="仿宋" w:hAnsi="仿宋" w:eastAsia="仿宋" w:cs="仿宋"/>
          <w:color w:val="auto"/>
          <w:spacing w:val="-4"/>
          <w:sz w:val="21"/>
          <w:szCs w:val="21"/>
          <w:highlight w:val="none"/>
        </w:rPr>
        <w:fldChar w:fldCharType="end"/>
      </w:r>
      <w:r>
        <w:rPr>
          <w:rFonts w:hint="eastAsia" w:ascii="仿宋" w:hAnsi="仿宋" w:eastAsia="仿宋" w:cs="仿宋"/>
          <w:color w:val="auto"/>
          <w:spacing w:val="-4"/>
          <w:sz w:val="21"/>
          <w:szCs w:val="21"/>
          <w:highlight w:val="none"/>
        </w:rPr>
        <w:t xml:space="preserve">  )”进行远程开标准备工作。</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所有供应商登录“中牟县公共资源交易中心门户网站远程开标大厅”后，须先进行签到，其 后应一直保持在线状态， 保证能准时参加开标大会、响应文件的解密、现场答疑澄清等活动。</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不见面开标操作说明详见中牟县公共资源交易中心网站下载中心《中牟不见面开标-操作手册 (供应商) V1.0》。</w:t>
      </w:r>
    </w:p>
    <w:p>
      <w:pPr>
        <w:pStyle w:val="6"/>
        <w:keepNext w:val="0"/>
        <w:keepLines w:val="0"/>
        <w:pageBreakBefore w:val="0"/>
        <w:widowControl w:val="0"/>
        <w:numPr>
          <w:ilvl w:val="1"/>
          <w:numId w:val="5"/>
        </w:numPr>
        <w:tabs>
          <w:tab w:val="left" w:pos="472"/>
        </w:tabs>
        <w:kinsoku w:val="0"/>
        <w:wordWrap/>
        <w:overflowPunct w:val="0"/>
        <w:topLinePunct w:val="0"/>
        <w:autoSpaceDE w:val="0"/>
        <w:autoSpaceDN w:val="0"/>
        <w:bidi w:val="0"/>
        <w:adjustRightInd w:val="0"/>
        <w:snapToGrid/>
        <w:spacing w:before="70" w:line="360" w:lineRule="auto"/>
        <w:ind w:left="472" w:hanging="37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响应文件的修改与撤回</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供应商在递交响应文件后，在投标截止时间之前可以修改或撤回其响应文件，但供应商必须在投标截止时间之前。在投标截止时间后，供应商不得再要求修改或撤回其响应文件。最终响应文件以投标截止时间前完成上传至</w:t>
      </w:r>
      <w:r>
        <w:rPr>
          <w:rFonts w:hint="eastAsia" w:ascii="仿宋" w:hAnsi="仿宋" w:eastAsia="仿宋" w:cs="仿宋"/>
          <w:color w:val="auto"/>
          <w:spacing w:val="-4"/>
          <w:sz w:val="21"/>
          <w:szCs w:val="21"/>
          <w:highlight w:val="none"/>
          <w:lang w:val="en-US" w:eastAsia="zh-CN"/>
        </w:rPr>
        <w:t>中牟县</w:t>
      </w:r>
      <w:r>
        <w:rPr>
          <w:rFonts w:hint="eastAsia" w:ascii="仿宋" w:hAnsi="仿宋" w:eastAsia="仿宋" w:cs="仿宋"/>
          <w:color w:val="auto"/>
          <w:spacing w:val="-4"/>
          <w:sz w:val="21"/>
          <w:szCs w:val="21"/>
          <w:highlight w:val="none"/>
        </w:rPr>
        <w:t>公共资源交易中心交易系统最后一份响应文件为准。</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pacing w:val="-4"/>
          <w:sz w:val="21"/>
          <w:szCs w:val="21"/>
          <w:highlight w:val="none"/>
        </w:rPr>
        <w:t>从投标截止期至供应商在响应文件中载明的磋商有效期满期间，供应商不得撤回其投标。</w:t>
      </w:r>
    </w:p>
    <w:p>
      <w:pPr>
        <w:pStyle w:val="6"/>
        <w:keepNext w:val="0"/>
        <w:keepLines w:val="0"/>
        <w:pageBreakBefore w:val="0"/>
        <w:widowControl w:val="0"/>
        <w:numPr>
          <w:ilvl w:val="0"/>
          <w:numId w:val="5"/>
        </w:numPr>
        <w:tabs>
          <w:tab w:val="left" w:pos="420"/>
        </w:tabs>
        <w:kinsoku w:val="0"/>
        <w:wordWrap/>
        <w:overflowPunct w:val="0"/>
        <w:topLinePunct w:val="0"/>
        <w:autoSpaceDE w:val="0"/>
        <w:autoSpaceDN w:val="0"/>
        <w:bidi w:val="0"/>
        <w:adjustRightInd w:val="0"/>
        <w:snapToGrid/>
        <w:spacing w:line="360" w:lineRule="auto"/>
        <w:ind w:hanging="318"/>
        <w:jc w:val="both"/>
        <w:textAlignment w:val="auto"/>
        <w:rPr>
          <w:rFonts w:hint="eastAsia" w:ascii="仿宋" w:hAnsi="仿宋" w:eastAsia="仿宋" w:cs="仿宋"/>
          <w:color w:val="auto"/>
          <w:sz w:val="21"/>
          <w:szCs w:val="21"/>
          <w:highlight w:val="none"/>
        </w:rPr>
      </w:pPr>
      <w:bookmarkStart w:id="37" w:name="5. 开标"/>
      <w:bookmarkEnd w:id="37"/>
      <w:r>
        <w:rPr>
          <w:rFonts w:hint="eastAsia" w:ascii="仿宋" w:hAnsi="仿宋" w:eastAsia="仿宋" w:cs="仿宋"/>
          <w:color w:val="auto"/>
          <w:sz w:val="21"/>
          <w:szCs w:val="21"/>
          <w:highlight w:val="none"/>
          <w:lang w:val="en-US" w:eastAsia="zh-CN"/>
        </w:rPr>
        <w:t>磋商会议</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jc w:val="both"/>
        <w:textAlignment w:val="auto"/>
        <w:rPr>
          <w:rFonts w:hint="eastAsia" w:ascii="仿宋" w:hAnsi="仿宋" w:eastAsia="仿宋" w:cs="仿宋"/>
          <w:color w:val="auto"/>
          <w:sz w:val="21"/>
          <w:szCs w:val="21"/>
          <w:highlight w:val="none"/>
        </w:rPr>
      </w:pPr>
      <w:bookmarkStart w:id="38" w:name="5.1 开标时间和地点"/>
      <w:bookmarkEnd w:id="38"/>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时间和地点</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before="1" w:line="360" w:lineRule="auto"/>
        <w:ind w:right="224" w:firstLine="42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采购人在本章供应商须知前附表规定的投标截止时间（开标时间）和供应商须知前附表规定的地点通过电子视频进行开标。</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本项目采用“远程不见面”开标方式，供应商无需到</w:t>
      </w:r>
      <w:r>
        <w:rPr>
          <w:rFonts w:hint="eastAsia" w:ascii="仿宋" w:hAnsi="仿宋" w:eastAsia="仿宋" w:cs="仿宋"/>
          <w:color w:val="auto"/>
          <w:sz w:val="21"/>
          <w:szCs w:val="21"/>
          <w:highlight w:val="none"/>
          <w:lang w:val="en-US" w:eastAsia="zh-CN"/>
        </w:rPr>
        <w:t>中牟县</w:t>
      </w:r>
      <w:r>
        <w:rPr>
          <w:rFonts w:hint="eastAsia" w:ascii="仿宋" w:hAnsi="仿宋" w:eastAsia="仿宋" w:cs="仿宋"/>
          <w:color w:val="auto"/>
          <w:sz w:val="21"/>
          <w:szCs w:val="21"/>
          <w:highlight w:val="none"/>
        </w:rPr>
        <w:t>公共资源交易中心现场参加开标会议，无需到达现场提交原件资料。供应商应当在投标截止时间前，登录远程开标大厅，在线准时参加开标活动并进行文件解密等。</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jc w:val="both"/>
        <w:textAlignment w:val="auto"/>
        <w:rPr>
          <w:rFonts w:hint="eastAsia" w:ascii="仿宋" w:hAnsi="仿宋" w:eastAsia="仿宋" w:cs="仿宋"/>
          <w:color w:val="auto"/>
          <w:spacing w:val="-4"/>
          <w:sz w:val="21"/>
          <w:szCs w:val="21"/>
          <w:highlight w:val="none"/>
        </w:rPr>
      </w:pPr>
      <w:r>
        <w:rPr>
          <w:rFonts w:hint="eastAsia" w:ascii="仿宋" w:hAnsi="仿宋" w:eastAsia="仿宋" w:cs="仿宋"/>
          <w:color w:val="auto"/>
          <w:sz w:val="21"/>
          <w:szCs w:val="21"/>
          <w:highlight w:val="none"/>
        </w:rPr>
        <w:t>供应商须在系统规定的解密时间内完成解密，未在规定截止时间前解密的，采购人不予受理。因加密电子供应商文件未能成功上传或误传而导致的解密失败，将被拒绝</w:t>
      </w:r>
      <w:r>
        <w:rPr>
          <w:rFonts w:hint="eastAsia" w:ascii="仿宋" w:hAnsi="仿宋" w:eastAsia="仿宋" w:cs="仿宋"/>
          <w:color w:val="auto"/>
          <w:spacing w:val="-4"/>
          <w:sz w:val="21"/>
          <w:szCs w:val="21"/>
          <w:highlight w:val="none"/>
        </w:rPr>
        <w:t>。</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jc w:val="both"/>
        <w:textAlignment w:val="auto"/>
        <w:rPr>
          <w:rFonts w:hint="eastAsia" w:ascii="仿宋" w:hAnsi="仿宋" w:eastAsia="仿宋" w:cs="仿宋"/>
          <w:color w:val="auto"/>
          <w:sz w:val="21"/>
          <w:szCs w:val="21"/>
          <w:highlight w:val="none"/>
        </w:rPr>
      </w:pPr>
      <w:bookmarkStart w:id="39" w:name="5.2 开标程序"/>
      <w:bookmarkEnd w:id="39"/>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程序</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222" w:firstLine="42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采用电子开标。到投标截止时间止，各供应商对加密的电子响应文件进行解密。解密完成后各供应商的电子响应文件的实质性内容将自动显示在网页中。供应商在投标截止时间前未上传电子响应文件的将视为放弃投标。</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222" w:firstLine="42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供应商未参加开标的，视同认可开标结果。</w:t>
      </w:r>
    </w:p>
    <w:p>
      <w:pPr>
        <w:pStyle w:val="6"/>
        <w:keepNext w:val="0"/>
        <w:keepLines w:val="0"/>
        <w:pageBreakBefore w:val="0"/>
        <w:widowControl w:val="0"/>
        <w:numPr>
          <w:ilvl w:val="0"/>
          <w:numId w:val="5"/>
        </w:numPr>
        <w:tabs>
          <w:tab w:val="left" w:pos="420"/>
        </w:tabs>
        <w:wordWrap/>
        <w:topLinePunct w:val="0"/>
        <w:autoSpaceDE w:val="0"/>
        <w:autoSpaceDN w:val="0"/>
        <w:bidi w:val="0"/>
        <w:adjustRightInd w:val="0"/>
        <w:snapToGrid/>
        <w:spacing w:line="360" w:lineRule="auto"/>
        <w:ind w:hanging="318"/>
        <w:jc w:val="both"/>
        <w:textAlignment w:val="auto"/>
        <w:rPr>
          <w:rFonts w:hint="eastAsia" w:ascii="仿宋" w:hAnsi="仿宋" w:eastAsia="仿宋" w:cs="仿宋"/>
          <w:color w:val="auto"/>
          <w:sz w:val="21"/>
          <w:szCs w:val="21"/>
          <w:highlight w:val="none"/>
        </w:rPr>
      </w:pPr>
      <w:bookmarkStart w:id="40" w:name="6. 评标"/>
      <w:bookmarkEnd w:id="40"/>
      <w:r>
        <w:rPr>
          <w:rFonts w:hint="eastAsia" w:ascii="仿宋" w:hAnsi="仿宋" w:eastAsia="仿宋" w:cs="仿宋"/>
          <w:color w:val="auto"/>
          <w:sz w:val="21"/>
          <w:szCs w:val="21"/>
          <w:highlight w:val="none"/>
          <w:lang w:val="en-US" w:eastAsia="zh-CN"/>
        </w:rPr>
        <w:t>磋商</w:t>
      </w:r>
    </w:p>
    <w:p>
      <w:pPr>
        <w:pStyle w:val="28"/>
        <w:keepNext w:val="0"/>
        <w:keepLines w:val="0"/>
        <w:pageBreakBefore w:val="0"/>
        <w:widowControl w:val="0"/>
        <w:numPr>
          <w:ilvl w:val="1"/>
          <w:numId w:val="5"/>
        </w:numPr>
        <w:tabs>
          <w:tab w:val="left" w:pos="523"/>
        </w:tabs>
        <w:wordWrap/>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41" w:name="6.1 评标委员会"/>
      <w:bookmarkEnd w:id="41"/>
      <w:r>
        <w:rPr>
          <w:rFonts w:hint="eastAsia" w:ascii="仿宋" w:hAnsi="仿宋" w:eastAsia="仿宋" w:cs="仿宋"/>
          <w:color w:val="auto"/>
          <w:sz w:val="21"/>
          <w:szCs w:val="21"/>
          <w:highlight w:val="none"/>
        </w:rPr>
        <w:t>磋商小组</w:t>
      </w:r>
    </w:p>
    <w:p>
      <w:pPr>
        <w:pStyle w:val="28"/>
        <w:keepNext w:val="0"/>
        <w:keepLines w:val="0"/>
        <w:pageBreakBefore w:val="0"/>
        <w:widowControl w:val="0"/>
        <w:numPr>
          <w:ilvl w:val="2"/>
          <w:numId w:val="5"/>
        </w:numPr>
        <w:tabs>
          <w:tab w:val="left" w:pos="1154"/>
        </w:tabs>
        <w:wordWrap/>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评标由采购人依法组建的磋商小组负责。磋商小组由采购人以及有关技术、经济等方面的专家组成。磋商小组成员人数以及技术、经济等方面专家的确定方式见供应商须知前附表。</w:t>
      </w:r>
    </w:p>
    <w:p>
      <w:pPr>
        <w:pStyle w:val="28"/>
        <w:keepNext w:val="0"/>
        <w:keepLines w:val="0"/>
        <w:pageBreakBefore w:val="0"/>
        <w:widowControl w:val="0"/>
        <w:numPr>
          <w:ilvl w:val="2"/>
          <w:numId w:val="5"/>
        </w:numPr>
        <w:tabs>
          <w:tab w:val="left" w:pos="1154"/>
        </w:tabs>
        <w:wordWrap/>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磋商小组成员有下列情形之一的，应当回避：</w:t>
      </w:r>
    </w:p>
    <w:p>
      <w:pPr>
        <w:pStyle w:val="28"/>
        <w:keepNext w:val="0"/>
        <w:keepLines w:val="0"/>
        <w:pageBreakBefore w:val="0"/>
        <w:widowControl w:val="0"/>
        <w:numPr>
          <w:ilvl w:val="0"/>
          <w:numId w:val="0"/>
        </w:numPr>
        <w:tabs>
          <w:tab w:val="left" w:pos="1154"/>
        </w:tabs>
        <w:wordWrap/>
        <w:topLinePunct w:val="0"/>
        <w:autoSpaceDE w:val="0"/>
        <w:autoSpaceDN w:val="0"/>
        <w:bidi w:val="0"/>
        <w:adjustRightInd w:val="0"/>
        <w:snapToGrid/>
        <w:spacing w:line="360" w:lineRule="auto"/>
        <w:ind w:left="522" w:leftChars="0" w:right="222"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(1）采购人或供应商的主要负责人的近亲属；</w:t>
      </w:r>
    </w:p>
    <w:p>
      <w:pPr>
        <w:pStyle w:val="28"/>
        <w:keepNext w:val="0"/>
        <w:keepLines w:val="0"/>
        <w:pageBreakBefore w:val="0"/>
        <w:widowControl w:val="0"/>
        <w:numPr>
          <w:ilvl w:val="0"/>
          <w:numId w:val="0"/>
        </w:numPr>
        <w:tabs>
          <w:tab w:val="left" w:pos="1154"/>
        </w:tabs>
        <w:wordWrap/>
        <w:topLinePunct w:val="0"/>
        <w:autoSpaceDE w:val="0"/>
        <w:autoSpaceDN w:val="0"/>
        <w:bidi w:val="0"/>
        <w:adjustRightInd w:val="0"/>
        <w:snapToGrid/>
        <w:spacing w:line="360" w:lineRule="auto"/>
        <w:ind w:left="522" w:leftChars="0" w:right="222"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(2）项目主管部门或者行政监督部门的人员：</w:t>
      </w:r>
    </w:p>
    <w:p>
      <w:pPr>
        <w:pStyle w:val="2"/>
        <w:keepNext w:val="0"/>
        <w:keepLines w:val="0"/>
        <w:pageBreakBefore w:val="0"/>
        <w:widowControl w:val="0"/>
        <w:wordWrap/>
        <w:topLinePunct w:val="0"/>
        <w:autoSpaceDE w:val="0"/>
        <w:autoSpaceDN w:val="0"/>
        <w:bidi w:val="0"/>
        <w:adjustRightInd w:val="0"/>
        <w:snapToGrid/>
        <w:spacing w:before="1"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(3）与供应商有经济利益关系，可能影响对投标公正评审的；</w:t>
      </w:r>
    </w:p>
    <w:p>
      <w:pPr>
        <w:pStyle w:val="28"/>
        <w:keepNext w:val="0"/>
        <w:keepLines w:val="0"/>
        <w:pageBreakBefore w:val="0"/>
        <w:widowControl w:val="0"/>
        <w:numPr>
          <w:ilvl w:val="0"/>
          <w:numId w:val="0"/>
        </w:numPr>
        <w:tabs>
          <w:tab w:val="left" w:pos="1154"/>
        </w:tabs>
        <w:wordWrap/>
        <w:topLinePunct w:val="0"/>
        <w:autoSpaceDE w:val="0"/>
        <w:autoSpaceDN w:val="0"/>
        <w:bidi w:val="0"/>
        <w:adjustRightInd w:val="0"/>
        <w:snapToGrid/>
        <w:spacing w:line="360" w:lineRule="auto"/>
        <w:ind w:right="222"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曾因在采购、评标以及其他与采购投标有关活动中从事违法行为而受过行政处罚或刑事处罚的。</w:t>
      </w:r>
    </w:p>
    <w:p>
      <w:pPr>
        <w:pStyle w:val="28"/>
        <w:keepNext w:val="0"/>
        <w:keepLines w:val="0"/>
        <w:pageBreakBefore w:val="0"/>
        <w:widowControl w:val="0"/>
        <w:numPr>
          <w:ilvl w:val="1"/>
          <w:numId w:val="5"/>
        </w:numPr>
        <w:tabs>
          <w:tab w:val="left" w:pos="523"/>
        </w:tabs>
        <w:wordWrap/>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42" w:name="6.2 评标原则"/>
      <w:bookmarkEnd w:id="42"/>
      <w:r>
        <w:rPr>
          <w:rFonts w:hint="eastAsia" w:ascii="仿宋" w:hAnsi="仿宋" w:eastAsia="仿宋" w:cs="仿宋"/>
          <w:color w:val="auto"/>
          <w:sz w:val="21"/>
          <w:szCs w:val="21"/>
          <w:highlight w:val="none"/>
          <w:lang w:val="en-US" w:eastAsia="zh-CN"/>
        </w:rPr>
        <w:t>磋商</w:t>
      </w:r>
      <w:r>
        <w:rPr>
          <w:rFonts w:hint="eastAsia" w:ascii="仿宋" w:hAnsi="仿宋" w:eastAsia="仿宋" w:cs="仿宋"/>
          <w:color w:val="auto"/>
          <w:sz w:val="21"/>
          <w:szCs w:val="21"/>
          <w:highlight w:val="none"/>
        </w:rPr>
        <w:t>原则</w:t>
      </w:r>
    </w:p>
    <w:p>
      <w:pPr>
        <w:pStyle w:val="2"/>
        <w:keepNext w:val="0"/>
        <w:keepLines w:val="0"/>
        <w:pageBreakBefore w:val="0"/>
        <w:widowControl w:val="0"/>
        <w:wordWrap/>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评标活动遵循公平、公正、科学和择优的原则。</w:t>
      </w:r>
    </w:p>
    <w:p>
      <w:pPr>
        <w:pStyle w:val="28"/>
        <w:keepNext w:val="0"/>
        <w:keepLines w:val="0"/>
        <w:pageBreakBefore w:val="0"/>
        <w:widowControl w:val="0"/>
        <w:numPr>
          <w:ilvl w:val="1"/>
          <w:numId w:val="5"/>
        </w:numPr>
        <w:tabs>
          <w:tab w:val="left" w:pos="523"/>
        </w:tabs>
        <w:wordWrap/>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43" w:name="6.3 评标"/>
      <w:bookmarkEnd w:id="43"/>
      <w:r>
        <w:rPr>
          <w:rFonts w:hint="eastAsia" w:ascii="仿宋" w:hAnsi="仿宋" w:eastAsia="仿宋" w:cs="仿宋"/>
          <w:color w:val="auto"/>
          <w:sz w:val="21"/>
          <w:szCs w:val="21"/>
          <w:highlight w:val="none"/>
          <w:lang w:val="en-US" w:eastAsia="zh-CN"/>
        </w:rPr>
        <w:t>磋商</w:t>
      </w:r>
    </w:p>
    <w:p>
      <w:pPr>
        <w:pStyle w:val="2"/>
        <w:keepNext w:val="0"/>
        <w:keepLines w:val="0"/>
        <w:pageBreakBefore w:val="0"/>
        <w:widowControl w:val="0"/>
        <w:wordWrap/>
        <w:topLinePunct w:val="0"/>
        <w:autoSpaceDE w:val="0"/>
        <w:autoSpaceDN w:val="0"/>
        <w:bidi w:val="0"/>
        <w:adjustRightInd w:val="0"/>
        <w:snapToGrid/>
        <w:spacing w:before="1" w:line="360" w:lineRule="auto"/>
        <w:ind w:left="102" w:right="0" w:rightChars="0"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磋商小组按照第三章“磋商办法”规定的方法、评审因素、标准和程序对响应文件进行评审。第三章“磋商办法”没有规定的方法、评审因素和标准，不作为评标依据。</w:t>
      </w:r>
    </w:p>
    <w:p>
      <w:pPr>
        <w:pStyle w:val="6"/>
        <w:keepNext w:val="0"/>
        <w:keepLines w:val="0"/>
        <w:pageBreakBefore w:val="0"/>
        <w:widowControl w:val="0"/>
        <w:numPr>
          <w:ilvl w:val="0"/>
          <w:numId w:val="5"/>
        </w:numPr>
        <w:tabs>
          <w:tab w:val="left" w:pos="420"/>
        </w:tabs>
        <w:kinsoku w:val="0"/>
        <w:wordWrap/>
        <w:overflowPunct w:val="0"/>
        <w:topLinePunct w:val="0"/>
        <w:autoSpaceDE w:val="0"/>
        <w:autoSpaceDN w:val="0"/>
        <w:bidi w:val="0"/>
        <w:adjustRightInd w:val="0"/>
        <w:snapToGrid/>
        <w:spacing w:line="360" w:lineRule="auto"/>
        <w:ind w:hanging="318"/>
        <w:textAlignment w:val="auto"/>
        <w:rPr>
          <w:rFonts w:hint="eastAsia" w:ascii="仿宋" w:hAnsi="仿宋" w:eastAsia="仿宋" w:cs="仿宋"/>
          <w:color w:val="auto"/>
          <w:sz w:val="21"/>
          <w:szCs w:val="21"/>
          <w:highlight w:val="none"/>
        </w:rPr>
      </w:pPr>
      <w:bookmarkStart w:id="44" w:name="7. 合同授予"/>
      <w:bookmarkEnd w:id="44"/>
      <w:r>
        <w:rPr>
          <w:rFonts w:hint="eastAsia" w:ascii="仿宋" w:hAnsi="仿宋" w:eastAsia="仿宋" w:cs="仿宋"/>
          <w:color w:val="auto"/>
          <w:sz w:val="21"/>
          <w:szCs w:val="21"/>
          <w:highlight w:val="none"/>
        </w:rPr>
        <w:t>合同授予</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45" w:name="7.1 定标方式"/>
      <w:bookmarkEnd w:id="45"/>
      <w:r>
        <w:rPr>
          <w:rFonts w:hint="eastAsia" w:ascii="仿宋" w:hAnsi="仿宋" w:eastAsia="仿宋" w:cs="仿宋"/>
          <w:color w:val="auto"/>
          <w:sz w:val="21"/>
          <w:szCs w:val="21"/>
          <w:highlight w:val="none"/>
        </w:rPr>
        <w:t>定标方式</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0" w:rightChars="0"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除供应商须知前附表规定磋商小组直接确定成交供应商外，采购人依据磋商小组推荐的成交候选供应商确定成交供应商，磋商小组推荐成交候选供应商的人数见供应商须知前附表。</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46" w:name="7.2 中标通知"/>
      <w:bookmarkEnd w:id="46"/>
      <w:r>
        <w:rPr>
          <w:rFonts w:hint="eastAsia" w:ascii="仿宋" w:hAnsi="仿宋" w:eastAsia="仿宋" w:cs="仿宋"/>
          <w:color w:val="auto"/>
          <w:sz w:val="21"/>
          <w:szCs w:val="21"/>
          <w:highlight w:val="none"/>
          <w:lang w:val="en-US" w:eastAsia="zh-CN"/>
        </w:rPr>
        <w:t>成交</w:t>
      </w:r>
      <w:r>
        <w:rPr>
          <w:rFonts w:hint="eastAsia" w:ascii="仿宋" w:hAnsi="仿宋" w:eastAsia="仿宋" w:cs="仿宋"/>
          <w:color w:val="auto"/>
          <w:sz w:val="21"/>
          <w:szCs w:val="21"/>
          <w:highlight w:val="none"/>
        </w:rPr>
        <w:t>通知</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left="1100" w:hanging="57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在规定的磋商有效期内，在公告成交结果的同时，采购人向成交人发出成交通知书</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成交通知书发出后，采购人不得违法改变成交结果，成交供应商无正当理由不得放弃成交。</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before="1" w:line="360" w:lineRule="auto"/>
        <w:ind w:hanging="421"/>
        <w:textAlignment w:val="auto"/>
        <w:rPr>
          <w:rFonts w:hint="eastAsia" w:ascii="仿宋" w:hAnsi="仿宋" w:eastAsia="仿宋" w:cs="仿宋"/>
          <w:color w:val="auto"/>
          <w:sz w:val="21"/>
          <w:szCs w:val="21"/>
          <w:highlight w:val="none"/>
        </w:rPr>
      </w:pPr>
      <w:bookmarkStart w:id="47" w:name="7.3 签订合同"/>
      <w:bookmarkEnd w:id="47"/>
      <w:r>
        <w:rPr>
          <w:rFonts w:hint="eastAsia" w:ascii="仿宋" w:hAnsi="仿宋" w:eastAsia="仿宋" w:cs="仿宋"/>
          <w:color w:val="auto"/>
          <w:sz w:val="21"/>
          <w:szCs w:val="21"/>
          <w:highlight w:val="none"/>
        </w:rPr>
        <w:t>签订合同</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7"/>
          <w:sz w:val="21"/>
          <w:szCs w:val="21"/>
          <w:highlight w:val="none"/>
        </w:rPr>
      </w:pPr>
      <w:r>
        <w:rPr>
          <w:rFonts w:hint="eastAsia" w:ascii="仿宋" w:hAnsi="仿宋" w:eastAsia="仿宋" w:cs="仿宋"/>
          <w:color w:val="auto"/>
          <w:spacing w:val="-3"/>
          <w:sz w:val="21"/>
          <w:szCs w:val="21"/>
          <w:highlight w:val="none"/>
        </w:rPr>
        <w:t>采购人应当</w:t>
      </w:r>
      <w:r>
        <w:rPr>
          <w:rFonts w:hint="eastAsia" w:ascii="仿宋" w:hAnsi="仿宋" w:eastAsia="仿宋" w:cs="仿宋"/>
          <w:color w:val="auto"/>
          <w:spacing w:val="-7"/>
          <w:sz w:val="21"/>
          <w:szCs w:val="21"/>
          <w:highlight w:val="none"/>
        </w:rPr>
        <w:t>按照磋商文件和成交供应商响应文件的规定，与成交供应商签订书面合同。所签订的合同不得对磋商文件确定的事项和成交供应商响应文件作实质性修改。</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采购人不得向成交供应商提出任何不合理的要求作为签订合同的条件。</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right="222" w:firstLine="420"/>
        <w:textAlignment w:val="auto"/>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发出成交通知书后，采购人无正当理由拒签合同的，给成交供应商造成损失的，还应当赔偿损失</w:t>
      </w:r>
      <w:r>
        <w:rPr>
          <w:rFonts w:hint="eastAsia" w:ascii="仿宋" w:hAnsi="仿宋" w:eastAsia="仿宋" w:cs="仿宋"/>
          <w:color w:val="auto"/>
          <w:spacing w:val="-3"/>
          <w:sz w:val="21"/>
          <w:szCs w:val="21"/>
          <w:highlight w:val="none"/>
          <w:lang w:eastAsia="zh-CN"/>
        </w:rPr>
        <w:t>。</w:t>
      </w:r>
    </w:p>
    <w:p>
      <w:pPr>
        <w:pStyle w:val="6"/>
        <w:keepNext w:val="0"/>
        <w:keepLines w:val="0"/>
        <w:pageBreakBefore w:val="0"/>
        <w:widowControl w:val="0"/>
        <w:numPr>
          <w:ilvl w:val="0"/>
          <w:numId w:val="5"/>
        </w:numPr>
        <w:tabs>
          <w:tab w:val="left" w:pos="420"/>
        </w:tabs>
        <w:kinsoku w:val="0"/>
        <w:wordWrap/>
        <w:overflowPunct w:val="0"/>
        <w:topLinePunct w:val="0"/>
        <w:autoSpaceDE w:val="0"/>
        <w:autoSpaceDN w:val="0"/>
        <w:bidi w:val="0"/>
        <w:adjustRightInd w:val="0"/>
        <w:snapToGrid/>
        <w:spacing w:before="70" w:line="360" w:lineRule="auto"/>
        <w:ind w:hanging="318"/>
        <w:textAlignment w:val="auto"/>
        <w:rPr>
          <w:rFonts w:hint="eastAsia" w:ascii="仿宋" w:hAnsi="仿宋" w:eastAsia="仿宋" w:cs="仿宋"/>
          <w:color w:val="auto"/>
          <w:sz w:val="21"/>
          <w:szCs w:val="21"/>
          <w:highlight w:val="none"/>
        </w:rPr>
      </w:pPr>
      <w:bookmarkStart w:id="48" w:name="8. 重新采购和采购变更"/>
      <w:bookmarkEnd w:id="48"/>
      <w:r>
        <w:rPr>
          <w:rFonts w:hint="eastAsia" w:ascii="仿宋" w:hAnsi="仿宋" w:eastAsia="仿宋" w:cs="仿宋"/>
          <w:color w:val="auto"/>
          <w:sz w:val="21"/>
          <w:szCs w:val="21"/>
          <w:highlight w:val="none"/>
        </w:rPr>
        <w:t>重新采购和采购变更</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49" w:name="8.1 重新采购"/>
      <w:bookmarkEnd w:id="49"/>
      <w:r>
        <w:rPr>
          <w:rFonts w:hint="eastAsia" w:ascii="仿宋" w:hAnsi="仿宋" w:eastAsia="仿宋" w:cs="仿宋"/>
          <w:color w:val="auto"/>
          <w:sz w:val="21"/>
          <w:szCs w:val="21"/>
          <w:highlight w:val="none"/>
        </w:rPr>
        <w:t>重新采购</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有下列情形之一的，采购人将重新采购：</w:t>
      </w:r>
    </w:p>
    <w:p>
      <w:pPr>
        <w:pStyle w:val="28"/>
        <w:keepNext w:val="0"/>
        <w:keepLines w:val="0"/>
        <w:pageBreakBefore w:val="0"/>
        <w:widowControl w:val="0"/>
        <w:numPr>
          <w:ilvl w:val="0"/>
          <w:numId w:val="9"/>
        </w:numPr>
        <w:tabs>
          <w:tab w:val="left" w:pos="987"/>
        </w:tabs>
        <w:kinsoku w:val="0"/>
        <w:wordWrap/>
        <w:overflowPunct w:val="0"/>
        <w:topLinePunct w:val="0"/>
        <w:autoSpaceDE w:val="0"/>
        <w:autoSpaceDN w:val="0"/>
        <w:bidi w:val="0"/>
        <w:adjustRightInd w:val="0"/>
        <w:snapToGrid/>
        <w:spacing w:line="360" w:lineRule="auto"/>
        <w:textAlignment w:val="auto"/>
        <w:rPr>
          <w:rFonts w:hint="eastAsia" w:ascii="仿宋" w:hAnsi="仿宋" w:eastAsia="仿宋" w:cs="仿宋"/>
          <w:color w:val="auto"/>
          <w:spacing w:val="-14"/>
          <w:sz w:val="21"/>
          <w:szCs w:val="21"/>
          <w:highlight w:val="none"/>
        </w:rPr>
      </w:pPr>
      <w:r>
        <w:rPr>
          <w:rFonts w:hint="eastAsia" w:ascii="仿宋" w:hAnsi="仿宋" w:eastAsia="仿宋" w:cs="仿宋"/>
          <w:color w:val="auto"/>
          <w:spacing w:val="-4"/>
          <w:sz w:val="21"/>
          <w:szCs w:val="21"/>
          <w:highlight w:val="none"/>
        </w:rPr>
        <w:t>投标截止时间止，供应商少于</w:t>
      </w:r>
      <w:r>
        <w:rPr>
          <w:rFonts w:hint="eastAsia" w:ascii="仿宋" w:hAnsi="仿宋" w:eastAsia="仿宋" w:cs="仿宋"/>
          <w:color w:val="auto"/>
          <w:sz w:val="21"/>
          <w:szCs w:val="21"/>
          <w:highlight w:val="none"/>
        </w:rPr>
        <w:t>3</w:t>
      </w:r>
      <w:r>
        <w:rPr>
          <w:rFonts w:hint="eastAsia" w:ascii="仿宋" w:hAnsi="仿宋" w:eastAsia="仿宋" w:cs="仿宋"/>
          <w:color w:val="auto"/>
          <w:spacing w:val="-14"/>
          <w:sz w:val="21"/>
          <w:szCs w:val="21"/>
          <w:highlight w:val="none"/>
        </w:rPr>
        <w:t>个的；</w:t>
      </w:r>
    </w:p>
    <w:p>
      <w:pPr>
        <w:pStyle w:val="28"/>
        <w:keepNext w:val="0"/>
        <w:keepLines w:val="0"/>
        <w:pageBreakBefore w:val="0"/>
        <w:widowControl w:val="0"/>
        <w:numPr>
          <w:ilvl w:val="0"/>
          <w:numId w:val="9"/>
        </w:numPr>
        <w:tabs>
          <w:tab w:val="left" w:pos="987"/>
        </w:tabs>
        <w:kinsoku w:val="0"/>
        <w:wordWrap/>
        <w:overflowPunct w:val="0"/>
        <w:topLinePunct w:val="0"/>
        <w:autoSpaceDE w:val="0"/>
        <w:autoSpaceDN w:val="0"/>
        <w:bidi w:val="0"/>
        <w:adjustRightInd w:val="0"/>
        <w:snapToGrid/>
        <w:spacing w:before="1" w:line="360" w:lineRule="auto"/>
        <w:textAlignment w:val="auto"/>
        <w:rPr>
          <w:rFonts w:hint="eastAsia" w:ascii="仿宋" w:hAnsi="仿宋" w:eastAsia="仿宋" w:cs="仿宋"/>
          <w:color w:val="auto"/>
          <w:spacing w:val="-8"/>
          <w:sz w:val="21"/>
          <w:szCs w:val="21"/>
          <w:highlight w:val="none"/>
        </w:rPr>
      </w:pPr>
      <w:r>
        <w:rPr>
          <w:rFonts w:hint="eastAsia" w:ascii="仿宋" w:hAnsi="仿宋" w:eastAsia="仿宋" w:cs="仿宋"/>
          <w:color w:val="auto"/>
          <w:spacing w:val="-7"/>
          <w:sz w:val="21"/>
          <w:szCs w:val="21"/>
          <w:highlight w:val="none"/>
        </w:rPr>
        <w:t>通过资格审查少于</w:t>
      </w:r>
      <w:r>
        <w:rPr>
          <w:rFonts w:hint="eastAsia" w:ascii="仿宋" w:hAnsi="仿宋" w:eastAsia="仿宋" w:cs="仿宋"/>
          <w:color w:val="auto"/>
          <w:sz w:val="21"/>
          <w:szCs w:val="21"/>
          <w:highlight w:val="none"/>
        </w:rPr>
        <w:t>3</w:t>
      </w:r>
      <w:r>
        <w:rPr>
          <w:rFonts w:hint="eastAsia" w:ascii="仿宋" w:hAnsi="仿宋" w:eastAsia="仿宋" w:cs="仿宋"/>
          <w:color w:val="auto"/>
          <w:spacing w:val="-8"/>
          <w:sz w:val="21"/>
          <w:szCs w:val="21"/>
          <w:highlight w:val="none"/>
        </w:rPr>
        <w:t>个或经磋商小组评审后否决所有投标的。</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50" w:name="8.2 采购变更"/>
      <w:bookmarkEnd w:id="50"/>
      <w:r>
        <w:rPr>
          <w:rFonts w:hint="eastAsia" w:ascii="仿宋" w:hAnsi="仿宋" w:eastAsia="仿宋" w:cs="仿宋"/>
          <w:color w:val="auto"/>
          <w:sz w:val="21"/>
          <w:szCs w:val="21"/>
          <w:highlight w:val="none"/>
        </w:rPr>
        <w:t>采购变更</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222" w:firstLine="420"/>
        <w:textAlignment w:val="auto"/>
        <w:rPr>
          <w:rFonts w:hint="eastAsia" w:ascii="仿宋" w:hAnsi="仿宋" w:eastAsia="仿宋" w:cs="仿宋"/>
          <w:color w:val="auto"/>
          <w:spacing w:val="-6"/>
          <w:sz w:val="21"/>
          <w:szCs w:val="21"/>
          <w:highlight w:val="none"/>
        </w:rPr>
      </w:pPr>
      <w:r>
        <w:rPr>
          <w:rFonts w:hint="eastAsia" w:ascii="仿宋" w:hAnsi="仿宋" w:eastAsia="仿宋" w:cs="仿宋"/>
          <w:color w:val="auto"/>
          <w:spacing w:val="-4"/>
          <w:sz w:val="21"/>
          <w:szCs w:val="21"/>
          <w:highlight w:val="none"/>
        </w:rPr>
        <w:t>重新采购后供应商仍少于</w:t>
      </w:r>
      <w:r>
        <w:rPr>
          <w:rFonts w:hint="eastAsia" w:ascii="仿宋" w:hAnsi="仿宋" w:eastAsia="仿宋" w:cs="仿宋"/>
          <w:color w:val="auto"/>
          <w:sz w:val="21"/>
          <w:szCs w:val="21"/>
          <w:highlight w:val="none"/>
        </w:rPr>
        <w:t>3</w:t>
      </w:r>
      <w:r>
        <w:rPr>
          <w:rFonts w:hint="eastAsia" w:ascii="仿宋" w:hAnsi="仿宋" w:eastAsia="仿宋" w:cs="仿宋"/>
          <w:color w:val="auto"/>
          <w:spacing w:val="-6"/>
          <w:sz w:val="21"/>
          <w:szCs w:val="21"/>
          <w:highlight w:val="none"/>
        </w:rPr>
        <w:t>个或者所有投标被否决的，属于必须审批或核准的项目，经原审批或核准部门批准后可采用其他采购方式。</w:t>
      </w:r>
    </w:p>
    <w:p>
      <w:pPr>
        <w:pStyle w:val="6"/>
        <w:keepNext w:val="0"/>
        <w:keepLines w:val="0"/>
        <w:pageBreakBefore w:val="0"/>
        <w:widowControl w:val="0"/>
        <w:numPr>
          <w:ilvl w:val="0"/>
          <w:numId w:val="5"/>
        </w:numPr>
        <w:tabs>
          <w:tab w:val="left" w:pos="420"/>
        </w:tabs>
        <w:kinsoku w:val="0"/>
        <w:wordWrap/>
        <w:overflowPunct w:val="0"/>
        <w:topLinePunct w:val="0"/>
        <w:autoSpaceDE w:val="0"/>
        <w:autoSpaceDN w:val="0"/>
        <w:bidi w:val="0"/>
        <w:adjustRightInd w:val="0"/>
        <w:snapToGrid/>
        <w:spacing w:line="360" w:lineRule="auto"/>
        <w:ind w:hanging="318"/>
        <w:textAlignment w:val="auto"/>
        <w:rPr>
          <w:rFonts w:hint="eastAsia" w:ascii="仿宋" w:hAnsi="仿宋" w:eastAsia="仿宋" w:cs="仿宋"/>
          <w:color w:val="auto"/>
          <w:sz w:val="21"/>
          <w:szCs w:val="21"/>
          <w:highlight w:val="none"/>
        </w:rPr>
      </w:pPr>
      <w:bookmarkStart w:id="51" w:name="9. 纪律和监督"/>
      <w:bookmarkEnd w:id="51"/>
      <w:r>
        <w:rPr>
          <w:rFonts w:hint="eastAsia" w:ascii="仿宋" w:hAnsi="仿宋" w:eastAsia="仿宋" w:cs="仿宋"/>
          <w:color w:val="auto"/>
          <w:sz w:val="21"/>
          <w:szCs w:val="21"/>
          <w:highlight w:val="none"/>
        </w:rPr>
        <w:t>纪律和监督</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52" w:name="9.1 对采购人的纪律要求"/>
      <w:bookmarkEnd w:id="52"/>
      <w:r>
        <w:rPr>
          <w:rFonts w:hint="eastAsia" w:ascii="仿宋" w:hAnsi="仿宋" w:eastAsia="仿宋" w:cs="仿宋"/>
          <w:color w:val="auto"/>
          <w:sz w:val="21"/>
          <w:szCs w:val="21"/>
          <w:highlight w:val="none"/>
        </w:rPr>
        <w:t>对采购人的纪律要求</w:t>
      </w:r>
    </w:p>
    <w:p>
      <w:pPr>
        <w:pStyle w:val="2"/>
        <w:keepNext w:val="0"/>
        <w:keepLines w:val="0"/>
        <w:pageBreakBefore w:val="0"/>
        <w:widowControl w:val="0"/>
        <w:kinsoku w:val="0"/>
        <w:wordWrap/>
        <w:overflowPunct w:val="0"/>
        <w:topLinePunct w:val="0"/>
        <w:autoSpaceDE w:val="0"/>
        <w:autoSpaceDN w:val="0"/>
        <w:bidi w:val="0"/>
        <w:adjustRightInd w:val="0"/>
        <w:snapToGrid/>
        <w:spacing w:before="1" w:line="360" w:lineRule="auto"/>
        <w:ind w:left="102" w:right="222"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采购人不得泄漏采购投标活动中应当保密的情况和资料，不得与供应商串通损害国家利益、社会公共利益或者他人合法权益。</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53" w:name="9.2 对供应商的纪律要求"/>
      <w:bookmarkEnd w:id="53"/>
      <w:r>
        <w:rPr>
          <w:rFonts w:hint="eastAsia" w:ascii="仿宋" w:hAnsi="仿宋" w:eastAsia="仿宋" w:cs="仿宋"/>
          <w:color w:val="auto"/>
          <w:sz w:val="21"/>
          <w:szCs w:val="21"/>
          <w:highlight w:val="none"/>
        </w:rPr>
        <w:t>对供应商的纪律要求</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102" w:right="222"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供应商不得相互串通投标或者与采购人串通投标，不得向采购人或者磋商小组成员行贿谋取中标， 不得以他人名义投标或者以其他方式弄虚作假骗取中标；供应商不得以任何方式干扰、影响评标工作。</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54" w:name="9.3 对评标委员会成员的纪律要求"/>
      <w:bookmarkEnd w:id="54"/>
      <w:r>
        <w:rPr>
          <w:rFonts w:hint="eastAsia" w:ascii="仿宋" w:hAnsi="仿宋" w:eastAsia="仿宋" w:cs="仿宋"/>
          <w:color w:val="auto"/>
          <w:sz w:val="21"/>
          <w:szCs w:val="21"/>
          <w:highlight w:val="none"/>
        </w:rPr>
        <w:t>对磋商小组成员的纪律要求</w:t>
      </w:r>
    </w:p>
    <w:p>
      <w:pPr>
        <w:pStyle w:val="28"/>
        <w:keepNext w:val="0"/>
        <w:keepLines w:val="0"/>
        <w:pageBreakBefore w:val="0"/>
        <w:widowControl w:val="0"/>
        <w:numPr>
          <w:ilvl w:val="2"/>
          <w:numId w:val="5"/>
        </w:numPr>
        <w:tabs>
          <w:tab w:val="left" w:pos="1101"/>
        </w:tabs>
        <w:wordWrap/>
        <w:topLinePunct w:val="0"/>
        <w:autoSpaceDE w:val="0"/>
        <w:autoSpaceDN w:val="0"/>
        <w:bidi w:val="0"/>
        <w:adjustRightInd w:val="0"/>
        <w:snapToGrid/>
        <w:spacing w:line="360" w:lineRule="auto"/>
        <w:ind w:right="147"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成员不得收受他人的财物或者其他好处，不得向他人透漏对响应文件的评审和比较、成交候选供应商的推荐情况以及评标有关的其他情况。在评标活动中，磋商小组成员不得擅离职守，影响评标程序正常进行，不得使用第三章“磋商办法”没有规定的评审因素和标准进行评标。</w:t>
      </w:r>
    </w:p>
    <w:p>
      <w:pPr>
        <w:pStyle w:val="28"/>
        <w:keepNext w:val="0"/>
        <w:keepLines w:val="0"/>
        <w:pageBreakBefore w:val="0"/>
        <w:widowControl w:val="0"/>
        <w:numPr>
          <w:ilvl w:val="2"/>
          <w:numId w:val="5"/>
        </w:numPr>
        <w:tabs>
          <w:tab w:val="left" w:pos="1101"/>
        </w:tabs>
        <w:kinsoku w:val="0"/>
        <w:wordWrap/>
        <w:overflowPunct w:val="0"/>
        <w:topLinePunct w:val="0"/>
        <w:autoSpaceDE w:val="0"/>
        <w:autoSpaceDN w:val="0"/>
        <w:bidi w:val="0"/>
        <w:adjustRightInd w:val="0"/>
        <w:snapToGrid/>
        <w:spacing w:line="360" w:lineRule="auto"/>
        <w:ind w:left="1100" w:hanging="57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磋商小组及其成员不得有下列行为：</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（一）确定参与评标至评标结束前私自接触供应商；</w:t>
      </w:r>
    </w:p>
    <w:p>
      <w:pPr>
        <w:pStyle w:val="2"/>
        <w:keepNext w:val="0"/>
        <w:keepLines w:val="0"/>
        <w:pageBreakBefore w:val="0"/>
        <w:widowControl w:val="0"/>
        <w:kinsoku w:val="0"/>
        <w:wordWrap/>
        <w:overflowPunct w:val="0"/>
        <w:topLinePunct w:val="0"/>
        <w:autoSpaceDE w:val="0"/>
        <w:autoSpaceDN w:val="0"/>
        <w:bidi w:val="0"/>
        <w:adjustRightInd w:val="0"/>
        <w:snapToGrid/>
        <w:spacing w:before="1" w:line="360" w:lineRule="auto"/>
        <w:ind w:left="628" w:right="224" w:hanging="106"/>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（二）接受供应商提出的与响应文件不一致的澄清或者说明；</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（三）违反评标纪律发表倾向性意见或者征询采购人的倾向性意见；</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（四）对需要专业判断的主观评审因素协商评分；</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（五）在评标过程中擅离职守，影响评标程序正常进行的；</w:t>
      </w:r>
    </w:p>
    <w:p>
      <w:pPr>
        <w:pStyle w:val="2"/>
        <w:keepNext w:val="0"/>
        <w:keepLines w:val="0"/>
        <w:pageBreakBefore w:val="0"/>
        <w:widowControl w:val="0"/>
        <w:kinsoku w:val="0"/>
        <w:wordWrap/>
        <w:overflowPunct w:val="0"/>
        <w:topLinePunct w:val="0"/>
        <w:autoSpaceDE w:val="0"/>
        <w:autoSpaceDN w:val="0"/>
        <w:bidi w:val="0"/>
        <w:adjustRightInd w:val="0"/>
        <w:snapToGrid/>
        <w:spacing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（六）记录、复制或者带走任何评标资料；</w:t>
      </w:r>
    </w:p>
    <w:p>
      <w:pPr>
        <w:pStyle w:val="2"/>
        <w:keepNext w:val="0"/>
        <w:keepLines w:val="0"/>
        <w:pageBreakBefore w:val="0"/>
        <w:widowControl w:val="0"/>
        <w:kinsoku w:val="0"/>
        <w:wordWrap/>
        <w:overflowPunct w:val="0"/>
        <w:topLinePunct w:val="0"/>
        <w:autoSpaceDE w:val="0"/>
        <w:autoSpaceDN w:val="0"/>
        <w:bidi w:val="0"/>
        <w:adjustRightInd w:val="0"/>
        <w:snapToGrid/>
        <w:spacing w:before="1" w:line="360" w:lineRule="auto"/>
        <w:ind w:left="52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（七）其他不遵守评标纪律的行为。</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55" w:name="9.4 对与评标活动有关的工作人员的纪律要求"/>
      <w:bookmarkEnd w:id="55"/>
      <w:r>
        <w:rPr>
          <w:rFonts w:hint="eastAsia" w:ascii="仿宋" w:hAnsi="仿宋" w:eastAsia="仿宋" w:cs="仿宋"/>
          <w:color w:val="auto"/>
          <w:sz w:val="21"/>
          <w:szCs w:val="21"/>
          <w:highlight w:val="none"/>
        </w:rPr>
        <w:t>对与评标活动有关的工作人员的纪律要求</w:t>
      </w:r>
    </w:p>
    <w:p>
      <w:pPr>
        <w:pStyle w:val="28"/>
        <w:keepNext w:val="0"/>
        <w:keepLines w:val="0"/>
        <w:pageBreakBefore w:val="0"/>
        <w:widowControl w:val="0"/>
        <w:numPr>
          <w:ilvl w:val="0"/>
          <w:numId w:val="0"/>
        </w:numPr>
        <w:tabs>
          <w:tab w:val="left" w:pos="1101"/>
        </w:tabs>
        <w:wordWrap/>
        <w:topLinePunct w:val="0"/>
        <w:autoSpaceDE w:val="0"/>
        <w:autoSpaceDN w:val="0"/>
        <w:bidi w:val="0"/>
        <w:adjustRightInd w:val="0"/>
        <w:snapToGrid/>
        <w:spacing w:line="360" w:lineRule="auto"/>
        <w:ind w:right="147" w:rightChars="0"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与评标活动有关的工作人员不得收受他人的财物或者其他好处，不得向他人透漏对响应文件的评审和比较、成交候选供应商的推荐情况以及评标有关的其他情况。在评标活动中，与评标活动有关的工作人员不得擅离职守，影响评标程序正常进行。</w:t>
      </w:r>
    </w:p>
    <w:p>
      <w:pPr>
        <w:pStyle w:val="28"/>
        <w:keepNext w:val="0"/>
        <w:keepLines w:val="0"/>
        <w:pageBreakBefore w:val="0"/>
        <w:widowControl w:val="0"/>
        <w:numPr>
          <w:ilvl w:val="1"/>
          <w:numId w:val="5"/>
        </w:numPr>
        <w:tabs>
          <w:tab w:val="left" w:pos="523"/>
        </w:tabs>
        <w:kinsoku w:val="0"/>
        <w:wordWrap/>
        <w:overflowPunct w:val="0"/>
        <w:topLinePunct w:val="0"/>
        <w:autoSpaceDE w:val="0"/>
        <w:autoSpaceDN w:val="0"/>
        <w:bidi w:val="0"/>
        <w:adjustRightInd w:val="0"/>
        <w:snapToGrid/>
        <w:spacing w:line="360" w:lineRule="auto"/>
        <w:ind w:hanging="421"/>
        <w:textAlignment w:val="auto"/>
        <w:rPr>
          <w:rFonts w:hint="eastAsia" w:ascii="仿宋" w:hAnsi="仿宋" w:eastAsia="仿宋" w:cs="仿宋"/>
          <w:color w:val="auto"/>
          <w:sz w:val="21"/>
          <w:szCs w:val="21"/>
          <w:highlight w:val="none"/>
        </w:rPr>
      </w:pPr>
      <w:bookmarkStart w:id="56" w:name="9.5 投诉"/>
      <w:bookmarkEnd w:id="56"/>
      <w:r>
        <w:rPr>
          <w:rFonts w:hint="eastAsia" w:ascii="仿宋" w:hAnsi="仿宋" w:eastAsia="仿宋" w:cs="仿宋"/>
          <w:color w:val="auto"/>
          <w:sz w:val="21"/>
          <w:szCs w:val="21"/>
          <w:highlight w:val="none"/>
        </w:rPr>
        <w:t>投诉</w:t>
      </w:r>
    </w:p>
    <w:p>
      <w:pPr>
        <w:pStyle w:val="2"/>
        <w:keepNext w:val="0"/>
        <w:keepLines w:val="0"/>
        <w:pageBreakBefore w:val="0"/>
        <w:widowControl w:val="0"/>
        <w:wordWrap/>
        <w:topLinePunct w:val="0"/>
        <w:autoSpaceDE w:val="0"/>
        <w:autoSpaceDN w:val="0"/>
        <w:bidi w:val="0"/>
        <w:adjustRightInd w:val="0"/>
        <w:snapToGrid/>
        <w:spacing w:line="360" w:lineRule="auto"/>
        <w:ind w:left="102" w:right="222" w:firstLine="42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供应商和其他利害关系人认为本次采购活动违反法律、法规和规章规定的，有权向有关行政监督部门投诉。</w:t>
      </w:r>
    </w:p>
    <w:p>
      <w:pPr>
        <w:pStyle w:val="6"/>
        <w:keepNext w:val="0"/>
        <w:keepLines w:val="0"/>
        <w:pageBreakBefore w:val="0"/>
        <w:widowControl w:val="0"/>
        <w:numPr>
          <w:ilvl w:val="0"/>
          <w:numId w:val="5"/>
        </w:numPr>
        <w:tabs>
          <w:tab w:val="left" w:pos="525"/>
        </w:tabs>
        <w:wordWrap/>
        <w:topLinePunct w:val="0"/>
        <w:autoSpaceDE w:val="0"/>
        <w:autoSpaceDN w:val="0"/>
        <w:bidi w:val="0"/>
        <w:adjustRightInd w:val="0"/>
        <w:snapToGrid/>
        <w:spacing w:line="360" w:lineRule="auto"/>
        <w:ind w:left="524" w:hanging="423"/>
        <w:textAlignment w:val="auto"/>
        <w:rPr>
          <w:rFonts w:hint="eastAsia" w:ascii="仿宋" w:hAnsi="仿宋" w:eastAsia="仿宋" w:cs="仿宋"/>
          <w:color w:val="auto"/>
          <w:sz w:val="21"/>
          <w:szCs w:val="21"/>
          <w:highlight w:val="none"/>
        </w:rPr>
      </w:pPr>
      <w:bookmarkStart w:id="57" w:name="10. 需要补充的其他内容"/>
      <w:bookmarkEnd w:id="57"/>
      <w:r>
        <w:rPr>
          <w:rFonts w:hint="eastAsia" w:ascii="仿宋" w:hAnsi="仿宋" w:eastAsia="仿宋" w:cs="仿宋"/>
          <w:color w:val="auto"/>
          <w:sz w:val="21"/>
          <w:szCs w:val="21"/>
          <w:highlight w:val="none"/>
        </w:rPr>
        <w:t>需要补充的其他内容</w:t>
      </w:r>
    </w:p>
    <w:p>
      <w:pPr>
        <w:keepNext w:val="0"/>
        <w:keepLines w:val="0"/>
        <w:pageBreakBefore w:val="0"/>
        <w:widowControl w:val="0"/>
        <w:wordWrap/>
        <w:topLinePunct w:val="0"/>
        <w:autoSpaceDE w:val="0"/>
        <w:autoSpaceDN w:val="0"/>
        <w:bidi w:val="0"/>
        <w:adjustRightInd w:val="0"/>
        <w:snapToGrid/>
        <w:spacing w:line="360" w:lineRule="auto"/>
        <w:ind w:firstLine="420" w:firstLineChars="200"/>
        <w:textAlignment w:val="auto"/>
        <w:rPr>
          <w:rFonts w:hint="eastAsia" w:ascii="仿宋" w:hAnsi="仿宋" w:eastAsia="仿宋" w:cs="仿宋"/>
          <w:highlight w:val="none"/>
        </w:rPr>
      </w:pPr>
      <w:r>
        <w:rPr>
          <w:rFonts w:hint="eastAsia" w:ascii="仿宋" w:hAnsi="仿宋" w:eastAsia="仿宋" w:cs="仿宋"/>
          <w:color w:val="auto"/>
          <w:sz w:val="21"/>
          <w:szCs w:val="21"/>
          <w:highlight w:val="none"/>
        </w:rPr>
        <w:t>需要补充的其他内容：见供应商须知前附表</w:t>
      </w:r>
    </w:p>
    <w:p>
      <w:pPr>
        <w:jc w:val="center"/>
        <w:rPr>
          <w:rFonts w:hint="eastAsia" w:ascii="仿宋" w:hAnsi="仿宋" w:eastAsia="仿宋" w:cs="仿宋"/>
          <w:highlight w:val="none"/>
        </w:rPr>
      </w:pPr>
      <w:r>
        <w:rPr>
          <w:rFonts w:hint="eastAsia" w:ascii="仿宋" w:hAnsi="仿宋" w:eastAsia="仿宋" w:cs="仿宋"/>
          <w:highlight w:val="none"/>
        </w:rPr>
        <w:br w:type="page"/>
      </w:r>
      <w:bookmarkStart w:id="58" w:name="_Toc8338"/>
      <w:r>
        <w:rPr>
          <w:rStyle w:val="30"/>
          <w:rFonts w:hint="eastAsia" w:ascii="仿宋" w:hAnsi="仿宋" w:eastAsia="仿宋" w:cs="仿宋"/>
          <w:highlight w:val="none"/>
          <w:lang w:val="en-US" w:eastAsia="zh-CN"/>
        </w:rPr>
        <w:t xml:space="preserve">第三章 </w:t>
      </w:r>
      <w:r>
        <w:rPr>
          <w:rStyle w:val="30"/>
          <w:rFonts w:hint="eastAsia" w:ascii="仿宋" w:hAnsi="仿宋" w:eastAsia="仿宋" w:cs="仿宋"/>
          <w:highlight w:val="none"/>
        </w:rPr>
        <w:t>磋商办法（综合评分法）</w:t>
      </w:r>
      <w:bookmarkEnd w:id="58"/>
    </w:p>
    <w:p>
      <w:pPr>
        <w:pStyle w:val="5"/>
        <w:pageBreakBefore w:val="0"/>
        <w:kinsoku w:val="0"/>
        <w:wordWrap/>
        <w:overflowPunct w:val="0"/>
        <w:topLinePunct w:val="0"/>
        <w:bidi w:val="0"/>
        <w:spacing w:before="107" w:line="360" w:lineRule="auto"/>
        <w:ind w:left="253" w:right="372"/>
        <w:jc w:val="center"/>
        <w:textAlignment w:val="auto"/>
        <w:rPr>
          <w:rFonts w:hint="eastAsia" w:ascii="仿宋" w:hAnsi="仿宋" w:eastAsia="仿宋" w:cs="仿宋"/>
          <w:highlight w:val="none"/>
        </w:rPr>
      </w:pPr>
      <w:bookmarkStart w:id="59" w:name="_Toc20512"/>
      <w:bookmarkStart w:id="60" w:name="_Toc31345"/>
      <w:bookmarkStart w:id="61" w:name="_Toc25123"/>
      <w:bookmarkStart w:id="62" w:name="_Toc11382"/>
      <w:bookmarkStart w:id="63" w:name="_Toc19997"/>
      <w:r>
        <w:rPr>
          <w:rFonts w:hint="eastAsia" w:ascii="仿宋" w:hAnsi="仿宋" w:eastAsia="仿宋" w:cs="仿宋"/>
          <w:color w:val="auto"/>
          <w:sz w:val="28"/>
          <w:szCs w:val="28"/>
          <w:highlight w:val="none"/>
        </w:rPr>
        <w:t>磋商办法前附表</w:t>
      </w:r>
      <w:bookmarkEnd w:id="59"/>
      <w:bookmarkEnd w:id="60"/>
      <w:bookmarkEnd w:id="61"/>
      <w:bookmarkEnd w:id="62"/>
      <w:bookmarkEnd w:id="63"/>
    </w:p>
    <w:tbl>
      <w:tblPr>
        <w:tblStyle w:val="26"/>
        <w:tblpPr w:leftFromText="180" w:rightFromText="180" w:vertAnchor="text" w:horzAnchor="page" w:tblpX="1310" w:tblpY="90"/>
        <w:tblOverlap w:val="never"/>
        <w:tblW w:w="94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1251"/>
        <w:gridCol w:w="2127"/>
        <w:gridCol w:w="49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382" w:type="dxa"/>
            <w:gridSpan w:val="2"/>
            <w:tcBorders>
              <w:top w:val="single" w:color="auto" w:sz="4" w:space="0"/>
              <w:left w:val="single" w:color="auto" w:sz="4" w:space="0"/>
              <w:bottom w:val="single" w:color="auto" w:sz="4" w:space="0"/>
              <w:right w:val="single" w:color="auto" w:sz="4" w:space="0"/>
            </w:tcBorders>
            <w:vAlign w:val="center"/>
          </w:tcPr>
          <w:p>
            <w:pPr>
              <w:spacing w:before="218" w:line="360" w:lineRule="auto"/>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14:textOutline w14:w="3831" w14:cap="flat" w14:cmpd="sng">
                  <w14:solidFill>
                    <w14:srgbClr w14:val="000000"/>
                  </w14:solidFill>
                  <w14:prstDash w14:val="solid"/>
                  <w14:miter w14:val="0"/>
                </w14:textOutline>
              </w:rPr>
              <w:t>条款</w:t>
            </w:r>
            <w:r>
              <w:rPr>
                <w:rFonts w:hint="eastAsia" w:ascii="仿宋" w:hAnsi="仿宋" w:eastAsia="仿宋" w:cs="仿宋"/>
                <w:spacing w:val="-1"/>
                <w:sz w:val="21"/>
                <w:szCs w:val="21"/>
                <w:highlight w:val="none"/>
                <w14:textOutline w14:w="3831" w14:cap="flat" w14:cmpd="sng">
                  <w14:solidFill>
                    <w14:srgbClr w14:val="000000"/>
                  </w14:solidFill>
                  <w14:prstDash w14:val="solid"/>
                  <w14:miter w14:val="0"/>
                </w14:textOutline>
              </w:rPr>
              <w:t>号</w:t>
            </w:r>
          </w:p>
        </w:tc>
        <w:tc>
          <w:tcPr>
            <w:tcW w:w="2127" w:type="dxa"/>
            <w:tcBorders>
              <w:top w:val="single" w:color="auto" w:sz="4" w:space="0"/>
              <w:left w:val="single" w:color="auto" w:sz="4" w:space="0"/>
              <w:bottom w:val="single" w:color="auto" w:sz="4" w:space="0"/>
              <w:right w:val="single" w:color="auto" w:sz="4" w:space="0"/>
            </w:tcBorders>
            <w:vAlign w:val="center"/>
          </w:tcPr>
          <w:p>
            <w:pPr>
              <w:spacing w:before="218" w:line="360" w:lineRule="auto"/>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14:textOutline w14:w="3831" w14:cap="flat" w14:cmpd="sng">
                  <w14:solidFill>
                    <w14:srgbClr w14:val="000000"/>
                  </w14:solidFill>
                  <w14:prstDash w14:val="solid"/>
                  <w14:miter w14:val="0"/>
                </w14:textOutline>
              </w:rPr>
              <w:t>评审</w:t>
            </w:r>
            <w:r>
              <w:rPr>
                <w:rFonts w:hint="eastAsia" w:ascii="仿宋" w:hAnsi="仿宋" w:eastAsia="仿宋" w:cs="仿宋"/>
                <w:sz w:val="21"/>
                <w:szCs w:val="21"/>
                <w:highlight w:val="none"/>
                <w14:textOutline w14:w="3831" w14:cap="flat" w14:cmpd="sng">
                  <w14:solidFill>
                    <w14:srgbClr w14:val="000000"/>
                  </w14:solidFill>
                  <w14:prstDash w14:val="solid"/>
                  <w14:miter w14:val="0"/>
                </w14:textOutline>
              </w:rPr>
              <w:t>因素</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219" w:line="360" w:lineRule="auto"/>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14:textOutline w14:w="3831" w14:cap="flat" w14:cmpd="sng">
                  <w14:solidFill>
                    <w14:srgbClr w14:val="000000"/>
                  </w14:solidFill>
                  <w14:prstDash w14:val="solid"/>
                  <w14:miter w14:val="0"/>
                </w14:textOutline>
              </w:rPr>
              <w:t>评审</w:t>
            </w:r>
            <w:r>
              <w:rPr>
                <w:rFonts w:hint="eastAsia" w:ascii="仿宋" w:hAnsi="仿宋" w:eastAsia="仿宋" w:cs="仿宋"/>
                <w:sz w:val="21"/>
                <w:szCs w:val="21"/>
                <w:highlight w:val="none"/>
                <w14:textOutline w14:w="3831"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31" w:type="dxa"/>
            <w:vMerge w:val="restart"/>
            <w:tcBorders>
              <w:top w:val="single" w:color="auto" w:sz="4" w:space="0"/>
              <w:left w:val="single" w:color="auto" w:sz="4" w:space="0"/>
              <w:bottom w:val="single" w:color="auto" w:sz="4" w:space="0"/>
              <w:right w:val="single" w:color="auto" w:sz="4" w:space="0"/>
            </w:tcBorders>
            <w:vAlign w:val="center"/>
          </w:tcPr>
          <w:p>
            <w:pPr>
              <w:spacing w:before="60" w:line="360" w:lineRule="auto"/>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2.</w:t>
            </w:r>
            <w:r>
              <w:rPr>
                <w:rFonts w:hint="eastAsia" w:ascii="仿宋" w:hAnsi="仿宋" w:eastAsia="仿宋" w:cs="仿宋"/>
                <w:sz w:val="21"/>
                <w:szCs w:val="21"/>
                <w:highlight w:val="none"/>
              </w:rPr>
              <w:t>1.1</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spacing w:before="68" w:line="360" w:lineRule="auto"/>
              <w:ind w:right="-13" w:rightChars="0"/>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形式评</w:t>
            </w:r>
            <w:r>
              <w:rPr>
                <w:rFonts w:hint="eastAsia" w:ascii="仿宋" w:hAnsi="仿宋" w:eastAsia="仿宋" w:cs="仿宋"/>
                <w:spacing w:val="-1"/>
                <w:sz w:val="21"/>
                <w:szCs w:val="21"/>
                <w:highlight w:val="none"/>
              </w:rPr>
              <w:t>审标</w:t>
            </w:r>
            <w:r>
              <w:rPr>
                <w:rFonts w:hint="eastAsia" w:ascii="仿宋" w:hAnsi="仿宋" w:eastAsia="仿宋" w:cs="仿宋"/>
                <w:sz w:val="21"/>
                <w:szCs w:val="21"/>
                <w:highlight w:val="none"/>
              </w:rPr>
              <w:t xml:space="preserve"> 准</w:t>
            </w:r>
          </w:p>
        </w:tc>
        <w:tc>
          <w:tcPr>
            <w:tcW w:w="2127" w:type="dxa"/>
            <w:tcBorders>
              <w:top w:val="single" w:color="auto" w:sz="4" w:space="0"/>
              <w:left w:val="single" w:color="auto" w:sz="4" w:space="0"/>
              <w:bottom w:val="single" w:color="auto" w:sz="4" w:space="0"/>
              <w:right w:val="single" w:color="auto" w:sz="4" w:space="0"/>
            </w:tcBorders>
            <w:vAlign w:val="center"/>
          </w:tcPr>
          <w:p>
            <w:pPr>
              <w:spacing w:before="214" w:line="360" w:lineRule="auto"/>
              <w:ind w:left="113"/>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供应商名称</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214" w:line="360" w:lineRule="auto"/>
              <w:jc w:val="both"/>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与营业执照及相关</w:t>
            </w:r>
            <w:r>
              <w:rPr>
                <w:rFonts w:hint="eastAsia" w:ascii="仿宋" w:hAnsi="仿宋" w:eastAsia="仿宋" w:cs="仿宋"/>
                <w:sz w:val="21"/>
                <w:szCs w:val="21"/>
                <w:highlight w:val="none"/>
              </w:rPr>
              <w:t>证书名称一致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215" w:line="360" w:lineRule="auto"/>
              <w:ind w:left="123"/>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响应文件签字盖章</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214" w:line="360" w:lineRule="auto"/>
              <w:jc w:val="both"/>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符合磋商文件要</w:t>
            </w:r>
            <w:r>
              <w:rPr>
                <w:rFonts w:hint="eastAsia" w:ascii="仿宋" w:hAnsi="仿宋" w:eastAsia="仿宋" w:cs="仿宋"/>
                <w:sz w:val="21"/>
                <w:szCs w:val="21"/>
                <w:highlight w:val="none"/>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215" w:line="360" w:lineRule="auto"/>
              <w:ind w:left="111"/>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报价唯</w:t>
            </w:r>
            <w:r>
              <w:rPr>
                <w:rFonts w:hint="eastAsia" w:ascii="仿宋" w:hAnsi="仿宋" w:eastAsia="仿宋" w:cs="仿宋"/>
                <w:sz w:val="21"/>
                <w:szCs w:val="21"/>
                <w:highlight w:val="none"/>
              </w:rPr>
              <w:t>一</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215" w:line="360" w:lineRule="auto"/>
              <w:jc w:val="both"/>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每轮报</w:t>
            </w:r>
            <w:r>
              <w:rPr>
                <w:rFonts w:hint="eastAsia" w:ascii="仿宋" w:hAnsi="仿宋" w:eastAsia="仿宋" w:cs="仿宋"/>
                <w:sz w:val="21"/>
                <w:szCs w:val="21"/>
                <w:highlight w:val="none"/>
              </w:rPr>
              <w:t>价只能有一个有效报价且不超过采购限价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131" w:type="dxa"/>
            <w:vMerge w:val="restart"/>
            <w:tcBorders>
              <w:top w:val="single" w:color="auto" w:sz="4" w:space="0"/>
              <w:left w:val="single" w:color="auto" w:sz="4" w:space="0"/>
              <w:bottom w:val="single" w:color="auto" w:sz="4" w:space="0"/>
              <w:right w:val="single" w:color="auto" w:sz="4" w:space="0"/>
            </w:tcBorders>
            <w:vAlign w:val="center"/>
          </w:tcPr>
          <w:p>
            <w:pPr>
              <w:spacing w:before="60" w:line="360" w:lineRule="auto"/>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2.</w:t>
            </w:r>
            <w:r>
              <w:rPr>
                <w:rFonts w:hint="eastAsia" w:ascii="仿宋" w:hAnsi="仿宋" w:eastAsia="仿宋" w:cs="仿宋"/>
                <w:sz w:val="21"/>
                <w:szCs w:val="21"/>
                <w:highlight w:val="none"/>
              </w:rPr>
              <w:t>1.2</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spacing w:before="68" w:line="360" w:lineRule="auto"/>
              <w:ind w:right="-13" w:rightChars="0"/>
              <w:jc w:val="center"/>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资格</w:t>
            </w:r>
            <w:r>
              <w:rPr>
                <w:rFonts w:hint="eastAsia" w:ascii="仿宋" w:hAnsi="仿宋" w:eastAsia="仿宋" w:cs="仿宋"/>
                <w:spacing w:val="-2"/>
                <w:sz w:val="21"/>
                <w:szCs w:val="21"/>
                <w:highlight w:val="none"/>
              </w:rPr>
              <w:t>评审标</w:t>
            </w:r>
            <w:r>
              <w:rPr>
                <w:rFonts w:hint="eastAsia" w:ascii="仿宋" w:hAnsi="仿宋" w:eastAsia="仿宋" w:cs="仿宋"/>
                <w:sz w:val="21"/>
                <w:szCs w:val="21"/>
                <w:highlight w:val="none"/>
              </w:rPr>
              <w:t xml:space="preserve"> 准</w:t>
            </w:r>
          </w:p>
        </w:tc>
        <w:tc>
          <w:tcPr>
            <w:tcW w:w="2127" w:type="dxa"/>
            <w:tcBorders>
              <w:top w:val="single" w:color="auto" w:sz="4" w:space="0"/>
              <w:left w:val="single" w:color="auto" w:sz="4" w:space="0"/>
              <w:bottom w:val="single" w:color="auto" w:sz="4" w:space="0"/>
              <w:right w:val="single" w:color="auto" w:sz="4" w:space="0"/>
            </w:tcBorders>
            <w:vAlign w:val="center"/>
          </w:tcPr>
          <w:p>
            <w:pPr>
              <w:spacing w:before="290"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满足《中华人民共和国政府采购法》第二十二条规定</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291" w:line="360" w:lineRule="auto"/>
              <w:jc w:val="both"/>
              <w:rPr>
                <w:rFonts w:hint="eastAsia" w:ascii="仿宋" w:hAnsi="仿宋" w:eastAsia="仿宋" w:cs="仿宋"/>
                <w:sz w:val="21"/>
                <w:szCs w:val="21"/>
                <w:highlight w:val="none"/>
                <w:lang w:val="en-US"/>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1.4.1项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131" w:type="dxa"/>
            <w:vMerge w:val="continue"/>
            <w:tcBorders>
              <w:left w:val="single" w:color="auto" w:sz="4" w:space="0"/>
              <w:right w:val="single" w:color="auto" w:sz="4" w:space="0"/>
            </w:tcBorders>
            <w:vAlign w:val="center"/>
          </w:tcPr>
          <w:p>
            <w:pPr>
              <w:spacing w:before="60" w:line="360" w:lineRule="auto"/>
              <w:jc w:val="center"/>
              <w:rPr>
                <w:rFonts w:hint="eastAsia" w:ascii="仿宋" w:hAnsi="仿宋" w:eastAsia="仿宋" w:cs="仿宋"/>
                <w:spacing w:val="-1"/>
                <w:sz w:val="21"/>
                <w:szCs w:val="21"/>
                <w:highlight w:val="none"/>
              </w:rPr>
            </w:pPr>
          </w:p>
        </w:tc>
        <w:tc>
          <w:tcPr>
            <w:tcW w:w="1251" w:type="dxa"/>
            <w:vMerge w:val="continue"/>
            <w:tcBorders>
              <w:left w:val="single" w:color="auto" w:sz="4" w:space="0"/>
              <w:right w:val="single" w:color="auto" w:sz="4" w:space="0"/>
            </w:tcBorders>
            <w:vAlign w:val="center"/>
          </w:tcPr>
          <w:p>
            <w:pPr>
              <w:spacing w:before="68" w:line="360" w:lineRule="auto"/>
              <w:ind w:right="-13" w:rightChars="0"/>
              <w:jc w:val="center"/>
              <w:rPr>
                <w:rFonts w:hint="eastAsia" w:ascii="仿宋" w:hAnsi="仿宋" w:eastAsia="仿宋" w:cs="仿宋"/>
                <w:spacing w:val="-4"/>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290"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落实政府采购政策满足的资格要求</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291"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1.4.1项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271"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营业执照</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271"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1.4.1项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271" w:line="360" w:lineRule="auto"/>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资质要求</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271"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1.4.1项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116" w:line="360" w:lineRule="auto"/>
              <w:ind w:right="227"/>
              <w:jc w:val="center"/>
              <w:rPr>
                <w:rFonts w:hint="eastAsia" w:ascii="仿宋" w:hAnsi="仿宋" w:eastAsia="仿宋" w:cs="仿宋"/>
                <w:sz w:val="21"/>
                <w:szCs w:val="21"/>
                <w:highlight w:val="none"/>
                <w:lang w:val="en-US" w:eastAsia="zh-CN"/>
              </w:rPr>
            </w:pPr>
            <w:r>
              <w:rPr>
                <w:rFonts w:hint="eastAsia" w:ascii="仿宋" w:hAnsi="仿宋" w:eastAsia="仿宋" w:cs="仿宋"/>
                <w:spacing w:val="-1"/>
                <w:sz w:val="21"/>
                <w:szCs w:val="21"/>
                <w:highlight w:val="none"/>
                <w:lang w:val="en-US" w:eastAsia="zh-CN"/>
              </w:rPr>
              <w:t>项目负责人</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68"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1.4.1项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116" w:line="360" w:lineRule="auto"/>
              <w:ind w:right="227"/>
              <w:jc w:val="center"/>
              <w:rPr>
                <w:rFonts w:hint="eastAsia" w:ascii="仿宋" w:hAnsi="仿宋" w:eastAsia="仿宋" w:cs="仿宋"/>
                <w:spacing w:val="-1"/>
                <w:sz w:val="21"/>
                <w:szCs w:val="21"/>
                <w:highlight w:val="none"/>
                <w:lang w:val="en-US" w:eastAsia="zh-CN"/>
              </w:rPr>
            </w:pPr>
            <w:r>
              <w:rPr>
                <w:rFonts w:hint="eastAsia" w:ascii="仿宋" w:hAnsi="仿宋" w:eastAsia="仿宋" w:cs="仿宋"/>
                <w:spacing w:val="-1"/>
                <w:sz w:val="21"/>
                <w:szCs w:val="21"/>
                <w:highlight w:val="none"/>
                <w:lang w:val="en-US" w:eastAsia="zh-CN"/>
              </w:rPr>
              <w:t>信誉要求</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68" w:line="360" w:lineRule="auto"/>
              <w:jc w:val="both"/>
              <w:rPr>
                <w:rFonts w:hint="eastAsia" w:ascii="仿宋" w:hAnsi="仿宋" w:eastAsia="仿宋" w:cs="仿宋"/>
                <w:spacing w:val="-1"/>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1.4.1项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13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296" w:line="360" w:lineRule="auto"/>
              <w:jc w:val="center"/>
              <w:rPr>
                <w:rFonts w:hint="eastAsia" w:ascii="仿宋" w:hAnsi="仿宋" w:eastAsia="仿宋" w:cs="仿宋"/>
                <w:sz w:val="21"/>
                <w:szCs w:val="21"/>
                <w:highlight w:val="none"/>
                <w:lang w:eastAsia="zh-CN"/>
              </w:rPr>
            </w:pPr>
            <w:r>
              <w:rPr>
                <w:rFonts w:hint="eastAsia" w:ascii="仿宋" w:hAnsi="仿宋" w:eastAsia="仿宋" w:cs="仿宋"/>
                <w:spacing w:val="-2"/>
                <w:sz w:val="21"/>
                <w:szCs w:val="21"/>
                <w:highlight w:val="none"/>
                <w:lang w:val="en-US" w:eastAsia="zh-CN"/>
              </w:rPr>
              <w:t>其他</w:t>
            </w:r>
          </w:p>
        </w:tc>
        <w:tc>
          <w:tcPr>
            <w:tcW w:w="4989" w:type="dxa"/>
            <w:tcBorders>
              <w:top w:val="single" w:color="auto" w:sz="4" w:space="0"/>
              <w:left w:val="single" w:color="auto" w:sz="4" w:space="0"/>
              <w:bottom w:val="single" w:color="auto" w:sz="4" w:space="0"/>
              <w:right w:val="single" w:color="auto" w:sz="4" w:space="0"/>
            </w:tcBorders>
            <w:vAlign w:val="center"/>
          </w:tcPr>
          <w:p>
            <w:pPr>
              <w:spacing w:before="296"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1.4.1项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1" w:type="dxa"/>
            <w:vMerge w:val="restart"/>
            <w:tcBorders>
              <w:top w:val="single" w:color="auto" w:sz="4" w:space="0"/>
              <w:left w:val="single" w:color="auto" w:sz="4" w:space="0"/>
              <w:bottom w:val="single" w:color="auto" w:sz="4" w:space="0"/>
              <w:right w:val="single" w:color="auto" w:sz="4" w:space="0"/>
            </w:tcBorders>
            <w:vAlign w:val="center"/>
          </w:tcPr>
          <w:p>
            <w:pPr>
              <w:spacing w:before="61" w:line="360" w:lineRule="auto"/>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2.</w:t>
            </w:r>
            <w:r>
              <w:rPr>
                <w:rFonts w:hint="eastAsia" w:ascii="仿宋" w:hAnsi="仿宋" w:eastAsia="仿宋" w:cs="仿宋"/>
                <w:sz w:val="21"/>
                <w:szCs w:val="21"/>
                <w:highlight w:val="none"/>
              </w:rPr>
              <w:t>1.3</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tabs>
                <w:tab w:val="left" w:pos="1260"/>
              </w:tabs>
              <w:spacing w:before="68" w:line="360" w:lineRule="auto"/>
              <w:ind w:right="-19" w:rightChars="0"/>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响应性评审 标准</w:t>
            </w:r>
          </w:p>
        </w:tc>
        <w:tc>
          <w:tcPr>
            <w:tcW w:w="2127" w:type="dxa"/>
            <w:tcBorders>
              <w:top w:val="single" w:color="auto" w:sz="4" w:space="0"/>
              <w:left w:val="single" w:color="auto" w:sz="4" w:space="0"/>
              <w:bottom w:val="single" w:color="auto" w:sz="4" w:space="0"/>
              <w:right w:val="single" w:color="auto" w:sz="4" w:space="0"/>
            </w:tcBorders>
            <w:vAlign w:val="center"/>
          </w:tcPr>
          <w:p>
            <w:pPr>
              <w:spacing w:before="273" w:line="360" w:lineRule="auto"/>
              <w:ind w:left="112"/>
              <w:jc w:val="center"/>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rPr>
              <w:t>采购</w:t>
            </w:r>
            <w:r>
              <w:rPr>
                <w:rFonts w:hint="eastAsia" w:ascii="仿宋" w:hAnsi="仿宋" w:eastAsia="仿宋" w:cs="仿宋"/>
                <w:spacing w:val="-1"/>
                <w:sz w:val="21"/>
                <w:szCs w:val="21"/>
                <w:highlight w:val="none"/>
                <w:lang w:val="en-US" w:eastAsia="zh-CN"/>
              </w:rPr>
              <w:t>范围</w:t>
            </w:r>
          </w:p>
        </w:tc>
        <w:tc>
          <w:tcPr>
            <w:tcW w:w="4989" w:type="dxa"/>
            <w:tcBorders>
              <w:top w:val="single" w:color="auto" w:sz="4" w:space="0"/>
              <w:left w:val="single" w:color="auto" w:sz="4" w:space="0"/>
              <w:bottom w:val="single" w:color="auto" w:sz="4" w:space="0"/>
              <w:right w:val="single" w:color="auto" w:sz="4" w:space="0"/>
            </w:tcBorders>
            <w:vAlign w:val="top"/>
          </w:tcPr>
          <w:p>
            <w:pPr>
              <w:spacing w:before="273" w:line="360" w:lineRule="auto"/>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1.3.1项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3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274" w:line="360" w:lineRule="auto"/>
              <w:ind w:left="113"/>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服务期限</w:t>
            </w:r>
          </w:p>
        </w:tc>
        <w:tc>
          <w:tcPr>
            <w:tcW w:w="4989" w:type="dxa"/>
            <w:tcBorders>
              <w:top w:val="single" w:color="auto" w:sz="4" w:space="0"/>
              <w:left w:val="single" w:color="auto" w:sz="4" w:space="0"/>
              <w:bottom w:val="single" w:color="auto" w:sz="4" w:space="0"/>
              <w:right w:val="single" w:color="auto" w:sz="4" w:space="0"/>
            </w:tcBorders>
            <w:vAlign w:val="top"/>
          </w:tcPr>
          <w:p>
            <w:pPr>
              <w:spacing w:before="274" w:line="360" w:lineRule="auto"/>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1.3.2项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13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265" w:line="360" w:lineRule="auto"/>
              <w:ind w:left="113"/>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质量</w:t>
            </w:r>
            <w:r>
              <w:rPr>
                <w:rFonts w:hint="eastAsia" w:ascii="仿宋" w:hAnsi="仿宋" w:eastAsia="仿宋" w:cs="仿宋"/>
                <w:spacing w:val="-1"/>
                <w:sz w:val="21"/>
                <w:szCs w:val="21"/>
                <w:highlight w:val="none"/>
              </w:rPr>
              <w:t>要求</w:t>
            </w:r>
          </w:p>
        </w:tc>
        <w:tc>
          <w:tcPr>
            <w:tcW w:w="4989" w:type="dxa"/>
            <w:tcBorders>
              <w:top w:val="single" w:color="auto" w:sz="4" w:space="0"/>
              <w:left w:val="single" w:color="auto" w:sz="4" w:space="0"/>
              <w:bottom w:val="single" w:color="auto" w:sz="4" w:space="0"/>
              <w:right w:val="single" w:color="auto" w:sz="4" w:space="0"/>
            </w:tcBorders>
            <w:vAlign w:val="top"/>
          </w:tcPr>
          <w:p>
            <w:pPr>
              <w:spacing w:before="265" w:line="360" w:lineRule="auto"/>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1.3.3项</w:t>
            </w:r>
            <w:r>
              <w:rPr>
                <w:rFonts w:hint="eastAsia" w:ascii="仿宋" w:hAnsi="仿宋" w:eastAsia="仿宋" w:cs="仿宋"/>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13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仿宋" w:hAnsi="仿宋" w:eastAsia="仿宋" w:cs="仿宋"/>
                <w:sz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仿宋" w:hAnsi="仿宋" w:eastAsia="仿宋" w:cs="仿宋"/>
                <w:sz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before="287" w:line="360" w:lineRule="auto"/>
              <w:ind w:left="112"/>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磋商有效</w:t>
            </w:r>
            <w:r>
              <w:rPr>
                <w:rFonts w:hint="eastAsia" w:ascii="仿宋" w:hAnsi="仿宋" w:eastAsia="仿宋" w:cs="仿宋"/>
                <w:sz w:val="21"/>
                <w:szCs w:val="21"/>
                <w:highlight w:val="none"/>
              </w:rPr>
              <w:t>期</w:t>
            </w:r>
          </w:p>
        </w:tc>
        <w:tc>
          <w:tcPr>
            <w:tcW w:w="4989" w:type="dxa"/>
            <w:tcBorders>
              <w:top w:val="single" w:color="auto" w:sz="4" w:space="0"/>
              <w:left w:val="single" w:color="auto" w:sz="4" w:space="0"/>
              <w:bottom w:val="single" w:color="auto" w:sz="4" w:space="0"/>
              <w:right w:val="single" w:color="auto" w:sz="4" w:space="0"/>
            </w:tcBorders>
            <w:vAlign w:val="top"/>
          </w:tcPr>
          <w:p>
            <w:pPr>
              <w:spacing w:before="287" w:line="360" w:lineRule="auto"/>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符合磋商文件</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第二章供应商须知前附表</w:t>
            </w:r>
            <w:r>
              <w:rPr>
                <w:rFonts w:hint="eastAsia" w:ascii="仿宋" w:hAnsi="仿宋" w:eastAsia="仿宋" w:cs="仿宋"/>
                <w:sz w:val="21"/>
                <w:szCs w:val="21"/>
                <w:highlight w:val="none"/>
                <w:lang w:val="en-US" w:eastAsia="zh-CN"/>
              </w:rPr>
              <w:t>3.3.1项</w:t>
            </w:r>
            <w:r>
              <w:rPr>
                <w:rFonts w:hint="eastAsia" w:ascii="仿宋" w:hAnsi="仿宋" w:eastAsia="仿宋" w:cs="仿宋"/>
                <w:sz w:val="21"/>
                <w:szCs w:val="21"/>
                <w:highlight w:val="none"/>
                <w:lang w:eastAsia="zh-CN"/>
              </w:rPr>
              <w:t>”</w:t>
            </w:r>
          </w:p>
        </w:tc>
      </w:tr>
    </w:tbl>
    <w:p>
      <w:pPr>
        <w:spacing w:line="119" w:lineRule="exact"/>
        <w:rPr>
          <w:rFonts w:hint="eastAsia" w:ascii="仿宋" w:hAnsi="仿宋" w:eastAsia="仿宋" w:cs="仿宋"/>
          <w:highlight w:val="none"/>
        </w:rPr>
      </w:pPr>
    </w:p>
    <w:p>
      <w:pPr>
        <w:spacing w:line="270" w:lineRule="auto"/>
        <w:rPr>
          <w:rFonts w:hint="eastAsia" w:ascii="仿宋" w:hAnsi="仿宋" w:eastAsia="仿宋" w:cs="仿宋"/>
          <w:sz w:val="21"/>
          <w:highlight w:val="none"/>
        </w:rPr>
      </w:pPr>
    </w:p>
    <w:p>
      <w:pPr>
        <w:rPr>
          <w:rFonts w:hint="eastAsia" w:ascii="仿宋" w:hAnsi="仿宋" w:eastAsia="仿宋" w:cs="仿宋"/>
          <w:b/>
          <w:bCs/>
          <w:spacing w:val="-1"/>
          <w:sz w:val="21"/>
          <w:szCs w:val="21"/>
          <w:highlight w:val="none"/>
        </w:rPr>
      </w:pPr>
      <w:r>
        <w:rPr>
          <w:rFonts w:hint="eastAsia" w:ascii="仿宋" w:hAnsi="仿宋" w:eastAsia="仿宋" w:cs="仿宋"/>
          <w:b/>
          <w:bCs/>
          <w:spacing w:val="-1"/>
          <w:sz w:val="21"/>
          <w:szCs w:val="21"/>
          <w:highlight w:val="none"/>
        </w:rPr>
        <w:br w:type="page"/>
      </w:r>
    </w:p>
    <w:p>
      <w:pPr>
        <w:pStyle w:val="4"/>
        <w:keepNext/>
        <w:keepLines/>
        <w:pageBreakBefore w:val="0"/>
        <w:widowControl w:val="0"/>
        <w:numPr>
          <w:ilvl w:val="1"/>
          <w:numId w:val="0"/>
        </w:numPr>
        <w:kinsoku/>
        <w:wordWrap/>
        <w:overflowPunct/>
        <w:topLinePunct w:val="0"/>
        <w:autoSpaceDE/>
        <w:autoSpaceDN/>
        <w:bidi w:val="0"/>
        <w:snapToGrid/>
        <w:spacing w:line="240" w:lineRule="auto"/>
        <w:jc w:val="center"/>
        <w:rPr>
          <w:rFonts w:hint="eastAsia" w:ascii="仿宋" w:hAnsi="仿宋" w:eastAsia="仿宋" w:cs="仿宋"/>
          <w:highlight w:val="none"/>
        </w:rPr>
      </w:pPr>
      <w:bookmarkStart w:id="64" w:name="_Toc11247"/>
      <w:bookmarkStart w:id="65" w:name="_Toc18564"/>
      <w:r>
        <w:rPr>
          <w:rFonts w:hint="eastAsia" w:ascii="仿宋" w:hAnsi="仿宋" w:eastAsia="仿宋" w:cs="仿宋"/>
          <w:highlight w:val="none"/>
        </w:rPr>
        <w:t>评分细则</w:t>
      </w:r>
      <w:bookmarkEnd w:id="64"/>
      <w:bookmarkEnd w:id="65"/>
    </w:p>
    <w:p>
      <w:pPr>
        <w:spacing w:line="88" w:lineRule="exact"/>
        <w:rPr>
          <w:rFonts w:hint="eastAsia" w:ascii="仿宋" w:hAnsi="仿宋" w:eastAsia="仿宋" w:cs="仿宋"/>
          <w:highlight w:val="none"/>
        </w:rPr>
      </w:pPr>
    </w:p>
    <w:tbl>
      <w:tblPr>
        <w:tblStyle w:val="26"/>
        <w:tblW w:w="8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7"/>
        <w:gridCol w:w="1326"/>
        <w:gridCol w:w="1753"/>
        <w:gridCol w:w="52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993" w:type="dxa"/>
            <w:gridSpan w:val="2"/>
            <w:vAlign w:val="top"/>
          </w:tcPr>
          <w:p>
            <w:pPr>
              <w:spacing w:before="207" w:line="360" w:lineRule="auto"/>
              <w:ind w:left="795"/>
              <w:rPr>
                <w:rFonts w:hint="eastAsia" w:ascii="仿宋" w:hAnsi="仿宋" w:eastAsia="仿宋" w:cs="仿宋"/>
                <w:sz w:val="21"/>
                <w:szCs w:val="21"/>
                <w:highlight w:val="none"/>
              </w:rPr>
            </w:pPr>
            <w:r>
              <w:rPr>
                <w:rFonts w:hint="eastAsia" w:ascii="仿宋" w:hAnsi="仿宋" w:eastAsia="仿宋" w:cs="仿宋"/>
                <w:spacing w:val="-2"/>
                <w:sz w:val="21"/>
                <w:szCs w:val="21"/>
                <w:highlight w:val="none"/>
                <w14:textOutline w14:w="3831" w14:cap="flat" w14:cmpd="sng">
                  <w14:solidFill>
                    <w14:srgbClr w14:val="000000"/>
                  </w14:solidFill>
                  <w14:prstDash w14:val="solid"/>
                  <w14:miter w14:val="0"/>
                </w14:textOutline>
              </w:rPr>
              <w:t>条款</w:t>
            </w:r>
            <w:r>
              <w:rPr>
                <w:rFonts w:hint="eastAsia" w:ascii="仿宋" w:hAnsi="仿宋" w:eastAsia="仿宋" w:cs="仿宋"/>
                <w:spacing w:val="-1"/>
                <w:sz w:val="21"/>
                <w:szCs w:val="21"/>
                <w:highlight w:val="none"/>
                <w14:textOutline w14:w="3831" w14:cap="flat" w14:cmpd="sng">
                  <w14:solidFill>
                    <w14:srgbClr w14:val="000000"/>
                  </w14:solidFill>
                  <w14:prstDash w14:val="solid"/>
                  <w14:miter w14:val="0"/>
                </w14:textOutline>
              </w:rPr>
              <w:t>号</w:t>
            </w:r>
          </w:p>
        </w:tc>
        <w:tc>
          <w:tcPr>
            <w:tcW w:w="1753" w:type="dxa"/>
            <w:vAlign w:val="top"/>
          </w:tcPr>
          <w:p>
            <w:pPr>
              <w:spacing w:before="207" w:line="360" w:lineRule="auto"/>
              <w:ind w:left="363"/>
              <w:rPr>
                <w:rFonts w:hint="eastAsia" w:ascii="仿宋" w:hAnsi="仿宋" w:eastAsia="仿宋" w:cs="仿宋"/>
                <w:sz w:val="21"/>
                <w:szCs w:val="21"/>
                <w:highlight w:val="none"/>
              </w:rPr>
            </w:pPr>
            <w:r>
              <w:rPr>
                <w:rFonts w:hint="eastAsia" w:ascii="仿宋" w:hAnsi="仿宋" w:eastAsia="仿宋" w:cs="仿宋"/>
                <w:spacing w:val="-1"/>
                <w:sz w:val="21"/>
                <w:szCs w:val="21"/>
                <w:highlight w:val="none"/>
                <w14:textOutline w14:w="3831" w14:cap="flat" w14:cmpd="sng">
                  <w14:solidFill>
                    <w14:srgbClr w14:val="000000"/>
                  </w14:solidFill>
                  <w14:prstDash w14:val="solid"/>
                  <w14:miter w14:val="0"/>
                </w14:textOutline>
              </w:rPr>
              <w:t>条款内容</w:t>
            </w:r>
          </w:p>
        </w:tc>
        <w:tc>
          <w:tcPr>
            <w:tcW w:w="5253" w:type="dxa"/>
            <w:vAlign w:val="top"/>
          </w:tcPr>
          <w:p>
            <w:pPr>
              <w:spacing w:before="207" w:line="360" w:lineRule="auto"/>
              <w:ind w:left="2899"/>
              <w:rPr>
                <w:rFonts w:hint="eastAsia" w:ascii="仿宋" w:hAnsi="仿宋" w:eastAsia="仿宋" w:cs="仿宋"/>
                <w:sz w:val="21"/>
                <w:szCs w:val="21"/>
                <w:highlight w:val="none"/>
              </w:rPr>
            </w:pPr>
            <w:r>
              <w:rPr>
                <w:rFonts w:hint="eastAsia" w:ascii="仿宋" w:hAnsi="仿宋" w:eastAsia="仿宋" w:cs="仿宋"/>
                <w:spacing w:val="-1"/>
                <w:sz w:val="21"/>
                <w:szCs w:val="21"/>
                <w:highlight w:val="none"/>
                <w14:textOutline w14:w="3831" w14:cap="flat" w14:cmpd="sng">
                  <w14:solidFill>
                    <w14:srgbClr w14:val="000000"/>
                  </w14:solidFill>
                  <w14:prstDash w14:val="solid"/>
                  <w14:miter w14:val="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1993" w:type="dxa"/>
            <w:gridSpan w:val="2"/>
            <w:vAlign w:val="center"/>
          </w:tcPr>
          <w:p>
            <w:pPr>
              <w:spacing w:before="68" w:line="360" w:lineRule="auto"/>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2.</w:t>
            </w:r>
            <w:r>
              <w:rPr>
                <w:rFonts w:hint="eastAsia" w:ascii="仿宋" w:hAnsi="仿宋" w:eastAsia="仿宋" w:cs="仿宋"/>
                <w:spacing w:val="-1"/>
                <w:sz w:val="21"/>
                <w:szCs w:val="21"/>
                <w:highlight w:val="none"/>
              </w:rPr>
              <w:t>2.1</w:t>
            </w:r>
          </w:p>
        </w:tc>
        <w:tc>
          <w:tcPr>
            <w:tcW w:w="1753" w:type="dxa"/>
            <w:vAlign w:val="center"/>
          </w:tcPr>
          <w:p>
            <w:pPr>
              <w:spacing w:before="69" w:line="360" w:lineRule="auto"/>
              <w:ind w:right="89"/>
              <w:jc w:val="center"/>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分</w:t>
            </w:r>
            <w:r>
              <w:rPr>
                <w:rFonts w:hint="eastAsia" w:ascii="仿宋" w:hAnsi="仿宋" w:eastAsia="仿宋" w:cs="仿宋"/>
                <w:spacing w:val="-2"/>
                <w:sz w:val="21"/>
                <w:szCs w:val="21"/>
                <w:highlight w:val="none"/>
              </w:rPr>
              <w:t>值构成</w:t>
            </w:r>
            <w:r>
              <w:rPr>
                <w:rFonts w:hint="eastAsia" w:ascii="仿宋" w:hAnsi="仿宋" w:eastAsia="仿宋" w:cs="仿宋"/>
                <w:sz w:val="21"/>
                <w:szCs w:val="21"/>
                <w:highlight w:val="none"/>
              </w:rPr>
              <w:t xml:space="preserve">     </w:t>
            </w:r>
            <w:r>
              <w:rPr>
                <w:rFonts w:hint="eastAsia" w:ascii="仿宋" w:hAnsi="仿宋" w:eastAsia="仿宋" w:cs="仿宋"/>
                <w:spacing w:val="10"/>
                <w:sz w:val="21"/>
                <w:szCs w:val="21"/>
                <w:highlight w:val="none"/>
              </w:rPr>
              <w:t>(总分100分</w:t>
            </w:r>
            <w:r>
              <w:rPr>
                <w:rFonts w:hint="eastAsia" w:ascii="仿宋" w:hAnsi="仿宋" w:eastAsia="仿宋" w:cs="仿宋"/>
                <w:spacing w:val="9"/>
                <w:sz w:val="21"/>
                <w:szCs w:val="21"/>
                <w:highlight w:val="none"/>
              </w:rPr>
              <w:t>)</w:t>
            </w:r>
          </w:p>
        </w:tc>
        <w:tc>
          <w:tcPr>
            <w:tcW w:w="5253" w:type="dxa"/>
            <w:vAlign w:val="top"/>
          </w:tcPr>
          <w:p>
            <w:pPr>
              <w:spacing w:before="106" w:line="360" w:lineRule="auto"/>
              <w:ind w:left="114"/>
              <w:rPr>
                <w:rFonts w:hint="eastAsia" w:ascii="仿宋" w:hAnsi="仿宋" w:eastAsia="仿宋" w:cs="仿宋"/>
                <w:sz w:val="21"/>
                <w:szCs w:val="21"/>
                <w:highlight w:val="none"/>
              </w:rPr>
            </w:pPr>
            <w:r>
              <w:rPr>
                <w:rFonts w:hint="eastAsia" w:ascii="仿宋" w:hAnsi="仿宋" w:eastAsia="仿宋" w:cs="仿宋"/>
                <w:spacing w:val="-18"/>
                <w:sz w:val="21"/>
                <w:szCs w:val="21"/>
                <w:highlight w:val="none"/>
                <w:lang w:val="en-US" w:eastAsia="zh-CN"/>
              </w:rPr>
              <w:t>投标</w:t>
            </w:r>
            <w:r>
              <w:rPr>
                <w:rFonts w:hint="eastAsia" w:ascii="仿宋" w:hAnsi="仿宋" w:eastAsia="仿宋" w:cs="仿宋"/>
                <w:spacing w:val="-18"/>
                <w:sz w:val="21"/>
                <w:szCs w:val="21"/>
                <w:highlight w:val="none"/>
              </w:rPr>
              <w:t>报</w:t>
            </w:r>
            <w:r>
              <w:rPr>
                <w:rFonts w:hint="eastAsia" w:ascii="仿宋" w:hAnsi="仿宋" w:eastAsia="仿宋" w:cs="仿宋"/>
                <w:spacing w:val="-15"/>
                <w:sz w:val="21"/>
                <w:szCs w:val="21"/>
                <w:highlight w:val="none"/>
              </w:rPr>
              <w:t>价：</w:t>
            </w:r>
            <w:r>
              <w:rPr>
                <w:rFonts w:hint="eastAsia" w:ascii="仿宋" w:hAnsi="仿宋" w:eastAsia="仿宋" w:cs="仿宋"/>
                <w:spacing w:val="-15"/>
                <w:sz w:val="21"/>
                <w:szCs w:val="21"/>
                <w:highlight w:val="none"/>
                <w:lang w:val="en-US" w:eastAsia="zh-CN"/>
              </w:rPr>
              <w:t>10</w:t>
            </w:r>
            <w:r>
              <w:rPr>
                <w:rFonts w:hint="eastAsia" w:ascii="仿宋" w:hAnsi="仿宋" w:eastAsia="仿宋" w:cs="仿宋"/>
                <w:spacing w:val="-15"/>
                <w:sz w:val="21"/>
                <w:szCs w:val="21"/>
                <w:highlight w:val="none"/>
              </w:rPr>
              <w:t>分</w:t>
            </w:r>
          </w:p>
          <w:p>
            <w:pPr>
              <w:spacing w:before="110" w:line="360" w:lineRule="auto"/>
              <w:ind w:left="116"/>
              <w:rPr>
                <w:rFonts w:hint="eastAsia" w:ascii="仿宋" w:hAnsi="仿宋" w:eastAsia="仿宋" w:cs="仿宋"/>
                <w:spacing w:val="-18"/>
                <w:sz w:val="21"/>
                <w:szCs w:val="21"/>
                <w:highlight w:val="none"/>
              </w:rPr>
            </w:pPr>
            <w:r>
              <w:rPr>
                <w:rFonts w:hint="eastAsia" w:ascii="仿宋" w:hAnsi="仿宋" w:eastAsia="仿宋" w:cs="仿宋"/>
                <w:spacing w:val="-21"/>
                <w:sz w:val="21"/>
                <w:szCs w:val="21"/>
                <w:highlight w:val="none"/>
              </w:rPr>
              <w:t>技</w:t>
            </w:r>
            <w:r>
              <w:rPr>
                <w:rFonts w:hint="eastAsia" w:ascii="仿宋" w:hAnsi="仿宋" w:eastAsia="仿宋" w:cs="仿宋"/>
                <w:spacing w:val="-15"/>
                <w:sz w:val="21"/>
                <w:szCs w:val="21"/>
                <w:highlight w:val="none"/>
              </w:rPr>
              <w:t>术</w:t>
            </w:r>
            <w:r>
              <w:rPr>
                <w:rFonts w:hint="eastAsia" w:ascii="仿宋" w:hAnsi="仿宋" w:eastAsia="仿宋" w:cs="仿宋"/>
                <w:spacing w:val="-15"/>
                <w:sz w:val="21"/>
                <w:szCs w:val="21"/>
                <w:highlight w:val="none"/>
                <w:lang w:val="en-US" w:eastAsia="zh-CN"/>
              </w:rPr>
              <w:t>评分</w:t>
            </w:r>
            <w:r>
              <w:rPr>
                <w:rFonts w:hint="eastAsia" w:ascii="仿宋" w:hAnsi="仿宋" w:eastAsia="仿宋" w:cs="仿宋"/>
                <w:spacing w:val="-15"/>
                <w:sz w:val="21"/>
                <w:szCs w:val="21"/>
                <w:highlight w:val="none"/>
              </w:rPr>
              <w:t xml:space="preserve">： </w:t>
            </w:r>
            <w:r>
              <w:rPr>
                <w:rFonts w:hint="eastAsia" w:ascii="仿宋" w:hAnsi="仿宋" w:eastAsia="仿宋" w:cs="仿宋"/>
                <w:spacing w:val="-15"/>
                <w:sz w:val="21"/>
                <w:szCs w:val="21"/>
                <w:highlight w:val="none"/>
                <w:lang w:val="en-US" w:eastAsia="zh-CN"/>
              </w:rPr>
              <w:t>70</w:t>
            </w:r>
            <w:r>
              <w:rPr>
                <w:rFonts w:hint="eastAsia" w:ascii="仿宋" w:hAnsi="仿宋" w:eastAsia="仿宋" w:cs="仿宋"/>
                <w:spacing w:val="-15"/>
                <w:sz w:val="21"/>
                <w:szCs w:val="21"/>
                <w:highlight w:val="none"/>
              </w:rPr>
              <w:t>分</w:t>
            </w:r>
          </w:p>
          <w:p>
            <w:pPr>
              <w:spacing w:before="108" w:line="360" w:lineRule="auto"/>
              <w:ind w:left="114" w:right="236" w:firstLine="5"/>
              <w:rPr>
                <w:rFonts w:hint="eastAsia" w:ascii="仿宋" w:hAnsi="仿宋" w:eastAsia="仿宋" w:cs="仿宋"/>
                <w:spacing w:val="-16"/>
                <w:sz w:val="21"/>
                <w:szCs w:val="21"/>
                <w:highlight w:val="none"/>
              </w:rPr>
            </w:pPr>
            <w:r>
              <w:rPr>
                <w:rFonts w:hint="eastAsia" w:ascii="仿宋" w:hAnsi="仿宋" w:eastAsia="仿宋" w:cs="仿宋"/>
                <w:spacing w:val="-18"/>
                <w:sz w:val="21"/>
                <w:szCs w:val="21"/>
                <w:highlight w:val="none"/>
              </w:rPr>
              <w:t>商</w:t>
            </w:r>
            <w:r>
              <w:rPr>
                <w:rFonts w:hint="eastAsia" w:ascii="仿宋" w:hAnsi="仿宋" w:eastAsia="仿宋" w:cs="仿宋"/>
                <w:spacing w:val="-16"/>
                <w:sz w:val="21"/>
                <w:szCs w:val="21"/>
                <w:highlight w:val="none"/>
              </w:rPr>
              <w:t>务</w:t>
            </w:r>
            <w:r>
              <w:rPr>
                <w:rFonts w:hint="eastAsia" w:ascii="仿宋" w:hAnsi="仿宋" w:eastAsia="仿宋" w:cs="仿宋"/>
                <w:spacing w:val="-16"/>
                <w:sz w:val="21"/>
                <w:szCs w:val="21"/>
                <w:highlight w:val="none"/>
                <w:lang w:val="en-US" w:eastAsia="zh-CN"/>
              </w:rPr>
              <w:t>评分</w:t>
            </w:r>
            <w:r>
              <w:rPr>
                <w:rFonts w:hint="eastAsia" w:ascii="仿宋" w:hAnsi="仿宋" w:eastAsia="仿宋" w:cs="仿宋"/>
                <w:spacing w:val="-16"/>
                <w:sz w:val="21"/>
                <w:szCs w:val="21"/>
                <w:highlight w:val="none"/>
              </w:rPr>
              <w:t>： 20分</w:t>
            </w:r>
          </w:p>
          <w:p>
            <w:pPr>
              <w:spacing w:before="108" w:line="360" w:lineRule="auto"/>
              <w:ind w:left="114" w:right="236" w:firstLine="5"/>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评委集体评</w:t>
            </w:r>
            <w:r>
              <w:rPr>
                <w:rFonts w:hint="eastAsia" w:ascii="仿宋" w:hAnsi="仿宋" w:eastAsia="仿宋" w:cs="仿宋"/>
                <w:spacing w:val="-6"/>
                <w:sz w:val="21"/>
                <w:szCs w:val="21"/>
                <w:highlight w:val="none"/>
              </w:rPr>
              <w:t>议</w:t>
            </w:r>
            <w:r>
              <w:rPr>
                <w:rFonts w:hint="eastAsia" w:ascii="仿宋" w:hAnsi="仿宋" w:eastAsia="仿宋" w:cs="仿宋"/>
                <w:spacing w:val="-4"/>
                <w:sz w:val="21"/>
                <w:szCs w:val="21"/>
                <w:highlight w:val="none"/>
              </w:rPr>
              <w:t>分别打分后的算术平均值， 即为该单位最终得分。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993" w:type="dxa"/>
            <w:gridSpan w:val="2"/>
            <w:vAlign w:val="top"/>
          </w:tcPr>
          <w:p>
            <w:pPr>
              <w:spacing w:before="137" w:line="360" w:lineRule="auto"/>
              <w:ind w:left="795"/>
              <w:rPr>
                <w:rFonts w:hint="eastAsia" w:ascii="仿宋" w:hAnsi="仿宋" w:eastAsia="仿宋" w:cs="仿宋"/>
                <w:sz w:val="21"/>
                <w:szCs w:val="21"/>
                <w:highlight w:val="none"/>
              </w:rPr>
            </w:pPr>
            <w:r>
              <w:rPr>
                <w:rFonts w:hint="eastAsia" w:ascii="仿宋" w:hAnsi="仿宋" w:eastAsia="仿宋" w:cs="仿宋"/>
                <w:spacing w:val="-2"/>
                <w:sz w:val="21"/>
                <w:szCs w:val="21"/>
                <w:highlight w:val="none"/>
                <w14:textOutline w14:w="3831" w14:cap="flat" w14:cmpd="sng">
                  <w14:solidFill>
                    <w14:srgbClr w14:val="000000"/>
                  </w14:solidFill>
                  <w14:prstDash w14:val="solid"/>
                  <w14:miter w14:val="0"/>
                </w14:textOutline>
              </w:rPr>
              <w:t>条款</w:t>
            </w:r>
            <w:r>
              <w:rPr>
                <w:rFonts w:hint="eastAsia" w:ascii="仿宋" w:hAnsi="仿宋" w:eastAsia="仿宋" w:cs="仿宋"/>
                <w:spacing w:val="-1"/>
                <w:sz w:val="21"/>
                <w:szCs w:val="21"/>
                <w:highlight w:val="none"/>
                <w14:textOutline w14:w="3831" w14:cap="flat" w14:cmpd="sng">
                  <w14:solidFill>
                    <w14:srgbClr w14:val="000000"/>
                  </w14:solidFill>
                  <w14:prstDash w14:val="solid"/>
                  <w14:miter w14:val="0"/>
                </w14:textOutline>
              </w:rPr>
              <w:t>号</w:t>
            </w:r>
          </w:p>
        </w:tc>
        <w:tc>
          <w:tcPr>
            <w:tcW w:w="1753" w:type="dxa"/>
            <w:vAlign w:val="top"/>
          </w:tcPr>
          <w:p>
            <w:pPr>
              <w:spacing w:before="137" w:line="360" w:lineRule="auto"/>
              <w:ind w:left="361"/>
              <w:rPr>
                <w:rFonts w:hint="eastAsia" w:ascii="仿宋" w:hAnsi="仿宋" w:eastAsia="仿宋" w:cs="仿宋"/>
                <w:sz w:val="21"/>
                <w:szCs w:val="21"/>
                <w:highlight w:val="none"/>
              </w:rPr>
            </w:pPr>
            <w:r>
              <w:rPr>
                <w:rFonts w:hint="eastAsia" w:ascii="仿宋" w:hAnsi="仿宋" w:eastAsia="仿宋" w:cs="仿宋"/>
                <w:spacing w:val="-1"/>
                <w:sz w:val="21"/>
                <w:szCs w:val="21"/>
                <w:highlight w:val="none"/>
                <w14:textOutline w14:w="3831" w14:cap="flat" w14:cmpd="sng">
                  <w14:solidFill>
                    <w14:srgbClr w14:val="000000"/>
                  </w14:solidFill>
                  <w14:prstDash w14:val="solid"/>
                  <w14:miter w14:val="0"/>
                </w14:textOutline>
              </w:rPr>
              <w:t>评分</w:t>
            </w:r>
            <w:r>
              <w:rPr>
                <w:rFonts w:hint="eastAsia" w:ascii="仿宋" w:hAnsi="仿宋" w:eastAsia="仿宋" w:cs="仿宋"/>
                <w:sz w:val="21"/>
                <w:szCs w:val="21"/>
                <w:highlight w:val="none"/>
                <w14:textOutline w14:w="3831" w14:cap="flat" w14:cmpd="sng">
                  <w14:solidFill>
                    <w14:srgbClr w14:val="000000"/>
                  </w14:solidFill>
                  <w14:prstDash w14:val="solid"/>
                  <w14:miter w14:val="0"/>
                </w14:textOutline>
              </w:rPr>
              <w:t>因素</w:t>
            </w:r>
          </w:p>
        </w:tc>
        <w:tc>
          <w:tcPr>
            <w:tcW w:w="5253" w:type="dxa"/>
            <w:vAlign w:val="top"/>
          </w:tcPr>
          <w:p>
            <w:pPr>
              <w:spacing w:before="138" w:line="360" w:lineRule="auto"/>
              <w:ind w:left="2896"/>
              <w:rPr>
                <w:rFonts w:hint="eastAsia" w:ascii="仿宋" w:hAnsi="仿宋" w:eastAsia="仿宋" w:cs="仿宋"/>
                <w:sz w:val="21"/>
                <w:szCs w:val="21"/>
                <w:highlight w:val="none"/>
              </w:rPr>
            </w:pPr>
            <w:r>
              <w:rPr>
                <w:rFonts w:hint="eastAsia" w:ascii="仿宋" w:hAnsi="仿宋" w:eastAsia="仿宋" w:cs="仿宋"/>
                <w:spacing w:val="-1"/>
                <w:sz w:val="21"/>
                <w:szCs w:val="21"/>
                <w:highlight w:val="none"/>
                <w14:textOutline w14:w="3831" w14:cap="flat" w14:cmpd="sng">
                  <w14:solidFill>
                    <w14:srgbClr w14:val="000000"/>
                  </w14:solidFill>
                  <w14:prstDash w14:val="solid"/>
                  <w14:miter w14:val="0"/>
                </w14:textOutline>
              </w:rPr>
              <w:t>评分</w:t>
            </w:r>
            <w:r>
              <w:rPr>
                <w:rFonts w:hint="eastAsia" w:ascii="仿宋" w:hAnsi="仿宋" w:eastAsia="仿宋" w:cs="仿宋"/>
                <w:sz w:val="21"/>
                <w:szCs w:val="21"/>
                <w:highlight w:val="none"/>
                <w14:textOutline w14:w="3831"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667" w:type="dxa"/>
            <w:vAlign w:val="top"/>
          </w:tcPr>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before="68" w:line="360" w:lineRule="auto"/>
              <w:ind w:left="118" w:right="13"/>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w:t>
            </w:r>
            <w:r>
              <w:rPr>
                <w:rFonts w:hint="eastAsia" w:ascii="仿宋" w:hAnsi="仿宋" w:eastAsia="仿宋" w:cs="仿宋"/>
                <w:spacing w:val="-2"/>
                <w:sz w:val="21"/>
                <w:szCs w:val="21"/>
                <w:highlight w:val="none"/>
              </w:rPr>
              <w:t>.2.</w:t>
            </w:r>
            <w:r>
              <w:rPr>
                <w:rFonts w:hint="eastAsia" w:ascii="仿宋" w:hAnsi="仿宋" w:eastAsia="仿宋" w:cs="仿宋"/>
                <w:sz w:val="21"/>
                <w:szCs w:val="21"/>
                <w:highlight w:val="none"/>
              </w:rPr>
              <w:t xml:space="preserve"> </w:t>
            </w:r>
            <w:r>
              <w:rPr>
                <w:rFonts w:hint="eastAsia" w:ascii="仿宋" w:hAnsi="仿宋" w:eastAsia="仿宋" w:cs="仿宋"/>
                <w:spacing w:val="-9"/>
                <w:sz w:val="21"/>
                <w:szCs w:val="21"/>
                <w:highlight w:val="none"/>
              </w:rPr>
              <w:t>2</w:t>
            </w:r>
            <w:r>
              <w:rPr>
                <w:rFonts w:hint="eastAsia" w:ascii="仿宋" w:hAnsi="仿宋" w:eastAsia="仿宋" w:cs="仿宋"/>
                <w:spacing w:val="-5"/>
                <w:sz w:val="21"/>
                <w:szCs w:val="21"/>
                <w:highlight w:val="none"/>
              </w:rPr>
              <w:t xml:space="preserve"> (1)</w:t>
            </w:r>
          </w:p>
        </w:tc>
        <w:tc>
          <w:tcPr>
            <w:tcW w:w="1326" w:type="dxa"/>
            <w:vAlign w:val="center"/>
          </w:tcPr>
          <w:p>
            <w:pPr>
              <w:spacing w:before="69" w:line="360" w:lineRule="auto"/>
              <w:ind w:left="117"/>
              <w:jc w:val="center"/>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投标报价</w:t>
            </w:r>
          </w:p>
          <w:p>
            <w:pPr>
              <w:spacing w:before="69" w:line="360" w:lineRule="auto"/>
              <w:ind w:left="117"/>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lang w:val="en-US" w:eastAsia="zh-CN"/>
              </w:rPr>
              <w:t>10</w:t>
            </w:r>
            <w:r>
              <w:rPr>
                <w:rFonts w:hint="eastAsia" w:ascii="仿宋" w:hAnsi="仿宋" w:eastAsia="仿宋" w:cs="仿宋"/>
                <w:spacing w:val="-1"/>
                <w:sz w:val="21"/>
                <w:szCs w:val="21"/>
                <w:highlight w:val="none"/>
              </w:rPr>
              <w:t>分</w:t>
            </w:r>
          </w:p>
        </w:tc>
        <w:tc>
          <w:tcPr>
            <w:tcW w:w="1753" w:type="dxa"/>
            <w:vAlign w:val="top"/>
          </w:tcPr>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line="360" w:lineRule="auto"/>
              <w:rPr>
                <w:rFonts w:hint="eastAsia" w:ascii="仿宋" w:hAnsi="仿宋" w:eastAsia="仿宋" w:cs="仿宋"/>
                <w:sz w:val="21"/>
                <w:highlight w:val="none"/>
              </w:rPr>
            </w:pPr>
          </w:p>
          <w:p>
            <w:pPr>
              <w:spacing w:before="69" w:line="360" w:lineRule="auto"/>
              <w:ind w:left="117"/>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投标报价</w:t>
            </w:r>
            <w:r>
              <w:rPr>
                <w:rFonts w:hint="eastAsia" w:ascii="仿宋" w:hAnsi="仿宋" w:eastAsia="仿宋" w:cs="仿宋"/>
                <w:spacing w:val="-1"/>
                <w:sz w:val="21"/>
                <w:szCs w:val="21"/>
                <w:highlight w:val="none"/>
                <w:lang w:val="en-US" w:eastAsia="zh-CN"/>
              </w:rPr>
              <w:t>10</w:t>
            </w:r>
            <w:r>
              <w:rPr>
                <w:rFonts w:hint="eastAsia" w:ascii="仿宋" w:hAnsi="仿宋" w:eastAsia="仿宋" w:cs="仿宋"/>
                <w:spacing w:val="-1"/>
                <w:sz w:val="21"/>
                <w:szCs w:val="21"/>
                <w:highlight w:val="none"/>
              </w:rPr>
              <w:t>分</w:t>
            </w:r>
          </w:p>
        </w:tc>
        <w:tc>
          <w:tcPr>
            <w:tcW w:w="5253" w:type="dxa"/>
            <w:vAlign w:val="top"/>
          </w:tcPr>
          <w:p>
            <w:pPr>
              <w:pageBreakBefore w:val="0"/>
              <w:wordWrap/>
              <w:topLinePunct w:val="0"/>
              <w:bidi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投标报价低于控制价且通过初步评审的投标人为有效投标人。</w:t>
            </w:r>
          </w:p>
          <w:p>
            <w:pPr>
              <w:pageBreakBefore w:val="0"/>
              <w:wordWrap/>
              <w:topLinePunct w:val="0"/>
              <w:bidi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价格分统一采用低价优先法计算，即满足竞争性磋商文件要求且二次磋商报价最低的投标报价为评标基准价：</w:t>
            </w:r>
          </w:p>
          <w:p>
            <w:pPr>
              <w:pageBreakBefore w:val="0"/>
              <w:wordWrap/>
              <w:topLinePunct w:val="0"/>
              <w:bidi w:val="0"/>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 (评标基准价/</w:t>
            </w:r>
            <w:r>
              <w:rPr>
                <w:rFonts w:hint="eastAsia" w:ascii="仿宋" w:hAnsi="仿宋" w:eastAsia="仿宋" w:cs="仿宋"/>
                <w:color w:val="auto"/>
                <w:sz w:val="21"/>
                <w:szCs w:val="21"/>
                <w:highlight w:val="none"/>
                <w:lang w:val="en-US" w:eastAsia="zh-CN"/>
              </w:rPr>
              <w:t>评审</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w:t>
            </w:r>
          </w:p>
          <w:p>
            <w:pPr>
              <w:pageBreakBefore w:val="0"/>
              <w:wordWrap/>
              <w:topLinePunct w:val="0"/>
              <w:bidi w:val="0"/>
              <w:spacing w:line="360" w:lineRule="auto"/>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注：对小型、微型、监狱企业、残疾人福利性单位投标报价给予20%的扣除，用扣除后的价格参与评审。</w:t>
            </w:r>
          </w:p>
          <w:p>
            <w:pPr>
              <w:pageBreakBefore w:val="0"/>
              <w:wordWrap/>
              <w:topLinePunct w:val="0"/>
              <w:bidi w:val="0"/>
              <w:spacing w:line="360" w:lineRule="auto"/>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参加投标的小微企业，应当按照《政府采购促进中小企业发展管理办法》（财库〔2020〕46 号）的规定提供《中小企业声明函》，中小企业划型标准详见《关于印发中小企业划型标准规定的通知》工信部联企业〔2011〕300 号。没有提供声明函的投标人将被视为不接受评标报价的扣除，用原投标报价参与评审。</w:t>
            </w:r>
          </w:p>
          <w:p>
            <w:pPr>
              <w:pageBreakBefore w:val="0"/>
              <w:wordWrap/>
              <w:topLinePunct w:val="0"/>
              <w:bidi w:val="0"/>
              <w:spacing w:line="360" w:lineRule="auto"/>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监狱企业参加政府采购活动时，应当提供由省级以上监狱管理局、戒毒管理局（含新疆生产建设兵团）出具的属于监狱企业的证明文件。没有提供证明材料的投标人将被视为不接受评标报价的扣除，用原投标报价参与评审。</w:t>
            </w:r>
          </w:p>
          <w:p>
            <w:pPr>
              <w:pageBreakBefore w:val="0"/>
              <w:wordWrap/>
              <w:topLinePunct w:val="0"/>
              <w:bidi w:val="0"/>
              <w:spacing w:line="360" w:lineRule="auto"/>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根据财库〔2017〕141号《三部门联合发布关于促进残疾人就业政府采购政策的通知》残疾人福利性单位视同小型、微型企业，残疾人福利性单位在参加政府采购活动时提供《残疾人福利性单位声明函》，不再提供《中小微企业声明函》，投标人在《残疾人福利性单位声明函》中的承诺如有虚假，其中标资格将被取消，并根据相关规定进行处罚。</w:t>
            </w:r>
          </w:p>
          <w:p>
            <w:pPr>
              <w:spacing w:before="108" w:line="360" w:lineRule="auto"/>
              <w:ind w:left="116" w:right="102" w:firstLine="5"/>
              <w:rPr>
                <w:rFonts w:hint="eastAsia" w:ascii="仿宋" w:hAnsi="仿宋" w:eastAsia="仿宋" w:cs="仿宋"/>
                <w:sz w:val="21"/>
                <w:szCs w:val="21"/>
                <w:highlight w:val="none"/>
              </w:rPr>
            </w:pPr>
            <w:r>
              <w:rPr>
                <w:rFonts w:hint="eastAsia" w:ascii="仿宋" w:hAnsi="仿宋" w:eastAsia="仿宋" w:cs="仿宋"/>
                <w:b/>
                <w:bCs/>
                <w:color w:val="auto"/>
                <w:sz w:val="21"/>
                <w:szCs w:val="21"/>
                <w:highlight w:val="none"/>
              </w:rPr>
              <w:t>同一供应商 ，小微企业、监狱、残疾人福利性企业价格扣除优惠只享受一次，不得重复享受。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667" w:type="dxa"/>
            <w:vMerge w:val="restart"/>
            <w:vAlign w:val="center"/>
          </w:tcPr>
          <w:p>
            <w:pPr>
              <w:spacing w:before="69" w:line="360" w:lineRule="auto"/>
              <w:ind w:left="118" w:right="13" w:firstLine="48"/>
              <w:jc w:val="center"/>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2</w:t>
            </w:r>
            <w:r>
              <w:rPr>
                <w:rFonts w:hint="eastAsia" w:ascii="仿宋" w:hAnsi="仿宋" w:eastAsia="仿宋" w:cs="仿宋"/>
                <w:spacing w:val="-2"/>
                <w:sz w:val="21"/>
                <w:szCs w:val="21"/>
                <w:highlight w:val="none"/>
              </w:rPr>
              <w:t>.2.</w:t>
            </w:r>
            <w:r>
              <w:rPr>
                <w:rFonts w:hint="eastAsia" w:ascii="仿宋" w:hAnsi="仿宋" w:eastAsia="仿宋" w:cs="仿宋"/>
                <w:sz w:val="21"/>
                <w:szCs w:val="21"/>
                <w:highlight w:val="none"/>
              </w:rPr>
              <w:t xml:space="preserve"> </w:t>
            </w:r>
            <w:r>
              <w:rPr>
                <w:rFonts w:hint="eastAsia" w:ascii="仿宋" w:hAnsi="仿宋" w:eastAsia="仿宋" w:cs="仿宋"/>
                <w:spacing w:val="-9"/>
                <w:sz w:val="21"/>
                <w:szCs w:val="21"/>
                <w:highlight w:val="none"/>
              </w:rPr>
              <w:t>2</w:t>
            </w:r>
            <w:r>
              <w:rPr>
                <w:rFonts w:hint="eastAsia" w:ascii="仿宋" w:hAnsi="仿宋" w:eastAsia="仿宋" w:cs="仿宋"/>
                <w:spacing w:val="-5"/>
                <w:sz w:val="21"/>
                <w:szCs w:val="21"/>
                <w:highlight w:val="none"/>
              </w:rPr>
              <w:t xml:space="preserve"> (2)</w:t>
            </w:r>
          </w:p>
        </w:tc>
        <w:tc>
          <w:tcPr>
            <w:tcW w:w="1326" w:type="dxa"/>
            <w:vMerge w:val="restart"/>
            <w:vAlign w:val="center"/>
          </w:tcPr>
          <w:p>
            <w:pPr>
              <w:spacing w:before="68" w:line="360" w:lineRule="auto"/>
              <w:ind w:left="213" w:right="204"/>
              <w:jc w:val="center"/>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技</w:t>
            </w:r>
            <w:r>
              <w:rPr>
                <w:rFonts w:hint="eastAsia" w:ascii="仿宋" w:hAnsi="仿宋" w:eastAsia="仿宋" w:cs="仿宋"/>
                <w:spacing w:val="-1"/>
                <w:sz w:val="21"/>
                <w:szCs w:val="21"/>
                <w:highlight w:val="none"/>
              </w:rPr>
              <w:t>术评分标</w:t>
            </w:r>
            <w:r>
              <w:rPr>
                <w:rFonts w:hint="eastAsia" w:ascii="仿宋" w:hAnsi="仿宋" w:eastAsia="仿宋" w:cs="仿宋"/>
                <w:sz w:val="21"/>
                <w:szCs w:val="21"/>
                <w:highlight w:val="none"/>
              </w:rPr>
              <w:t xml:space="preserve"> </w:t>
            </w:r>
            <w:r>
              <w:rPr>
                <w:rFonts w:hint="eastAsia" w:ascii="仿宋" w:hAnsi="仿宋" w:eastAsia="仿宋" w:cs="仿宋"/>
                <w:spacing w:val="15"/>
                <w:sz w:val="21"/>
                <w:szCs w:val="21"/>
                <w:highlight w:val="none"/>
              </w:rPr>
              <w:t>准(</w:t>
            </w:r>
            <w:r>
              <w:rPr>
                <w:rFonts w:hint="eastAsia" w:ascii="仿宋" w:hAnsi="仿宋" w:eastAsia="仿宋" w:cs="仿宋"/>
                <w:spacing w:val="15"/>
                <w:sz w:val="21"/>
                <w:szCs w:val="21"/>
                <w:highlight w:val="none"/>
                <w:lang w:val="en-US" w:eastAsia="zh-CN"/>
              </w:rPr>
              <w:t>70</w:t>
            </w:r>
            <w:r>
              <w:rPr>
                <w:rFonts w:hint="eastAsia" w:ascii="仿宋" w:hAnsi="仿宋" w:eastAsia="仿宋" w:cs="仿宋"/>
                <w:spacing w:val="15"/>
                <w:sz w:val="21"/>
                <w:szCs w:val="21"/>
                <w:highlight w:val="none"/>
              </w:rPr>
              <w:t>分</w:t>
            </w:r>
            <w:r>
              <w:rPr>
                <w:rFonts w:hint="eastAsia" w:ascii="仿宋" w:hAnsi="仿宋" w:eastAsia="仿宋" w:cs="仿宋"/>
                <w:spacing w:val="13"/>
                <w:sz w:val="21"/>
                <w:szCs w:val="21"/>
                <w:highlight w:val="none"/>
              </w:rPr>
              <w:t>)</w:t>
            </w:r>
          </w:p>
        </w:tc>
        <w:tc>
          <w:tcPr>
            <w:tcW w:w="1753" w:type="dxa"/>
            <w:vAlign w:val="center"/>
          </w:tcPr>
          <w:p>
            <w:pPr>
              <w:spacing w:before="68" w:line="360" w:lineRule="auto"/>
              <w:ind w:right="100"/>
              <w:jc w:val="center"/>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1、</w:t>
            </w:r>
            <w:r>
              <w:rPr>
                <w:rFonts w:hint="eastAsia" w:ascii="仿宋" w:hAnsi="仿宋" w:eastAsia="仿宋" w:cs="仿宋"/>
                <w:spacing w:val="-6"/>
                <w:sz w:val="21"/>
                <w:szCs w:val="21"/>
                <w:highlight w:val="none"/>
                <w:lang w:val="en-US" w:eastAsia="zh-CN"/>
              </w:rPr>
              <w:t>测绘</w:t>
            </w:r>
            <w:r>
              <w:rPr>
                <w:rFonts w:hint="eastAsia" w:ascii="仿宋" w:hAnsi="仿宋" w:eastAsia="仿宋" w:cs="仿宋"/>
                <w:spacing w:val="-6"/>
                <w:sz w:val="21"/>
                <w:szCs w:val="21"/>
                <w:highlight w:val="none"/>
              </w:rPr>
              <w:t>服务方案（</w:t>
            </w:r>
            <w:r>
              <w:rPr>
                <w:rFonts w:hint="eastAsia" w:ascii="仿宋" w:hAnsi="仿宋" w:eastAsia="仿宋" w:cs="仿宋"/>
                <w:spacing w:val="-6"/>
                <w:sz w:val="21"/>
                <w:szCs w:val="21"/>
                <w:highlight w:val="none"/>
                <w:lang w:val="en-US" w:eastAsia="zh-CN"/>
              </w:rPr>
              <w:t>20</w:t>
            </w:r>
            <w:r>
              <w:rPr>
                <w:rFonts w:hint="eastAsia" w:ascii="仿宋" w:hAnsi="仿宋" w:eastAsia="仿宋" w:cs="仿宋"/>
                <w:spacing w:val="-6"/>
                <w:sz w:val="21"/>
                <w:szCs w:val="21"/>
                <w:highlight w:val="none"/>
              </w:rPr>
              <w:t>分）</w:t>
            </w:r>
          </w:p>
        </w:tc>
        <w:tc>
          <w:tcPr>
            <w:tcW w:w="5253" w:type="dxa"/>
            <w:vAlign w:val="top"/>
          </w:tcPr>
          <w:p>
            <w:pPr>
              <w:spacing w:before="113" w:line="360" w:lineRule="auto"/>
              <w:ind w:left="117" w:right="28" w:firstLine="13"/>
              <w:rPr>
                <w:rFonts w:hint="eastAsia" w:ascii="仿宋" w:hAnsi="仿宋" w:eastAsia="仿宋" w:cs="仿宋"/>
                <w:sz w:val="21"/>
                <w:szCs w:val="21"/>
                <w:highlight w:val="none"/>
              </w:rPr>
            </w:pPr>
            <w:r>
              <w:rPr>
                <w:rFonts w:hint="eastAsia" w:ascii="仿宋" w:hAnsi="仿宋" w:eastAsia="仿宋" w:cs="仿宋"/>
                <w:sz w:val="21"/>
                <w:szCs w:val="21"/>
                <w:highlight w:val="none"/>
              </w:rPr>
              <w:t>对</w:t>
            </w:r>
            <w:r>
              <w:rPr>
                <w:rFonts w:hint="eastAsia" w:ascii="仿宋" w:hAnsi="仿宋" w:eastAsia="仿宋" w:cs="仿宋"/>
                <w:sz w:val="21"/>
                <w:szCs w:val="21"/>
                <w:highlight w:val="none"/>
                <w:lang w:val="en-US" w:eastAsia="zh-CN"/>
              </w:rPr>
              <w:t>测绘</w:t>
            </w:r>
            <w:r>
              <w:rPr>
                <w:rFonts w:hint="eastAsia" w:ascii="仿宋" w:hAnsi="仿宋" w:eastAsia="仿宋" w:cs="仿宋"/>
                <w:sz w:val="21"/>
                <w:szCs w:val="21"/>
                <w:highlight w:val="none"/>
              </w:rPr>
              <w:t>服务方案的完整性、</w:t>
            </w:r>
            <w:r>
              <w:rPr>
                <w:rFonts w:hint="eastAsia" w:ascii="仿宋" w:hAnsi="仿宋" w:eastAsia="仿宋" w:cs="仿宋"/>
                <w:sz w:val="21"/>
                <w:szCs w:val="21"/>
                <w:highlight w:val="none"/>
                <w:lang w:val="en-US" w:eastAsia="zh-CN"/>
              </w:rPr>
              <w:t>服务</w:t>
            </w:r>
            <w:r>
              <w:rPr>
                <w:rFonts w:hint="eastAsia" w:ascii="仿宋" w:hAnsi="仿宋" w:eastAsia="仿宋" w:cs="仿宋"/>
                <w:sz w:val="21"/>
                <w:szCs w:val="21"/>
                <w:highlight w:val="none"/>
              </w:rPr>
              <w:t>及时性</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合理性等进行综合比较并打分。优得</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分，一般得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分，相对较差得</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没有不得分</w:t>
            </w:r>
            <w:r>
              <w:rPr>
                <w:rFonts w:hint="eastAsia" w:ascii="仿宋" w:hAnsi="仿宋" w:eastAsia="仿宋" w:cs="仿宋"/>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667" w:type="dxa"/>
            <w:vMerge w:val="continue"/>
            <w:vAlign w:val="center"/>
          </w:tcPr>
          <w:p>
            <w:pPr>
              <w:spacing w:line="360" w:lineRule="auto"/>
              <w:jc w:val="center"/>
              <w:rPr>
                <w:rFonts w:hint="eastAsia" w:ascii="仿宋" w:hAnsi="仿宋" w:eastAsia="仿宋" w:cs="仿宋"/>
                <w:sz w:val="21"/>
                <w:highlight w:val="none"/>
              </w:rPr>
            </w:pPr>
          </w:p>
        </w:tc>
        <w:tc>
          <w:tcPr>
            <w:tcW w:w="1326" w:type="dxa"/>
            <w:vMerge w:val="continue"/>
            <w:vAlign w:val="center"/>
          </w:tcPr>
          <w:p>
            <w:pPr>
              <w:spacing w:line="360" w:lineRule="auto"/>
              <w:jc w:val="center"/>
              <w:rPr>
                <w:rFonts w:hint="eastAsia" w:ascii="仿宋" w:hAnsi="仿宋" w:eastAsia="仿宋" w:cs="仿宋"/>
                <w:sz w:val="21"/>
                <w:highlight w:val="none"/>
              </w:rPr>
            </w:pPr>
          </w:p>
        </w:tc>
        <w:tc>
          <w:tcPr>
            <w:tcW w:w="1753" w:type="dxa"/>
            <w:vAlign w:val="center"/>
          </w:tcPr>
          <w:p>
            <w:pPr>
              <w:spacing w:before="68" w:line="360" w:lineRule="auto"/>
              <w:ind w:right="101"/>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2、服务工作进度计划措施及工作流程（10分）</w:t>
            </w:r>
          </w:p>
        </w:tc>
        <w:tc>
          <w:tcPr>
            <w:tcW w:w="5253" w:type="dxa"/>
            <w:vAlign w:val="top"/>
          </w:tcPr>
          <w:p>
            <w:pPr>
              <w:spacing w:before="108" w:line="360" w:lineRule="auto"/>
              <w:ind w:left="116"/>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根据提供的服务工作进度计划措施及工作流程规范合理、明晰有序并满足实施要求的得10分；服务工作进度计划措施及工作流程一般，满足实施要求的得6分；基本满足实施要求的得3分，没有不得分。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667" w:type="dxa"/>
            <w:vMerge w:val="continue"/>
            <w:vAlign w:val="center"/>
          </w:tcPr>
          <w:p>
            <w:pPr>
              <w:spacing w:line="360" w:lineRule="auto"/>
              <w:jc w:val="center"/>
              <w:rPr>
                <w:rFonts w:hint="eastAsia" w:ascii="仿宋" w:hAnsi="仿宋" w:eastAsia="仿宋" w:cs="仿宋"/>
                <w:sz w:val="21"/>
                <w:highlight w:val="none"/>
              </w:rPr>
            </w:pPr>
          </w:p>
        </w:tc>
        <w:tc>
          <w:tcPr>
            <w:tcW w:w="1326" w:type="dxa"/>
            <w:vMerge w:val="continue"/>
            <w:vAlign w:val="center"/>
          </w:tcPr>
          <w:p>
            <w:pPr>
              <w:spacing w:line="360" w:lineRule="auto"/>
              <w:jc w:val="center"/>
              <w:rPr>
                <w:rFonts w:hint="eastAsia" w:ascii="仿宋" w:hAnsi="仿宋" w:eastAsia="仿宋" w:cs="仿宋"/>
                <w:sz w:val="21"/>
                <w:highlight w:val="none"/>
              </w:rPr>
            </w:pPr>
          </w:p>
        </w:tc>
        <w:tc>
          <w:tcPr>
            <w:tcW w:w="1753" w:type="dxa"/>
            <w:vAlign w:val="center"/>
          </w:tcPr>
          <w:p>
            <w:pPr>
              <w:spacing w:before="68" w:line="360" w:lineRule="auto"/>
              <w:ind w:right="101" w:rightChars="0"/>
              <w:jc w:val="center"/>
              <w:rPr>
                <w:rFonts w:hint="eastAsia" w:ascii="仿宋" w:hAnsi="仿宋" w:eastAsia="仿宋" w:cs="仿宋"/>
                <w:color w:val="000000"/>
                <w:sz w:val="21"/>
                <w:szCs w:val="21"/>
                <w:highlight w:val="none"/>
                <w:lang w:val="en-US" w:eastAsia="zh-CN" w:bidi="ar-SA"/>
              </w:rPr>
            </w:pPr>
            <w:r>
              <w:rPr>
                <w:rFonts w:hint="eastAsia" w:ascii="仿宋" w:hAnsi="仿宋" w:eastAsia="仿宋" w:cs="仿宋"/>
                <w:spacing w:val="-5"/>
                <w:sz w:val="21"/>
                <w:szCs w:val="21"/>
                <w:highlight w:val="none"/>
                <w:lang w:val="en-US" w:eastAsia="zh-CN"/>
              </w:rPr>
              <w:t>3</w:t>
            </w:r>
            <w:r>
              <w:rPr>
                <w:rFonts w:hint="eastAsia" w:ascii="仿宋" w:hAnsi="仿宋" w:eastAsia="仿宋" w:cs="仿宋"/>
                <w:spacing w:val="-5"/>
                <w:sz w:val="21"/>
                <w:szCs w:val="21"/>
                <w:highlight w:val="none"/>
              </w:rPr>
              <w:t>、人员配备计划（</w:t>
            </w:r>
            <w:r>
              <w:rPr>
                <w:rFonts w:hint="eastAsia" w:ascii="仿宋" w:hAnsi="仿宋" w:eastAsia="仿宋" w:cs="仿宋"/>
                <w:spacing w:val="-5"/>
                <w:sz w:val="21"/>
                <w:szCs w:val="21"/>
                <w:highlight w:val="none"/>
                <w:lang w:val="en-US" w:eastAsia="zh-CN"/>
              </w:rPr>
              <w:t>10</w:t>
            </w:r>
            <w:r>
              <w:rPr>
                <w:rFonts w:hint="eastAsia" w:ascii="仿宋" w:hAnsi="仿宋" w:eastAsia="仿宋" w:cs="仿宋"/>
                <w:spacing w:val="-5"/>
                <w:sz w:val="21"/>
                <w:szCs w:val="21"/>
                <w:highlight w:val="none"/>
              </w:rPr>
              <w:t>分）</w:t>
            </w:r>
          </w:p>
        </w:tc>
        <w:tc>
          <w:tcPr>
            <w:tcW w:w="5253" w:type="dxa"/>
            <w:vAlign w:val="top"/>
          </w:tcPr>
          <w:p>
            <w:pPr>
              <w:spacing w:before="108" w:line="360" w:lineRule="auto"/>
              <w:ind w:left="116" w:leftChars="0"/>
              <w:rPr>
                <w:rFonts w:hint="eastAsia" w:ascii="仿宋" w:hAnsi="仿宋" w:eastAsia="仿宋" w:cs="仿宋"/>
                <w:color w:val="000000"/>
                <w:sz w:val="21"/>
                <w:szCs w:val="21"/>
                <w:highlight w:val="none"/>
                <w:lang w:val="en-US" w:eastAsia="zh-CN" w:bidi="ar-SA"/>
              </w:rPr>
            </w:pPr>
            <w:r>
              <w:rPr>
                <w:rFonts w:hint="eastAsia" w:ascii="仿宋" w:hAnsi="仿宋" w:eastAsia="仿宋" w:cs="仿宋"/>
                <w:sz w:val="21"/>
                <w:szCs w:val="21"/>
                <w:highlight w:val="none"/>
              </w:rPr>
              <w:t>人员配备计划科学完善、具有丰富的同类项目工作经验、完全满足项目实施要求得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分；人员配备计划一般，满足项目实施要求得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分；人员配备计划基本满足项目实施要求得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没有不得分</w:t>
            </w:r>
            <w:r>
              <w:rPr>
                <w:rFonts w:hint="eastAsia" w:ascii="仿宋" w:hAnsi="仿宋" w:eastAsia="仿宋" w:cs="仿宋"/>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667" w:type="dxa"/>
            <w:vMerge w:val="continue"/>
            <w:vAlign w:val="center"/>
          </w:tcPr>
          <w:p>
            <w:pPr>
              <w:spacing w:line="360" w:lineRule="auto"/>
              <w:jc w:val="center"/>
              <w:rPr>
                <w:rFonts w:hint="eastAsia" w:ascii="仿宋" w:hAnsi="仿宋" w:eastAsia="仿宋" w:cs="仿宋"/>
                <w:sz w:val="21"/>
                <w:highlight w:val="none"/>
              </w:rPr>
            </w:pPr>
          </w:p>
        </w:tc>
        <w:tc>
          <w:tcPr>
            <w:tcW w:w="1326" w:type="dxa"/>
            <w:vMerge w:val="continue"/>
            <w:vAlign w:val="center"/>
          </w:tcPr>
          <w:p>
            <w:pPr>
              <w:spacing w:line="360" w:lineRule="auto"/>
              <w:jc w:val="center"/>
              <w:rPr>
                <w:rFonts w:hint="eastAsia" w:ascii="仿宋" w:hAnsi="仿宋" w:eastAsia="仿宋" w:cs="仿宋"/>
                <w:sz w:val="21"/>
                <w:highlight w:val="none"/>
              </w:rPr>
            </w:pPr>
          </w:p>
        </w:tc>
        <w:tc>
          <w:tcPr>
            <w:tcW w:w="1753" w:type="dxa"/>
            <w:vAlign w:val="center"/>
          </w:tcPr>
          <w:p>
            <w:pPr>
              <w:spacing w:before="68" w:line="360" w:lineRule="auto"/>
              <w:ind w:right="101"/>
              <w:jc w:val="center"/>
              <w:rPr>
                <w:rFonts w:hint="eastAsia" w:ascii="仿宋" w:hAnsi="仿宋" w:eastAsia="仿宋" w:cs="仿宋"/>
                <w:sz w:val="21"/>
                <w:szCs w:val="21"/>
                <w:highlight w:val="none"/>
              </w:rPr>
            </w:pPr>
            <w:r>
              <w:rPr>
                <w:rFonts w:hint="eastAsia" w:ascii="仿宋" w:hAnsi="仿宋" w:eastAsia="仿宋" w:cs="仿宋"/>
                <w:spacing w:val="-6"/>
                <w:sz w:val="21"/>
                <w:szCs w:val="21"/>
                <w:highlight w:val="none"/>
                <w:lang w:val="en-US" w:eastAsia="zh-CN"/>
              </w:rPr>
              <w:t>4</w:t>
            </w:r>
            <w:r>
              <w:rPr>
                <w:rFonts w:hint="eastAsia" w:ascii="仿宋" w:hAnsi="仿宋" w:eastAsia="仿宋" w:cs="仿宋"/>
                <w:spacing w:val="-5"/>
                <w:sz w:val="21"/>
                <w:szCs w:val="21"/>
                <w:highlight w:val="none"/>
              </w:rPr>
              <w:t>、服务质量保障措施（</w:t>
            </w:r>
            <w:r>
              <w:rPr>
                <w:rFonts w:hint="eastAsia" w:ascii="仿宋" w:hAnsi="仿宋" w:eastAsia="仿宋" w:cs="仿宋"/>
                <w:spacing w:val="-5"/>
                <w:sz w:val="21"/>
                <w:szCs w:val="21"/>
                <w:highlight w:val="none"/>
                <w:lang w:val="en-US" w:eastAsia="zh-CN"/>
              </w:rPr>
              <w:t>10</w:t>
            </w:r>
            <w:r>
              <w:rPr>
                <w:rFonts w:hint="eastAsia" w:ascii="仿宋" w:hAnsi="仿宋" w:eastAsia="仿宋" w:cs="仿宋"/>
                <w:spacing w:val="-5"/>
                <w:sz w:val="21"/>
                <w:szCs w:val="21"/>
                <w:highlight w:val="none"/>
              </w:rPr>
              <w:t>分）</w:t>
            </w:r>
          </w:p>
        </w:tc>
        <w:tc>
          <w:tcPr>
            <w:tcW w:w="5253" w:type="dxa"/>
            <w:vAlign w:val="top"/>
          </w:tcPr>
          <w:p>
            <w:pPr>
              <w:spacing w:line="360" w:lineRule="auto"/>
              <w:ind w:left="123" w:right="42" w:hanging="7"/>
              <w:rPr>
                <w:rFonts w:hint="eastAsia" w:ascii="仿宋" w:hAnsi="仿宋" w:eastAsia="仿宋" w:cs="仿宋"/>
                <w:sz w:val="21"/>
                <w:szCs w:val="21"/>
                <w:highlight w:val="none"/>
              </w:rPr>
            </w:pPr>
            <w:r>
              <w:rPr>
                <w:rFonts w:hint="eastAsia" w:ascii="仿宋" w:hAnsi="仿宋" w:eastAsia="仿宋" w:cs="仿宋"/>
                <w:sz w:val="21"/>
                <w:szCs w:val="21"/>
                <w:highlight w:val="none"/>
              </w:rPr>
              <w:t>保证措施周全，服务质量保证体系完善得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分；保证措施较周全，服务质量保证体系较完善得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分；保证措施及质量保证体系基本得当，措施一般得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没有不得分</w:t>
            </w:r>
            <w:r>
              <w:rPr>
                <w:rFonts w:hint="eastAsia" w:ascii="仿宋" w:hAnsi="仿宋" w:eastAsia="仿宋" w:cs="仿宋"/>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667" w:type="dxa"/>
            <w:vMerge w:val="continue"/>
            <w:vAlign w:val="center"/>
          </w:tcPr>
          <w:p>
            <w:pPr>
              <w:spacing w:line="360" w:lineRule="auto"/>
              <w:jc w:val="center"/>
              <w:rPr>
                <w:rFonts w:hint="eastAsia" w:ascii="仿宋" w:hAnsi="仿宋" w:eastAsia="仿宋" w:cs="仿宋"/>
                <w:sz w:val="21"/>
                <w:highlight w:val="none"/>
              </w:rPr>
            </w:pPr>
          </w:p>
        </w:tc>
        <w:tc>
          <w:tcPr>
            <w:tcW w:w="1326" w:type="dxa"/>
            <w:vMerge w:val="continue"/>
            <w:vAlign w:val="center"/>
          </w:tcPr>
          <w:p>
            <w:pPr>
              <w:spacing w:line="360" w:lineRule="auto"/>
              <w:jc w:val="center"/>
              <w:rPr>
                <w:rFonts w:hint="eastAsia" w:ascii="仿宋" w:hAnsi="仿宋" w:eastAsia="仿宋" w:cs="仿宋"/>
                <w:sz w:val="21"/>
                <w:highlight w:val="none"/>
              </w:rPr>
            </w:pPr>
          </w:p>
        </w:tc>
        <w:tc>
          <w:tcPr>
            <w:tcW w:w="1753" w:type="dxa"/>
            <w:vAlign w:val="center"/>
          </w:tcPr>
          <w:p>
            <w:pPr>
              <w:spacing w:before="68" w:line="360" w:lineRule="auto"/>
              <w:ind w:right="101"/>
              <w:jc w:val="center"/>
              <w:rPr>
                <w:rFonts w:hint="eastAsia" w:ascii="仿宋" w:hAnsi="仿宋" w:eastAsia="仿宋" w:cs="仿宋"/>
                <w:spacing w:val="-6"/>
                <w:sz w:val="21"/>
                <w:szCs w:val="21"/>
                <w:highlight w:val="none"/>
              </w:rPr>
            </w:pPr>
            <w:r>
              <w:rPr>
                <w:rFonts w:hint="eastAsia" w:ascii="仿宋" w:hAnsi="仿宋" w:eastAsia="仿宋" w:cs="仿宋"/>
                <w:spacing w:val="-6"/>
                <w:sz w:val="21"/>
                <w:szCs w:val="21"/>
                <w:highlight w:val="none"/>
                <w:lang w:val="en-US" w:eastAsia="zh-CN"/>
              </w:rPr>
              <w:t>5、</w:t>
            </w:r>
            <w:r>
              <w:rPr>
                <w:rFonts w:hint="eastAsia" w:ascii="仿宋" w:hAnsi="仿宋" w:eastAsia="仿宋" w:cs="仿宋"/>
                <w:spacing w:val="-6"/>
                <w:sz w:val="21"/>
                <w:szCs w:val="21"/>
                <w:highlight w:val="none"/>
              </w:rPr>
              <w:t>应急处理措施（</w:t>
            </w:r>
            <w:r>
              <w:rPr>
                <w:rFonts w:hint="eastAsia" w:ascii="仿宋" w:hAnsi="仿宋" w:eastAsia="仿宋" w:cs="仿宋"/>
                <w:spacing w:val="-6"/>
                <w:sz w:val="21"/>
                <w:szCs w:val="21"/>
                <w:highlight w:val="none"/>
                <w:lang w:val="en-US" w:eastAsia="zh-CN"/>
              </w:rPr>
              <w:t>10</w:t>
            </w:r>
            <w:r>
              <w:rPr>
                <w:rFonts w:hint="eastAsia" w:ascii="仿宋" w:hAnsi="仿宋" w:eastAsia="仿宋" w:cs="仿宋"/>
                <w:spacing w:val="-6"/>
                <w:sz w:val="21"/>
                <w:szCs w:val="21"/>
                <w:highlight w:val="none"/>
              </w:rPr>
              <w:t>分）</w:t>
            </w:r>
          </w:p>
        </w:tc>
        <w:tc>
          <w:tcPr>
            <w:tcW w:w="5253" w:type="dxa"/>
            <w:vAlign w:val="top"/>
          </w:tcPr>
          <w:p>
            <w:pPr>
              <w:spacing w:line="360" w:lineRule="auto"/>
              <w:ind w:left="123" w:right="42" w:hanging="7"/>
              <w:rPr>
                <w:rFonts w:hint="eastAsia" w:ascii="仿宋" w:hAnsi="仿宋" w:eastAsia="仿宋" w:cs="仿宋"/>
                <w:sz w:val="21"/>
                <w:szCs w:val="21"/>
                <w:highlight w:val="none"/>
              </w:rPr>
            </w:pPr>
            <w:r>
              <w:rPr>
                <w:rFonts w:hint="eastAsia" w:ascii="仿宋" w:hAnsi="仿宋" w:eastAsia="仿宋" w:cs="仿宋"/>
                <w:sz w:val="21"/>
                <w:szCs w:val="21"/>
                <w:highlight w:val="none"/>
              </w:rPr>
              <w:t>备有应急设备和应急处理措施且科学完善得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分；应急处理措施一般得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分；应急处理措施基本满足招标文件的要求得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没有不得分</w:t>
            </w:r>
            <w:r>
              <w:rPr>
                <w:rFonts w:hint="eastAsia" w:ascii="仿宋" w:hAnsi="仿宋" w:eastAsia="仿宋" w:cs="仿宋"/>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667" w:type="dxa"/>
            <w:vMerge w:val="continue"/>
            <w:tcBorders>
              <w:bottom w:val="single" w:color="000000" w:sz="2" w:space="0"/>
            </w:tcBorders>
            <w:vAlign w:val="center"/>
          </w:tcPr>
          <w:p>
            <w:pPr>
              <w:spacing w:line="360" w:lineRule="auto"/>
              <w:jc w:val="center"/>
              <w:rPr>
                <w:rFonts w:hint="eastAsia" w:ascii="仿宋" w:hAnsi="仿宋" w:eastAsia="仿宋" w:cs="仿宋"/>
                <w:sz w:val="21"/>
                <w:highlight w:val="none"/>
              </w:rPr>
            </w:pPr>
          </w:p>
        </w:tc>
        <w:tc>
          <w:tcPr>
            <w:tcW w:w="1326" w:type="dxa"/>
            <w:vMerge w:val="continue"/>
            <w:tcBorders>
              <w:bottom w:val="single" w:color="000000" w:sz="2" w:space="0"/>
            </w:tcBorders>
            <w:vAlign w:val="center"/>
          </w:tcPr>
          <w:p>
            <w:pPr>
              <w:spacing w:line="360" w:lineRule="auto"/>
              <w:jc w:val="center"/>
              <w:rPr>
                <w:rFonts w:hint="eastAsia" w:ascii="仿宋" w:hAnsi="仿宋" w:eastAsia="仿宋" w:cs="仿宋"/>
                <w:sz w:val="21"/>
                <w:highlight w:val="none"/>
              </w:rPr>
            </w:pPr>
          </w:p>
        </w:tc>
        <w:tc>
          <w:tcPr>
            <w:tcW w:w="1753" w:type="dxa"/>
            <w:tcBorders>
              <w:bottom w:val="single" w:color="000000" w:sz="2" w:space="0"/>
            </w:tcBorders>
            <w:vAlign w:val="center"/>
          </w:tcPr>
          <w:p>
            <w:pPr>
              <w:spacing w:before="68" w:line="360" w:lineRule="auto"/>
              <w:ind w:right="101"/>
              <w:jc w:val="center"/>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6、拟投入仪器设备（10分）</w:t>
            </w:r>
          </w:p>
        </w:tc>
        <w:tc>
          <w:tcPr>
            <w:tcW w:w="5253" w:type="dxa"/>
            <w:tcBorders>
              <w:bottom w:val="single" w:color="000000" w:sz="2" w:space="0"/>
            </w:tcBorders>
            <w:vAlign w:val="top"/>
          </w:tcPr>
          <w:p>
            <w:pPr>
              <w:spacing w:line="360" w:lineRule="auto"/>
              <w:ind w:left="123" w:right="42" w:hanging="7"/>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仪器、设备配置齐全的得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分；仪器、设备配置一般得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val="en-US" w:eastAsia="zh-CN"/>
              </w:rPr>
              <w:t>提供的仪器、设备配置</w:t>
            </w:r>
            <w:r>
              <w:rPr>
                <w:rFonts w:hint="eastAsia" w:ascii="仿宋" w:hAnsi="仿宋" w:eastAsia="仿宋" w:cs="仿宋"/>
                <w:sz w:val="21"/>
                <w:szCs w:val="21"/>
                <w:highlight w:val="none"/>
              </w:rPr>
              <w:t>基本能够保障服务能力的得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没有不得分</w:t>
            </w:r>
            <w:r>
              <w:rPr>
                <w:rFonts w:hint="eastAsia" w:ascii="仿宋" w:hAnsi="仿宋" w:eastAsia="仿宋" w:cs="仿宋"/>
                <w:sz w:val="21"/>
                <w:szCs w:val="21"/>
                <w:highlight w:val="none"/>
              </w:rPr>
              <w:t>。</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lang w:val="en-US" w:eastAsia="zh-CN"/>
              </w:rPr>
              <w:t>需提供拟投入仪器、设备照片和发票原件扫描件</w:t>
            </w:r>
            <w:r>
              <w:rPr>
                <w:rFonts w:hint="eastAsia" w:ascii="仿宋" w:hAnsi="仿宋" w:eastAsia="仿宋" w:cs="仿宋"/>
                <w:b/>
                <w:bCs/>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667" w:type="dxa"/>
            <w:vMerge w:val="restart"/>
            <w:tcBorders>
              <w:top w:val="single" w:color="000000" w:sz="2" w:space="0"/>
            </w:tcBorders>
            <w:vAlign w:val="center"/>
          </w:tcPr>
          <w:p>
            <w:pPr>
              <w:spacing w:line="360" w:lineRule="auto"/>
              <w:jc w:val="center"/>
              <w:rPr>
                <w:rFonts w:hint="eastAsia" w:ascii="仿宋" w:hAnsi="仿宋" w:eastAsia="仿宋" w:cs="仿宋"/>
                <w:sz w:val="21"/>
                <w:highlight w:val="none"/>
              </w:rPr>
            </w:pPr>
            <w:r>
              <w:rPr>
                <w:rFonts w:hint="eastAsia" w:ascii="仿宋" w:hAnsi="仿宋" w:eastAsia="仿宋" w:cs="仿宋"/>
                <w:spacing w:val="-3"/>
                <w:sz w:val="21"/>
                <w:szCs w:val="21"/>
                <w:highlight w:val="none"/>
              </w:rPr>
              <w:t>2</w:t>
            </w:r>
            <w:r>
              <w:rPr>
                <w:rFonts w:hint="eastAsia" w:ascii="仿宋" w:hAnsi="仿宋" w:eastAsia="仿宋" w:cs="仿宋"/>
                <w:spacing w:val="-2"/>
                <w:sz w:val="21"/>
                <w:szCs w:val="21"/>
                <w:highlight w:val="none"/>
              </w:rPr>
              <w:t>.2.</w:t>
            </w:r>
            <w:r>
              <w:rPr>
                <w:rFonts w:hint="eastAsia" w:ascii="仿宋" w:hAnsi="仿宋" w:eastAsia="仿宋" w:cs="仿宋"/>
                <w:sz w:val="21"/>
                <w:szCs w:val="21"/>
                <w:highlight w:val="none"/>
              </w:rPr>
              <w:t xml:space="preserve"> </w:t>
            </w:r>
            <w:r>
              <w:rPr>
                <w:rFonts w:hint="eastAsia" w:ascii="仿宋" w:hAnsi="仿宋" w:eastAsia="仿宋" w:cs="仿宋"/>
                <w:spacing w:val="-9"/>
                <w:sz w:val="21"/>
                <w:szCs w:val="21"/>
                <w:highlight w:val="none"/>
              </w:rPr>
              <w:t>2</w:t>
            </w:r>
            <w:r>
              <w:rPr>
                <w:rFonts w:hint="eastAsia" w:ascii="仿宋" w:hAnsi="仿宋" w:eastAsia="仿宋" w:cs="仿宋"/>
                <w:spacing w:val="-5"/>
                <w:sz w:val="21"/>
                <w:szCs w:val="21"/>
                <w:highlight w:val="none"/>
              </w:rPr>
              <w:t xml:space="preserve"> (3)</w:t>
            </w:r>
          </w:p>
        </w:tc>
        <w:tc>
          <w:tcPr>
            <w:tcW w:w="1326" w:type="dxa"/>
            <w:vMerge w:val="restart"/>
            <w:tcBorders>
              <w:top w:val="single" w:color="000000" w:sz="2" w:space="0"/>
            </w:tcBorders>
            <w:vAlign w:val="center"/>
          </w:tcPr>
          <w:p>
            <w:pPr>
              <w:spacing w:line="360" w:lineRule="auto"/>
              <w:jc w:val="center"/>
              <w:rPr>
                <w:rFonts w:hint="eastAsia" w:ascii="仿宋" w:hAnsi="仿宋" w:eastAsia="仿宋" w:cs="仿宋"/>
                <w:sz w:val="21"/>
                <w:highlight w:val="none"/>
                <w:lang w:val="en-US" w:eastAsia="zh-CN"/>
              </w:rPr>
            </w:pPr>
            <w:r>
              <w:rPr>
                <w:rFonts w:hint="eastAsia" w:ascii="仿宋" w:hAnsi="仿宋" w:eastAsia="仿宋" w:cs="仿宋"/>
                <w:sz w:val="21"/>
                <w:highlight w:val="none"/>
              </w:rPr>
              <w:t>商务</w:t>
            </w:r>
            <w:r>
              <w:rPr>
                <w:rFonts w:hint="eastAsia" w:ascii="仿宋" w:hAnsi="仿宋" w:eastAsia="仿宋" w:cs="仿宋"/>
                <w:spacing w:val="-1"/>
                <w:sz w:val="21"/>
                <w:szCs w:val="21"/>
                <w:highlight w:val="none"/>
              </w:rPr>
              <w:t>评分标</w:t>
            </w:r>
            <w:r>
              <w:rPr>
                <w:rFonts w:hint="eastAsia" w:ascii="仿宋" w:hAnsi="仿宋" w:eastAsia="仿宋" w:cs="仿宋"/>
                <w:sz w:val="21"/>
                <w:szCs w:val="21"/>
                <w:highlight w:val="none"/>
              </w:rPr>
              <w:t xml:space="preserve"> </w:t>
            </w:r>
            <w:r>
              <w:rPr>
                <w:rFonts w:hint="eastAsia" w:ascii="仿宋" w:hAnsi="仿宋" w:eastAsia="仿宋" w:cs="仿宋"/>
                <w:spacing w:val="15"/>
                <w:sz w:val="21"/>
                <w:szCs w:val="21"/>
                <w:highlight w:val="none"/>
              </w:rPr>
              <w:t>准</w:t>
            </w:r>
            <w:r>
              <w:rPr>
                <w:rFonts w:hint="eastAsia" w:ascii="仿宋" w:hAnsi="仿宋" w:eastAsia="仿宋" w:cs="仿宋"/>
                <w:spacing w:val="15"/>
                <w:sz w:val="21"/>
                <w:szCs w:val="21"/>
                <w:highlight w:val="none"/>
                <w:lang w:eastAsia="zh-CN"/>
              </w:rPr>
              <w:t>（</w:t>
            </w:r>
            <w:r>
              <w:rPr>
                <w:rFonts w:hint="eastAsia" w:ascii="仿宋" w:hAnsi="仿宋" w:eastAsia="仿宋" w:cs="仿宋"/>
                <w:sz w:val="21"/>
                <w:highlight w:val="none"/>
                <w:lang w:val="en-US" w:eastAsia="zh-CN"/>
              </w:rPr>
              <w:t>20</w:t>
            </w:r>
          </w:p>
          <w:p>
            <w:pPr>
              <w:spacing w:line="360" w:lineRule="auto"/>
              <w:jc w:val="center"/>
              <w:rPr>
                <w:rFonts w:hint="eastAsia" w:ascii="仿宋" w:hAnsi="仿宋" w:eastAsia="仿宋" w:cs="仿宋"/>
                <w:sz w:val="21"/>
                <w:highlight w:val="none"/>
              </w:rPr>
            </w:pPr>
            <w:r>
              <w:rPr>
                <w:rFonts w:hint="eastAsia" w:ascii="仿宋" w:hAnsi="仿宋" w:eastAsia="仿宋" w:cs="仿宋"/>
                <w:sz w:val="21"/>
                <w:highlight w:val="none"/>
              </w:rPr>
              <w:t>分</w:t>
            </w:r>
            <w:r>
              <w:rPr>
                <w:rFonts w:hint="eastAsia" w:ascii="仿宋" w:hAnsi="仿宋" w:eastAsia="仿宋" w:cs="仿宋"/>
                <w:spacing w:val="15"/>
                <w:sz w:val="21"/>
                <w:szCs w:val="21"/>
                <w:highlight w:val="none"/>
                <w:lang w:eastAsia="zh-CN"/>
              </w:rPr>
              <w:t>）</w:t>
            </w:r>
          </w:p>
        </w:tc>
        <w:tc>
          <w:tcPr>
            <w:tcW w:w="1753" w:type="dxa"/>
            <w:tcBorders>
              <w:top w:val="single" w:color="000000" w:sz="2" w:space="0"/>
              <w:bottom w:val="single" w:color="000000" w:sz="2" w:space="0"/>
            </w:tcBorders>
            <w:vAlign w:val="center"/>
          </w:tcPr>
          <w:p>
            <w:pPr>
              <w:spacing w:before="68" w:line="360" w:lineRule="auto"/>
              <w:ind w:left="115" w:right="101" w:firstLine="3"/>
              <w:jc w:val="center"/>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业绩（6分）</w:t>
            </w:r>
          </w:p>
        </w:tc>
        <w:tc>
          <w:tcPr>
            <w:tcW w:w="5253" w:type="dxa"/>
            <w:tcBorders>
              <w:top w:val="single" w:color="000000" w:sz="2" w:space="0"/>
              <w:bottom w:val="single" w:color="000000" w:sz="2" w:space="0"/>
            </w:tcBorders>
            <w:vAlign w:val="top"/>
          </w:tcPr>
          <w:p>
            <w:pPr>
              <w:spacing w:line="360" w:lineRule="auto"/>
              <w:ind w:left="123" w:right="42" w:hanging="7"/>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2021年1月1日以来</w:t>
            </w:r>
            <w:r>
              <w:rPr>
                <w:rFonts w:hint="eastAsia" w:ascii="仿宋" w:hAnsi="仿宋" w:eastAsia="仿宋" w:cs="仿宋"/>
                <w:sz w:val="21"/>
                <w:szCs w:val="21"/>
                <w:highlight w:val="none"/>
              </w:rPr>
              <w:t>具有与最终用户签订的所投产品的服务业绩每提供一份，得2 分，共6分。（提供中标通知书或服务合同原件扫描件）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667" w:type="dxa"/>
            <w:vMerge w:val="continue"/>
            <w:vAlign w:val="center"/>
          </w:tcPr>
          <w:p>
            <w:pPr>
              <w:spacing w:line="360" w:lineRule="auto"/>
              <w:jc w:val="center"/>
              <w:rPr>
                <w:rFonts w:hint="eastAsia" w:ascii="仿宋" w:hAnsi="仿宋" w:eastAsia="仿宋" w:cs="仿宋"/>
                <w:spacing w:val="-3"/>
                <w:sz w:val="21"/>
                <w:szCs w:val="21"/>
                <w:highlight w:val="none"/>
              </w:rPr>
            </w:pPr>
          </w:p>
        </w:tc>
        <w:tc>
          <w:tcPr>
            <w:tcW w:w="1326" w:type="dxa"/>
            <w:vMerge w:val="continue"/>
            <w:vAlign w:val="center"/>
          </w:tcPr>
          <w:p>
            <w:pPr>
              <w:spacing w:line="360" w:lineRule="auto"/>
              <w:jc w:val="center"/>
              <w:rPr>
                <w:rFonts w:hint="eastAsia" w:ascii="仿宋" w:hAnsi="仿宋" w:eastAsia="仿宋" w:cs="仿宋"/>
                <w:sz w:val="21"/>
                <w:highlight w:val="none"/>
              </w:rPr>
            </w:pPr>
          </w:p>
        </w:tc>
        <w:tc>
          <w:tcPr>
            <w:tcW w:w="1753" w:type="dxa"/>
            <w:tcBorders>
              <w:top w:val="single" w:color="000000" w:sz="2" w:space="0"/>
              <w:bottom w:val="single" w:color="000000" w:sz="2" w:space="0"/>
            </w:tcBorders>
            <w:vAlign w:val="center"/>
          </w:tcPr>
          <w:p>
            <w:pPr>
              <w:spacing w:before="68" w:line="360" w:lineRule="auto"/>
              <w:ind w:left="115" w:right="101" w:firstLine="3"/>
              <w:jc w:val="center"/>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人员情况</w:t>
            </w:r>
            <w:bookmarkStart w:id="124" w:name="_GoBack"/>
            <w:bookmarkEnd w:id="124"/>
            <w:r>
              <w:rPr>
                <w:rFonts w:hint="eastAsia" w:ascii="仿宋" w:hAnsi="仿宋" w:eastAsia="仿宋" w:cs="仿宋"/>
                <w:spacing w:val="-6"/>
                <w:sz w:val="21"/>
                <w:szCs w:val="21"/>
                <w:highlight w:val="none"/>
                <w:lang w:val="en-US" w:eastAsia="zh-CN"/>
              </w:rPr>
              <w:t>（5分）</w:t>
            </w:r>
          </w:p>
        </w:tc>
        <w:tc>
          <w:tcPr>
            <w:tcW w:w="5253" w:type="dxa"/>
            <w:tcBorders>
              <w:top w:val="single" w:color="000000" w:sz="2" w:space="0"/>
              <w:bottom w:val="single" w:color="000000" w:sz="2" w:space="0"/>
            </w:tcBorders>
            <w:vAlign w:val="top"/>
          </w:tcPr>
          <w:p>
            <w:pPr>
              <w:spacing w:line="360" w:lineRule="auto"/>
              <w:ind w:left="123" w:right="42" w:hanging="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具有测绘专业中级及以上职称的人员每增加一人得1分，最多得5分。</w:t>
            </w:r>
          </w:p>
          <w:p>
            <w:pPr>
              <w:spacing w:line="360" w:lineRule="auto"/>
              <w:ind w:left="123" w:right="42" w:hanging="7"/>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(投标人须在投标文件中提供证书扫描件，且提供在本单位的社保扫描件证明。）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667" w:type="dxa"/>
            <w:vMerge w:val="continue"/>
            <w:tcBorders>
              <w:bottom w:val="single" w:color="000000" w:sz="2" w:space="0"/>
            </w:tcBorders>
            <w:vAlign w:val="center"/>
          </w:tcPr>
          <w:p>
            <w:pPr>
              <w:spacing w:line="360" w:lineRule="auto"/>
              <w:jc w:val="center"/>
              <w:rPr>
                <w:rFonts w:hint="eastAsia" w:ascii="仿宋" w:hAnsi="仿宋" w:eastAsia="仿宋" w:cs="仿宋"/>
                <w:spacing w:val="-3"/>
                <w:sz w:val="21"/>
                <w:szCs w:val="21"/>
                <w:highlight w:val="none"/>
              </w:rPr>
            </w:pPr>
          </w:p>
        </w:tc>
        <w:tc>
          <w:tcPr>
            <w:tcW w:w="1326" w:type="dxa"/>
            <w:vMerge w:val="continue"/>
            <w:tcBorders>
              <w:bottom w:val="single" w:color="000000" w:sz="2" w:space="0"/>
            </w:tcBorders>
            <w:vAlign w:val="center"/>
          </w:tcPr>
          <w:p>
            <w:pPr>
              <w:spacing w:line="360" w:lineRule="auto"/>
              <w:jc w:val="center"/>
              <w:rPr>
                <w:rFonts w:hint="eastAsia" w:ascii="仿宋" w:hAnsi="仿宋" w:eastAsia="仿宋" w:cs="仿宋"/>
                <w:sz w:val="21"/>
                <w:highlight w:val="none"/>
              </w:rPr>
            </w:pPr>
          </w:p>
        </w:tc>
        <w:tc>
          <w:tcPr>
            <w:tcW w:w="1753" w:type="dxa"/>
            <w:tcBorders>
              <w:top w:val="single" w:color="000000" w:sz="2" w:space="0"/>
              <w:bottom w:val="single" w:color="000000" w:sz="2" w:space="0"/>
            </w:tcBorders>
            <w:vAlign w:val="center"/>
          </w:tcPr>
          <w:p>
            <w:pPr>
              <w:spacing w:before="68" w:line="360" w:lineRule="auto"/>
              <w:ind w:left="115" w:right="101" w:firstLine="3"/>
              <w:jc w:val="center"/>
              <w:rPr>
                <w:rFonts w:hint="eastAsia" w:ascii="仿宋" w:hAnsi="仿宋" w:eastAsia="仿宋" w:cs="仿宋"/>
                <w:spacing w:val="-6"/>
                <w:sz w:val="21"/>
                <w:szCs w:val="21"/>
                <w:highlight w:val="none"/>
                <w:lang w:val="en-US" w:eastAsia="zh-CN"/>
              </w:rPr>
            </w:pPr>
            <w:r>
              <w:rPr>
                <w:rFonts w:hint="eastAsia" w:ascii="仿宋" w:hAnsi="仿宋" w:eastAsia="仿宋" w:cs="仿宋"/>
                <w:spacing w:val="-6"/>
                <w:sz w:val="21"/>
                <w:szCs w:val="21"/>
                <w:highlight w:val="none"/>
                <w:lang w:val="en-US" w:eastAsia="zh-CN"/>
              </w:rPr>
              <w:t>服务承诺（9分）</w:t>
            </w:r>
          </w:p>
        </w:tc>
        <w:tc>
          <w:tcPr>
            <w:tcW w:w="5253" w:type="dxa"/>
            <w:tcBorders>
              <w:top w:val="single" w:color="000000" w:sz="2" w:space="0"/>
              <w:bottom w:val="single" w:color="000000" w:sz="2" w:space="0"/>
            </w:tcBorders>
            <w:vAlign w:val="top"/>
          </w:tcPr>
          <w:p>
            <w:pPr>
              <w:spacing w:line="360" w:lineRule="auto"/>
              <w:ind w:left="123" w:right="42" w:hanging="7"/>
              <w:rPr>
                <w:rFonts w:hint="eastAsia" w:ascii="仿宋" w:hAnsi="仿宋" w:eastAsia="仿宋" w:cs="仿宋"/>
                <w:sz w:val="21"/>
                <w:szCs w:val="21"/>
                <w:highlight w:val="none"/>
              </w:rPr>
            </w:pPr>
            <w:r>
              <w:rPr>
                <w:rFonts w:hint="eastAsia" w:ascii="仿宋" w:hAnsi="仿宋" w:eastAsia="仿宋" w:cs="仿宋"/>
                <w:sz w:val="21"/>
                <w:szCs w:val="21"/>
                <w:highlight w:val="none"/>
              </w:rPr>
              <w:t>(1)服务承诺明确、措施到位，服务周到得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分；服务承诺较明确、措施较合理，服务较周到得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分；服务承诺一般、措施基本到位，服务一般、措施基本能落实得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分。没有不得分。</w:t>
            </w:r>
          </w:p>
          <w:p>
            <w:pPr>
              <w:spacing w:line="360" w:lineRule="auto"/>
              <w:ind w:left="123" w:right="42" w:hanging="7"/>
              <w:rPr>
                <w:rFonts w:hint="eastAsia" w:ascii="仿宋" w:hAnsi="仿宋" w:eastAsia="仿宋" w:cs="仿宋"/>
                <w:sz w:val="21"/>
                <w:szCs w:val="21"/>
                <w:highlight w:val="none"/>
              </w:rPr>
            </w:pPr>
            <w:r>
              <w:rPr>
                <w:rFonts w:hint="eastAsia" w:ascii="仿宋" w:hAnsi="仿宋" w:eastAsia="仿宋" w:cs="仿宋"/>
                <w:sz w:val="21"/>
                <w:szCs w:val="21"/>
                <w:highlight w:val="none"/>
              </w:rPr>
              <w:t>(2) 承诺的服务质量优质，得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 xml:space="preserve"> 分，承诺的服务质量良好，得2分，缺项不得分。</w:t>
            </w:r>
          </w:p>
          <w:p>
            <w:pPr>
              <w:spacing w:line="360" w:lineRule="auto"/>
              <w:ind w:left="123" w:right="42" w:hanging="7"/>
              <w:rPr>
                <w:rFonts w:hint="eastAsia" w:ascii="仿宋" w:hAnsi="仿宋" w:eastAsia="仿宋" w:cs="仿宋"/>
                <w:sz w:val="21"/>
                <w:szCs w:val="21"/>
                <w:highlight w:val="none"/>
              </w:rPr>
            </w:pPr>
            <w:r>
              <w:rPr>
                <w:rFonts w:hint="eastAsia" w:ascii="仿宋" w:hAnsi="仿宋" w:eastAsia="仿宋" w:cs="仿宋"/>
                <w:sz w:val="21"/>
                <w:szCs w:val="21"/>
                <w:highlight w:val="none"/>
              </w:rPr>
              <w:t>(3) 设置有专人负责测绘业务和服务内容得 2 分，否则不得分。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8999" w:type="dxa"/>
            <w:gridSpan w:val="4"/>
            <w:tcBorders>
              <w:top w:val="single" w:color="000000" w:sz="2" w:space="0"/>
            </w:tcBorders>
            <w:vAlign w:val="center"/>
          </w:tcPr>
          <w:p>
            <w:pPr>
              <w:spacing w:before="56" w:line="360" w:lineRule="auto"/>
              <w:ind w:left="120" w:right="110" w:hanging="2"/>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备注：评标委员会对各供应商的得分进行汇总，计算过程</w:t>
            </w:r>
            <w:r>
              <w:rPr>
                <w:rFonts w:hint="eastAsia" w:ascii="仿宋" w:hAnsi="仿宋" w:eastAsia="仿宋" w:cs="仿宋"/>
                <w:spacing w:val="1"/>
                <w:sz w:val="21"/>
                <w:szCs w:val="21"/>
                <w:highlight w:val="none"/>
              </w:rPr>
              <w:t>中评委个人分值按四舍五入保留三位小数，最终</w:t>
            </w:r>
            <w:r>
              <w:rPr>
                <w:rFonts w:hint="eastAsia" w:ascii="仿宋" w:hAnsi="仿宋" w:eastAsia="仿宋" w:cs="仿宋"/>
                <w:sz w:val="21"/>
                <w:szCs w:val="21"/>
                <w:highlight w:val="none"/>
              </w:rPr>
              <w:t xml:space="preserve"> </w:t>
            </w:r>
            <w:r>
              <w:rPr>
                <w:rFonts w:hint="eastAsia" w:ascii="仿宋" w:hAnsi="仿宋" w:eastAsia="仿宋" w:cs="仿宋"/>
                <w:spacing w:val="-1"/>
                <w:sz w:val="21"/>
                <w:szCs w:val="21"/>
                <w:highlight w:val="none"/>
              </w:rPr>
              <w:t>结果按四舍</w:t>
            </w:r>
            <w:r>
              <w:rPr>
                <w:rFonts w:hint="eastAsia" w:ascii="仿宋" w:hAnsi="仿宋" w:eastAsia="仿宋" w:cs="仿宋"/>
                <w:sz w:val="21"/>
                <w:szCs w:val="21"/>
                <w:highlight w:val="none"/>
              </w:rPr>
              <w:t>五入保留两位小数。以各评标委员会打分的算术平均值作为该供应商的最终得分。</w:t>
            </w:r>
          </w:p>
          <w:p>
            <w:pPr>
              <w:spacing w:line="360" w:lineRule="auto"/>
              <w:ind w:left="123" w:right="42" w:hanging="7"/>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w:t>
            </w:r>
            <w:r>
              <w:rPr>
                <w:rFonts w:hint="eastAsia" w:ascii="仿宋" w:hAnsi="仿宋" w:eastAsia="仿宋" w:cs="仿宋"/>
                <w:spacing w:val="8"/>
                <w:sz w:val="21"/>
                <w:szCs w:val="21"/>
                <w:highlight w:val="none"/>
                <w14:textOutline w14:w="3831" w14:cap="flat" w14:cmpd="sng">
                  <w14:solidFill>
                    <w14:srgbClr w14:val="000000"/>
                  </w14:solidFill>
                  <w14:prstDash w14:val="solid"/>
                  <w14:miter w14:val="0"/>
                </w14:textOutline>
              </w:rPr>
              <w:t>不需提</w:t>
            </w:r>
            <w:r>
              <w:rPr>
                <w:rFonts w:hint="eastAsia" w:ascii="仿宋" w:hAnsi="仿宋" w:eastAsia="仿宋" w:cs="仿宋"/>
                <w:spacing w:val="4"/>
                <w:sz w:val="21"/>
                <w:szCs w:val="21"/>
                <w:highlight w:val="none"/>
                <w14:textOutline w14:w="3831" w14:cap="flat" w14:cmpd="sng">
                  <w14:solidFill>
                    <w14:srgbClr w14:val="000000"/>
                  </w14:solidFill>
                  <w14:prstDash w14:val="solid"/>
                  <w14:miter w14:val="0"/>
                </w14:textOutline>
              </w:rPr>
              <w:t>供证书原件，响应文件中证书扫描件或复印件应保证清晰可见。</w:t>
            </w:r>
            <w:r>
              <w:rPr>
                <w:rFonts w:hint="eastAsia" w:ascii="仿宋" w:hAnsi="仿宋" w:eastAsia="仿宋" w:cs="仿宋"/>
                <w:spacing w:val="4"/>
                <w:sz w:val="21"/>
                <w:szCs w:val="21"/>
                <w:highlight w:val="none"/>
              </w:rPr>
              <w:t>)</w:t>
            </w:r>
          </w:p>
        </w:tc>
      </w:tr>
    </w:tbl>
    <w:p>
      <w:pPr>
        <w:spacing w:line="173" w:lineRule="exact"/>
        <w:rPr>
          <w:rFonts w:hint="eastAsia" w:ascii="仿宋" w:hAnsi="仿宋" w:eastAsia="仿宋" w:cs="仿宋"/>
          <w:sz w:val="15"/>
          <w:highlight w:val="none"/>
        </w:rPr>
      </w:pP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1.  评标方法</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本次评标采用综合评分法。磋商小组对满足磋商文件实质性要求的响应文件，按照本章规定的评分标准进行打分， 并按得分由高到低顺序推荐成交候选人， 综合评分相等时，以报价得分高的优 先；报价得分也相等的， 由采购人自行确定。</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  评审标准</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2.1  初步评审标准</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2.1.1  形式检查评审标准：见评标办法前附表。</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2.1.2  资格性检查评审标准：见评标办法前附表。</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2.1.3  响应性检查评审标准：见评标办法前附表。</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2.2  分值构成与评分标准</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 xml:space="preserve">2.2.1 </w:t>
      </w:r>
      <w:r>
        <w:rPr>
          <w:rFonts w:hint="eastAsia" w:ascii="仿宋" w:hAnsi="仿宋" w:eastAsia="仿宋" w:cs="仿宋"/>
          <w:spacing w:val="-1"/>
          <w:sz w:val="21"/>
          <w:szCs w:val="21"/>
          <w:highlight w:val="none"/>
          <w:lang w:val="en-US" w:eastAsia="zh-CN"/>
        </w:rPr>
        <w:t>投标报价</w:t>
      </w:r>
      <w:r>
        <w:rPr>
          <w:rFonts w:hint="eastAsia" w:ascii="仿宋" w:hAnsi="仿宋" w:eastAsia="仿宋" w:cs="仿宋"/>
          <w:spacing w:val="-1"/>
          <w:sz w:val="21"/>
          <w:szCs w:val="21"/>
          <w:highlight w:val="none"/>
        </w:rPr>
        <w:t>：见评标办法前附表</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2.2.2 技术</w:t>
      </w:r>
      <w:r>
        <w:rPr>
          <w:rFonts w:hint="eastAsia" w:ascii="仿宋" w:hAnsi="仿宋" w:eastAsia="仿宋" w:cs="仿宋"/>
          <w:spacing w:val="-1"/>
          <w:sz w:val="21"/>
          <w:szCs w:val="21"/>
          <w:highlight w:val="none"/>
          <w:lang w:val="en-US" w:eastAsia="zh-CN"/>
        </w:rPr>
        <w:t>评分标准</w:t>
      </w:r>
      <w:r>
        <w:rPr>
          <w:rFonts w:hint="eastAsia" w:ascii="仿宋" w:hAnsi="仿宋" w:eastAsia="仿宋" w:cs="仿宋"/>
          <w:spacing w:val="-1"/>
          <w:sz w:val="21"/>
          <w:szCs w:val="21"/>
          <w:highlight w:val="none"/>
        </w:rPr>
        <w:t>：见评标办法前附表；</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2.2.3 商务评分标准：见评标办法前附表；</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  评审程序</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3.1  初步评审</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3.1.1  磋商小组依据本章第 2.1 款规定的标准对响应文件进行初步评审。有一项不符合评审标准的，作废标处理。</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3.1.2  供应商有以下情形的，其投标作废标处理：不按磋商小组要求澄清、说明或补正的；</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3.2  详细评审</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3.2.1  磋商小组按本章第 2.2 款规定的量化因素和分值进行打分，并计算出综合评分得分。</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3.2.3 供应商的最终得分以全部小组成员打分的算术平均值为准，作为该供应商的最终得分。</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3.2.4 在磋商过程中，凡遇到磋商文件中无界定或界定不清、前后不一致使磋商小组意见有分歧且又难以协商一致的问题， 均由磋商小组予以表决， 获半数以上同意的即为通过，未获半数同意的 即为否决。</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3.3  响应文件的澄清和补正</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3.3.1 在磋商过程中，磋商小组可以书面形式要求供应商对所提交的响应文件中不明确的内容进 行书面澄清或说明， 或者对细微偏离进行补正。磋商小组不接受供应商主动提出的澄清、说明或补 正。</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3.3.2  澄清、说明和补正不得超出响应文件的范围或者改变响应文件的实质性内容(算术性错误 修正的除外)。 供应商的书面澄清、说明和补正属于响应文件的组成部分。</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3.3.3  磋商小组对供应商提交的澄清、说明或补正有疑问的，可以要求供应商进一步澄清、说明 或补正，直至满足磋商小组的要求。</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3.4  评标结果</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3.4.1  除第二章“供应商须知”前附表授权直接确定成交人外，磋商小组按照得分由高到低的顺序推荐成交候选人。</w:t>
      </w:r>
    </w:p>
    <w:p>
      <w:pPr>
        <w:pageBreakBefore w:val="0"/>
        <w:widowControl w:val="0"/>
        <w:kinsoku/>
        <w:wordWrap/>
        <w:overflowPunct/>
        <w:topLinePunct w:val="0"/>
        <w:autoSpaceDE/>
        <w:autoSpaceDN/>
        <w:bidi w:val="0"/>
        <w:adjustRightInd/>
        <w:snapToGrid/>
        <w:spacing w:before="217" w:line="360" w:lineRule="auto"/>
        <w:ind w:left="37" w:right="76" w:firstLine="419"/>
        <w:textAlignment w:val="auto"/>
        <w:rPr>
          <w:rFonts w:hint="eastAsia" w:ascii="仿宋" w:hAnsi="仿宋" w:eastAsia="仿宋" w:cs="仿宋"/>
          <w:sz w:val="21"/>
          <w:szCs w:val="21"/>
          <w:highlight w:val="none"/>
          <w:lang w:eastAsia="zh-CN"/>
        </w:rPr>
      </w:pPr>
      <w:r>
        <w:rPr>
          <w:rFonts w:hint="eastAsia" w:ascii="仿宋" w:hAnsi="仿宋" w:eastAsia="仿宋" w:cs="仿宋"/>
          <w:spacing w:val="-1"/>
          <w:sz w:val="21"/>
          <w:szCs w:val="21"/>
          <w:highlight w:val="none"/>
        </w:rPr>
        <w:t>3.4.2  磋商小组完成评标后， 应当向采购人提交书面评审报告。</w:t>
      </w:r>
      <w:r>
        <w:rPr>
          <w:rFonts w:hint="eastAsia" w:ascii="仿宋" w:hAnsi="仿宋" w:eastAsia="仿宋" w:cs="仿宋"/>
          <w:highlight w:val="none"/>
        </w:rPr>
        <mc:AlternateContent>
          <mc:Choice Requires="wps">
            <w:drawing>
              <wp:anchor distT="0" distB="0" distL="114300" distR="114300" simplePos="0" relativeHeight="251659264" behindDoc="0" locked="0" layoutInCell="0" allowOverlap="1">
                <wp:simplePos x="0" y="0"/>
                <wp:positionH relativeFrom="page">
                  <wp:posOffset>869950</wp:posOffset>
                </wp:positionH>
                <wp:positionV relativeFrom="page">
                  <wp:posOffset>683895</wp:posOffset>
                </wp:positionV>
                <wp:extent cx="5819775"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819775" cy="6350"/>
                        </a:xfrm>
                        <a:custGeom>
                          <a:avLst/>
                          <a:gdLst/>
                          <a:ahLst/>
                          <a:cxnLst/>
                          <a:pathLst>
                            <a:path w="9165" h="10">
                              <a:moveTo>
                                <a:pt x="0" y="9"/>
                              </a:moveTo>
                              <a:lnTo>
                                <a:pt x="9164" y="9"/>
                              </a:lnTo>
                              <a:lnTo>
                                <a:pt x="9164"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8.5pt;margin-top:53.85pt;height:0.5pt;width:458.25pt;mso-position-horizontal-relative:page;mso-position-vertical-relative:page;z-index:251659264;mso-width-relative:page;mso-height-relative:page;" fillcolor="#000000" filled="t" stroked="f" coordsize="9165,10" o:allowincell="f" o:gfxdata="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5zp2AAAAAwBAAAP&#10;AAAAAAAAAAEAIAAAACIAAABkcnMvZG93bnJldi54bWxQSwECFAAUAAAACACHTuJAGnewJxgCAAB7&#10;BAAADgAAAAAAAAABACAAAAAnAQAAZHJzL2Uyb0RvYy54bWxQSwUGAAAAAAYABgBZAQAAsQUAAAAA&#10;" path="m0,9l9164,9,9164,0,0,0,0,9xe">
                <v:fill on="t" focussize="0,0"/>
                <v:stroke on="f"/>
                <v:imagedata o:title=""/>
                <o:lock v:ext="edit" aspectratio="f"/>
              </v:shape>
            </w:pict>
          </mc:Fallback>
        </mc:AlternateConten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rPr>
      </w:pPr>
      <w:bookmarkStart w:id="66" w:name="_Toc31865"/>
      <w:r>
        <w:rPr>
          <w:rFonts w:hint="eastAsia" w:ascii="仿宋" w:hAnsi="仿宋" w:eastAsia="仿宋" w:cs="仿宋"/>
          <w:highlight w:val="none"/>
        </w:rPr>
        <w:br w:type="page"/>
      </w:r>
    </w:p>
    <w:p>
      <w:pPr>
        <w:pStyle w:val="3"/>
        <w:keepNext/>
        <w:keepLines/>
        <w:pageBreakBefore w:val="0"/>
        <w:widowControl w:val="0"/>
        <w:numPr>
          <w:ilvl w:val="0"/>
          <w:numId w:val="1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highlight w:val="none"/>
        </w:rPr>
      </w:pPr>
      <w:bookmarkStart w:id="67" w:name="_Toc14814"/>
      <w:r>
        <w:rPr>
          <w:rFonts w:hint="eastAsia" w:ascii="仿宋" w:hAnsi="仿宋" w:eastAsia="仿宋" w:cs="仿宋"/>
          <w:highlight w:val="none"/>
        </w:rPr>
        <w:t>采购需求</w:t>
      </w:r>
      <w:bookmarkEnd w:id="66"/>
      <w:bookmarkEnd w:id="67"/>
    </w:p>
    <w:p>
      <w:pPr>
        <w:pStyle w:val="2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一、项目名称：</w:t>
      </w:r>
      <w:r>
        <w:rPr>
          <w:rFonts w:hint="eastAsia" w:ascii="仿宋" w:hAnsi="仿宋" w:eastAsia="仿宋" w:cs="仿宋"/>
          <w:b w:val="0"/>
          <w:bCs/>
          <w:sz w:val="21"/>
          <w:szCs w:val="21"/>
          <w:highlight w:val="none"/>
        </w:rPr>
        <w:t>中牟县自然资源和规划局建设项目服务费</w:t>
      </w:r>
      <w:r>
        <w:rPr>
          <w:rFonts w:hint="eastAsia" w:ascii="仿宋" w:hAnsi="仿宋" w:eastAsia="仿宋" w:cs="仿宋"/>
          <w:b w:val="0"/>
          <w:bCs/>
          <w:sz w:val="21"/>
          <w:szCs w:val="21"/>
          <w:highlight w:val="none"/>
          <w:lang w:val="en-US" w:eastAsia="zh-CN"/>
        </w:rPr>
        <w:t>项目；</w:t>
      </w:r>
    </w:p>
    <w:p>
      <w:pPr>
        <w:pStyle w:val="28"/>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采购预算：</w:t>
      </w:r>
      <w:r>
        <w:rPr>
          <w:rFonts w:hint="eastAsia" w:ascii="仿宋" w:hAnsi="仿宋" w:eastAsia="仿宋" w:cs="仿宋"/>
          <w:b w:val="0"/>
          <w:bCs/>
          <w:sz w:val="21"/>
          <w:szCs w:val="21"/>
          <w:highlight w:val="none"/>
          <w:lang w:val="en-US" w:eastAsia="zh-CN"/>
        </w:rPr>
        <w:t>1000000.00元；</w:t>
      </w:r>
    </w:p>
    <w:p>
      <w:pPr>
        <w:pStyle w:val="28"/>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服务</w:t>
      </w:r>
      <w:r>
        <w:rPr>
          <w:rFonts w:hint="eastAsia" w:ascii="仿宋" w:hAnsi="仿宋" w:eastAsia="仿宋" w:cs="仿宋"/>
          <w:b/>
          <w:sz w:val="21"/>
          <w:szCs w:val="21"/>
          <w:highlight w:val="none"/>
          <w:lang w:val="en-US" w:eastAsia="zh-CN"/>
        </w:rPr>
        <w:t>期限</w:t>
      </w:r>
      <w:r>
        <w:rPr>
          <w:rFonts w:hint="eastAsia" w:ascii="仿宋" w:hAnsi="仿宋" w:eastAsia="仿宋" w:cs="仿宋"/>
          <w:b/>
          <w:sz w:val="21"/>
          <w:szCs w:val="21"/>
          <w:highlight w:val="none"/>
        </w:rPr>
        <w:t>：</w:t>
      </w:r>
      <w:r>
        <w:rPr>
          <w:rFonts w:hint="eastAsia" w:ascii="仿宋" w:hAnsi="仿宋" w:eastAsia="仿宋" w:cs="仿宋"/>
          <w:b w:val="0"/>
          <w:bCs/>
          <w:sz w:val="21"/>
          <w:szCs w:val="21"/>
          <w:highlight w:val="none"/>
          <w:lang w:val="en-US" w:eastAsia="zh-CN"/>
        </w:rPr>
        <w:t>一</w:t>
      </w:r>
      <w:r>
        <w:rPr>
          <w:rFonts w:hint="eastAsia" w:ascii="仿宋" w:hAnsi="仿宋" w:eastAsia="仿宋" w:cs="仿宋"/>
          <w:b w:val="0"/>
          <w:bCs/>
          <w:sz w:val="21"/>
          <w:szCs w:val="21"/>
          <w:highlight w:val="none"/>
        </w:rPr>
        <w:t>年</w:t>
      </w:r>
      <w:r>
        <w:rPr>
          <w:rFonts w:hint="eastAsia" w:ascii="仿宋" w:hAnsi="仿宋" w:eastAsia="仿宋" w:cs="仿宋"/>
          <w:b w:val="0"/>
          <w:bCs/>
          <w:sz w:val="21"/>
          <w:szCs w:val="21"/>
          <w:highlight w:val="none"/>
          <w:lang w:eastAsia="zh-CN"/>
        </w:rPr>
        <w:t>；</w:t>
      </w:r>
    </w:p>
    <w:p>
      <w:pPr>
        <w:pStyle w:val="28"/>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付款方式：</w:t>
      </w:r>
      <w:r>
        <w:rPr>
          <w:rFonts w:hint="eastAsia" w:ascii="仿宋" w:hAnsi="仿宋" w:eastAsia="仿宋" w:cs="仿宋"/>
          <w:b w:val="0"/>
          <w:bCs/>
          <w:sz w:val="21"/>
          <w:szCs w:val="21"/>
          <w:highlight w:val="none"/>
        </w:rPr>
        <w:t>签订合同时与采购人协商确定</w:t>
      </w:r>
      <w:r>
        <w:rPr>
          <w:rFonts w:hint="eastAsia" w:ascii="仿宋" w:hAnsi="仿宋" w:eastAsia="仿宋" w:cs="仿宋"/>
          <w:b w:val="0"/>
          <w:bCs/>
          <w:sz w:val="21"/>
          <w:szCs w:val="21"/>
          <w:highlight w:val="none"/>
          <w:lang w:eastAsia="zh-CN"/>
        </w:rPr>
        <w:t>；</w:t>
      </w:r>
    </w:p>
    <w:p>
      <w:pPr>
        <w:pStyle w:val="28"/>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采购内容：</w:t>
      </w:r>
      <w:r>
        <w:rPr>
          <w:rFonts w:hint="eastAsia" w:ascii="仿宋" w:hAnsi="仿宋" w:eastAsia="仿宋" w:cs="仿宋"/>
          <w:sz w:val="21"/>
          <w:szCs w:val="21"/>
          <w:highlight w:val="none"/>
          <w:lang w:eastAsia="zh-CN"/>
        </w:rPr>
        <w:t>中牟县自然资源和规划局建设项目服务费；</w:t>
      </w:r>
    </w:p>
    <w:p>
      <w:pPr>
        <w:pStyle w:val="28"/>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highlight w:val="none"/>
          <w:lang w:val="en-US" w:eastAsia="zh-CN"/>
        </w:rPr>
      </w:pPr>
      <w:r>
        <w:rPr>
          <w:rFonts w:hint="eastAsia" w:ascii="仿宋" w:hAnsi="仿宋" w:eastAsia="仿宋" w:cs="仿宋"/>
          <w:b/>
          <w:sz w:val="21"/>
          <w:szCs w:val="21"/>
          <w:highlight w:val="none"/>
        </w:rPr>
        <w:t>服务要求</w:t>
      </w:r>
      <w:r>
        <w:rPr>
          <w:rFonts w:hint="eastAsia" w:ascii="仿宋" w:hAnsi="仿宋" w:eastAsia="仿宋" w:cs="仿宋"/>
          <w:b/>
          <w:sz w:val="21"/>
          <w:szCs w:val="21"/>
          <w:highlight w:val="none"/>
          <w:lang w:eastAsia="zh-CN"/>
        </w:rPr>
        <w:t>：</w:t>
      </w:r>
      <w:r>
        <w:rPr>
          <w:rFonts w:hint="eastAsia" w:ascii="仿宋" w:hAnsi="仿宋" w:eastAsia="仿宋" w:cs="仿宋"/>
          <w:b w:val="0"/>
          <w:bCs/>
          <w:sz w:val="21"/>
          <w:szCs w:val="21"/>
          <w:highlight w:val="none"/>
          <w:lang w:val="en-US" w:eastAsia="zh-CN"/>
        </w:rPr>
        <w:t>建设工程中的验线测绘及规划证附图工作</w:t>
      </w:r>
      <w:r>
        <w:rPr>
          <w:rFonts w:hint="eastAsia" w:ascii="仿宋" w:hAnsi="仿宋" w:eastAsia="仿宋" w:cs="仿宋"/>
          <w:sz w:val="21"/>
          <w:szCs w:val="21"/>
          <w:highlight w:val="none"/>
          <w:lang w:eastAsia="zh-CN"/>
        </w:rPr>
        <w:t>。</w:t>
      </w:r>
    </w:p>
    <w:p>
      <w:pPr>
        <w:pStyle w:val="28"/>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3"/>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highlight w:val="none"/>
          <w:lang w:val="en-US" w:eastAsia="zh-CN"/>
        </w:rPr>
      </w:pPr>
      <w:bookmarkStart w:id="68" w:name="_Toc18227"/>
      <w:bookmarkStart w:id="69" w:name="_Toc13133"/>
      <w:r>
        <w:rPr>
          <w:rFonts w:hint="eastAsia" w:ascii="仿宋" w:hAnsi="仿宋" w:eastAsia="仿宋" w:cs="仿宋"/>
          <w:highlight w:val="none"/>
          <w:lang w:val="en-US" w:eastAsia="zh-CN"/>
        </w:rPr>
        <w:t>合同主要条款</w:t>
      </w:r>
      <w:bookmarkEnd w:id="68"/>
      <w:bookmarkEnd w:id="69"/>
    </w:p>
    <w:p>
      <w:pPr>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仿宋" w:hAnsi="仿宋" w:eastAsia="仿宋" w:cs="仿宋"/>
          <w:spacing w:val="16"/>
          <w:sz w:val="36"/>
          <w:szCs w:val="36"/>
          <w:highlight w:val="none"/>
          <w14:textOutline w14:w="6531" w14:cap="flat" w14:cmpd="sng">
            <w14:solidFill>
              <w14:srgbClr w14:val="000000"/>
            </w14:solidFill>
            <w14:prstDash w14:val="solid"/>
            <w14:miter w14:val="0"/>
          </w14:textOutline>
        </w:rPr>
      </w:pPr>
      <w:r>
        <w:rPr>
          <w:rFonts w:hint="eastAsia" w:ascii="仿宋" w:hAnsi="仿宋" w:eastAsia="仿宋" w:cs="仿宋"/>
          <w:spacing w:val="16"/>
          <w:sz w:val="36"/>
          <w:szCs w:val="36"/>
          <w:highlight w:val="none"/>
          <w14:textOutline w14:w="6531" w14:cap="flat" w14:cmpd="sng">
            <w14:solidFill>
              <w14:srgbClr w14:val="000000"/>
            </w14:solidFill>
            <w14:prstDash w14:val="solid"/>
            <w14:miter w14:val="0"/>
          </w14:textOutline>
        </w:rPr>
        <w:t>合同协议书(供参考)</w:t>
      </w:r>
    </w:p>
    <w:p>
      <w:pPr>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color w:val="000000"/>
          <w:sz w:val="24"/>
          <w:highlight w:val="none"/>
        </w:rPr>
      </w:pPr>
      <w:bookmarkStart w:id="70" w:name="_Toc15006"/>
      <w:r>
        <w:rPr>
          <w:rFonts w:hint="eastAsia" w:ascii="仿宋" w:hAnsi="仿宋" w:eastAsia="仿宋" w:cs="仿宋"/>
          <w:b/>
          <w:bCs/>
          <w:sz w:val="32"/>
          <w:szCs w:val="40"/>
          <w:highlight w:val="none"/>
        </w:rPr>
        <w:t>技术服务合同</w:t>
      </w:r>
      <w:bookmarkEnd w:id="70"/>
    </w:p>
    <w:p>
      <w:pPr>
        <w:spacing w:line="48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发包人（甲方）</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u w:val="single"/>
        </w:rPr>
        <w:t xml:space="preserve">                               </w:t>
      </w:r>
    </w:p>
    <w:p>
      <w:pPr>
        <w:spacing w:line="48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承包人（乙方）</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u w:val="single"/>
        </w:rPr>
        <w:t xml:space="preserve">                               </w:t>
      </w:r>
    </w:p>
    <w:p>
      <w:pPr>
        <w:spacing w:line="480" w:lineRule="auto"/>
        <w:ind w:firstLine="480" w:firstLineChars="200"/>
        <w:rPr>
          <w:rFonts w:hint="default" w:ascii="仿宋" w:hAnsi="仿宋" w:eastAsia="仿宋" w:cs="仿宋"/>
          <w:color w:val="000000"/>
          <w:sz w:val="24"/>
          <w:highlight w:val="none"/>
          <w:u w:val="single"/>
          <w:lang w:val="en-US" w:eastAsia="zh-CN"/>
        </w:rPr>
      </w:pPr>
      <w:r>
        <w:rPr>
          <w:rFonts w:hint="eastAsia" w:ascii="仿宋" w:hAnsi="仿宋" w:eastAsia="仿宋" w:cs="仿宋"/>
          <w:color w:val="000000"/>
          <w:sz w:val="24"/>
          <w:highlight w:val="none"/>
        </w:rPr>
        <w:t>签订地点</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p>
    <w:p>
      <w:pPr>
        <w:spacing w:line="480" w:lineRule="auto"/>
        <w:ind w:firstLine="480" w:firstLineChars="200"/>
        <w:rPr>
          <w:rFonts w:hint="eastAsia" w:ascii="仿宋" w:hAnsi="仿宋" w:eastAsia="仿宋" w:cs="仿宋"/>
          <w:b w:val="0"/>
          <w:bCs w:val="0"/>
          <w:color w:val="000000"/>
          <w:sz w:val="24"/>
          <w:highlight w:val="none"/>
          <w:u w:val="single"/>
        </w:rPr>
      </w:pPr>
      <w:r>
        <w:rPr>
          <w:rFonts w:hint="eastAsia" w:ascii="仿宋" w:hAnsi="仿宋" w:eastAsia="仿宋" w:cs="仿宋"/>
          <w:color w:val="000000"/>
          <w:sz w:val="24"/>
          <w:highlight w:val="none"/>
        </w:rPr>
        <w:t>签订时间</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根据《中华人民共和国政府采购法》、《中华人民共和国合同法》等法律、法规规定，甲乙双方签订本合同。</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1、合同文件</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本合同所附下列文件是构成本合同不可分割的部分：</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合同基本条款</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(2)甲、乙双方商定并备案后的补充协议</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2、合同范围和条件</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本合同的范围和条件应与上述合同文件的规定相一致。</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3、合同服务内容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059"/>
        <w:gridCol w:w="832"/>
        <w:gridCol w:w="1528"/>
        <w:gridCol w:w="1614"/>
        <w:gridCol w:w="1186"/>
        <w:gridCol w:w="1428"/>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448" w:type="dxa"/>
            <w:tcBorders>
              <w:bottom w:val="single" w:color="auto" w:sz="4" w:space="0"/>
            </w:tcBorders>
            <w:noWrap w:val="0"/>
            <w:vAlign w:val="center"/>
          </w:tcPr>
          <w:p>
            <w:pPr>
              <w:spacing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序</w:t>
            </w:r>
            <w:r>
              <w:rPr>
                <w:rFonts w:hint="eastAsia" w:ascii="仿宋" w:hAnsi="仿宋" w:eastAsia="仿宋" w:cs="仿宋"/>
                <w:color w:val="000000"/>
                <w:sz w:val="24"/>
                <w:highlight w:val="none"/>
              </w:rPr>
              <w:t>号</w:t>
            </w:r>
          </w:p>
        </w:tc>
        <w:tc>
          <w:tcPr>
            <w:tcW w:w="1059" w:type="dxa"/>
            <w:tcBorders>
              <w:bottom w:val="single" w:color="auto" w:sz="4" w:space="0"/>
            </w:tcBorders>
            <w:noWrap w:val="0"/>
            <w:vAlign w:val="center"/>
          </w:tcPr>
          <w:p>
            <w:pPr>
              <w:spacing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提供服务名称</w:t>
            </w:r>
          </w:p>
        </w:tc>
        <w:tc>
          <w:tcPr>
            <w:tcW w:w="832" w:type="dxa"/>
            <w:tcBorders>
              <w:bottom w:val="single" w:color="auto" w:sz="4" w:space="0"/>
            </w:tcBorders>
            <w:noWrap w:val="0"/>
            <w:vAlign w:val="center"/>
          </w:tcPr>
          <w:p>
            <w:pPr>
              <w:spacing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质</w:t>
            </w:r>
            <w:r>
              <w:rPr>
                <w:rFonts w:hint="eastAsia" w:ascii="仿宋" w:hAnsi="仿宋" w:eastAsia="仿宋" w:cs="仿宋"/>
                <w:color w:val="000000"/>
                <w:sz w:val="24"/>
                <w:highlight w:val="none"/>
              </w:rPr>
              <w:t>量</w:t>
            </w:r>
          </w:p>
        </w:tc>
        <w:tc>
          <w:tcPr>
            <w:tcW w:w="1528" w:type="dxa"/>
            <w:tcBorders>
              <w:bottom w:val="single" w:color="auto" w:sz="4" w:space="0"/>
            </w:tcBorders>
            <w:noWrap w:val="0"/>
            <w:vAlign w:val="center"/>
          </w:tcPr>
          <w:p>
            <w:pPr>
              <w:spacing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服务全称</w:t>
            </w:r>
          </w:p>
        </w:tc>
        <w:tc>
          <w:tcPr>
            <w:tcW w:w="1614" w:type="dxa"/>
            <w:tcBorders>
              <w:bottom w:val="single" w:color="auto" w:sz="4" w:space="0"/>
            </w:tcBorders>
            <w:noWrap w:val="0"/>
            <w:vAlign w:val="center"/>
          </w:tcPr>
          <w:p>
            <w:pPr>
              <w:spacing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服</w:t>
            </w:r>
            <w:r>
              <w:rPr>
                <w:rFonts w:hint="eastAsia" w:ascii="仿宋" w:hAnsi="仿宋" w:eastAsia="仿宋" w:cs="仿宋"/>
                <w:color w:val="000000"/>
                <w:sz w:val="24"/>
                <w:highlight w:val="none"/>
              </w:rPr>
              <w:t>务内容</w:t>
            </w:r>
          </w:p>
        </w:tc>
        <w:tc>
          <w:tcPr>
            <w:tcW w:w="1186" w:type="dxa"/>
            <w:tcBorders>
              <w:bottom w:val="single" w:color="auto" w:sz="4" w:space="0"/>
            </w:tcBorders>
            <w:noWrap w:val="0"/>
            <w:vAlign w:val="center"/>
          </w:tcPr>
          <w:p>
            <w:pPr>
              <w:spacing w:line="240" w:lineRule="auto"/>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单价</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元</w:t>
            </w:r>
            <w:r>
              <w:rPr>
                <w:rFonts w:hint="eastAsia" w:ascii="仿宋" w:hAnsi="仿宋" w:eastAsia="仿宋" w:cs="仿宋"/>
                <w:color w:val="000000"/>
                <w:sz w:val="24"/>
                <w:highlight w:val="none"/>
                <w:lang w:eastAsia="zh-CN"/>
              </w:rPr>
              <w:t>）</w:t>
            </w:r>
          </w:p>
        </w:tc>
        <w:tc>
          <w:tcPr>
            <w:tcW w:w="1428" w:type="dxa"/>
            <w:tcBorders>
              <w:bottom w:val="single" w:color="auto" w:sz="4" w:space="0"/>
            </w:tcBorders>
            <w:noWrap w:val="0"/>
            <w:vAlign w:val="center"/>
          </w:tcPr>
          <w:p>
            <w:pPr>
              <w:spacing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总</w:t>
            </w:r>
            <w:r>
              <w:rPr>
                <w:rFonts w:hint="eastAsia" w:ascii="仿宋" w:hAnsi="仿宋" w:eastAsia="仿宋" w:cs="仿宋"/>
                <w:color w:val="000000"/>
                <w:sz w:val="24"/>
                <w:highlight w:val="none"/>
              </w:rPr>
              <w:t>价（元）</w:t>
            </w:r>
          </w:p>
        </w:tc>
        <w:tc>
          <w:tcPr>
            <w:tcW w:w="500" w:type="dxa"/>
            <w:tcBorders>
              <w:bottom w:val="single" w:color="auto" w:sz="4" w:space="0"/>
            </w:tcBorders>
            <w:noWrap w:val="0"/>
            <w:vAlign w:val="center"/>
          </w:tcPr>
          <w:p>
            <w:pPr>
              <w:spacing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448" w:type="dxa"/>
            <w:noWrap w:val="0"/>
            <w:vAlign w:val="center"/>
          </w:tcPr>
          <w:p>
            <w:pPr>
              <w:spacing w:line="24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59" w:type="dxa"/>
            <w:noWrap w:val="0"/>
            <w:vAlign w:val="center"/>
          </w:tcPr>
          <w:p>
            <w:pPr>
              <w:spacing w:line="240" w:lineRule="auto"/>
              <w:ind w:firstLine="794" w:firstLineChars="331"/>
              <w:rPr>
                <w:rFonts w:hint="eastAsia" w:ascii="仿宋" w:hAnsi="仿宋" w:eastAsia="仿宋" w:cs="仿宋"/>
                <w:color w:val="000000"/>
                <w:sz w:val="24"/>
                <w:highlight w:val="none"/>
              </w:rPr>
            </w:pPr>
          </w:p>
        </w:tc>
        <w:tc>
          <w:tcPr>
            <w:tcW w:w="832" w:type="dxa"/>
            <w:noWrap w:val="0"/>
            <w:vAlign w:val="center"/>
          </w:tcPr>
          <w:p>
            <w:pPr>
              <w:spacing w:line="240" w:lineRule="auto"/>
              <w:ind w:firstLine="794" w:firstLineChars="331"/>
              <w:rPr>
                <w:rFonts w:hint="eastAsia" w:ascii="仿宋" w:hAnsi="仿宋" w:eastAsia="仿宋" w:cs="仿宋"/>
                <w:color w:val="000000"/>
                <w:sz w:val="24"/>
                <w:highlight w:val="none"/>
              </w:rPr>
            </w:pPr>
          </w:p>
        </w:tc>
        <w:tc>
          <w:tcPr>
            <w:tcW w:w="1528" w:type="dxa"/>
            <w:noWrap w:val="0"/>
            <w:vAlign w:val="center"/>
          </w:tcPr>
          <w:p>
            <w:pPr>
              <w:spacing w:line="240" w:lineRule="auto"/>
              <w:ind w:firstLine="794" w:firstLineChars="331"/>
              <w:rPr>
                <w:rFonts w:hint="eastAsia" w:ascii="仿宋" w:hAnsi="仿宋" w:eastAsia="仿宋" w:cs="仿宋"/>
                <w:color w:val="000000"/>
                <w:sz w:val="24"/>
                <w:highlight w:val="none"/>
              </w:rPr>
            </w:pPr>
          </w:p>
        </w:tc>
        <w:tc>
          <w:tcPr>
            <w:tcW w:w="1614" w:type="dxa"/>
            <w:noWrap w:val="0"/>
            <w:vAlign w:val="center"/>
          </w:tcPr>
          <w:p>
            <w:pPr>
              <w:spacing w:line="240" w:lineRule="auto"/>
              <w:rPr>
                <w:rFonts w:hint="eastAsia" w:ascii="仿宋" w:hAnsi="仿宋" w:eastAsia="仿宋" w:cs="仿宋"/>
                <w:color w:val="000000"/>
                <w:sz w:val="24"/>
                <w:highlight w:val="none"/>
              </w:rPr>
            </w:pPr>
          </w:p>
        </w:tc>
        <w:tc>
          <w:tcPr>
            <w:tcW w:w="1186" w:type="dxa"/>
            <w:noWrap w:val="0"/>
            <w:vAlign w:val="center"/>
          </w:tcPr>
          <w:p>
            <w:pPr>
              <w:spacing w:line="240" w:lineRule="auto"/>
              <w:ind w:firstLine="794" w:firstLineChars="331"/>
              <w:rPr>
                <w:rFonts w:hint="eastAsia" w:ascii="仿宋" w:hAnsi="仿宋" w:eastAsia="仿宋" w:cs="仿宋"/>
                <w:color w:val="000000"/>
                <w:sz w:val="24"/>
                <w:highlight w:val="none"/>
              </w:rPr>
            </w:pPr>
          </w:p>
        </w:tc>
        <w:tc>
          <w:tcPr>
            <w:tcW w:w="1428" w:type="dxa"/>
            <w:noWrap w:val="0"/>
            <w:vAlign w:val="center"/>
          </w:tcPr>
          <w:p>
            <w:pPr>
              <w:spacing w:line="240" w:lineRule="auto"/>
              <w:ind w:firstLine="794" w:firstLineChars="331"/>
              <w:rPr>
                <w:rFonts w:hint="eastAsia" w:ascii="仿宋" w:hAnsi="仿宋" w:eastAsia="仿宋" w:cs="仿宋"/>
                <w:color w:val="000000"/>
                <w:sz w:val="24"/>
                <w:highlight w:val="none"/>
              </w:rPr>
            </w:pPr>
          </w:p>
        </w:tc>
        <w:tc>
          <w:tcPr>
            <w:tcW w:w="500" w:type="dxa"/>
            <w:noWrap w:val="0"/>
            <w:vAlign w:val="center"/>
          </w:tcPr>
          <w:p>
            <w:pPr>
              <w:spacing w:line="240" w:lineRule="auto"/>
              <w:ind w:firstLine="794" w:firstLineChars="331"/>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595" w:type="dxa"/>
            <w:gridSpan w:val="8"/>
            <w:noWrap w:val="0"/>
            <w:vAlign w:val="center"/>
          </w:tcPr>
          <w:p>
            <w:pPr>
              <w:spacing w:line="24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总报价（大写）： 万元整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8595" w:type="dxa"/>
            <w:gridSpan w:val="8"/>
            <w:noWrap w:val="0"/>
            <w:vAlign w:val="center"/>
          </w:tcPr>
          <w:p>
            <w:pPr>
              <w:spacing w:line="24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交付使用期：     年   月    号</w:t>
            </w:r>
          </w:p>
        </w:tc>
      </w:tr>
    </w:tbl>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4、合同金额</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合同的总金额为（大写）：</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万元整  ，人民币（</w:t>
      </w:r>
      <w:r>
        <w:rPr>
          <w:rFonts w:hint="default" w:ascii="Arial" w:hAnsi="Arial" w:eastAsia="仿宋" w:cs="Arial"/>
          <w:color w:val="000000"/>
          <w:sz w:val="24"/>
          <w:highlight w:val="none"/>
        </w:rPr>
        <w:t>¥</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none"/>
          <w:lang w:val="en-US" w:eastAsia="zh-CN"/>
        </w:rPr>
        <w:t>元</w:t>
      </w:r>
      <w:r>
        <w:rPr>
          <w:rFonts w:hint="eastAsia" w:ascii="仿宋" w:hAnsi="仿宋" w:eastAsia="仿宋" w:cs="仿宋"/>
          <w:color w:val="000000"/>
          <w:sz w:val="24"/>
          <w:highlight w:val="none"/>
        </w:rPr>
        <w:t xml:space="preserve">）。 </w:t>
      </w:r>
    </w:p>
    <w:p>
      <w:pPr>
        <w:numPr>
          <w:ilvl w:val="0"/>
          <w:numId w:val="12"/>
        </w:num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付款条件</w:t>
      </w:r>
    </w:p>
    <w:p>
      <w:pPr>
        <w:numPr>
          <w:ilvl w:val="0"/>
          <w:numId w:val="0"/>
        </w:num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签定合同之日起</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个工作日内，支付合同总金额的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价款。</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乙方完成全部工作量的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，甲方在十五个工作日内付至总款的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工程全部结束，甲方委托具有成果质量检验资格的机构验收，通过验收甲方接受成果，甲方付至合同总金额的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，不计利息。</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6、交付使用时间</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本合同系统的交付使用时间在合同的基本条款中有明确规定。本项目应于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日前提交经验收合格的全部成果资料和验收报告。</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7、验收办法</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本合同的验收办法在合同的基本条款中有明确规定。</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提供服务地点在</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9、合同生效及其它</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本合同一式四份，具有同等法律效力，甲乙双方各两份（可根据需要另增加）。本合同甲乙双方签字盖章后生效。</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10、延续</w:t>
      </w:r>
    </w:p>
    <w:p>
      <w:pPr>
        <w:spacing w:line="48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财政部颁发的《财库〔2014〕37号》文件第三条规定“采购需求具有相对固定性、延续性且价格变化幅度小的服务项目，在年度预算能保障的前提下，采购人可以签订不超过三年履行期限的政府采购合同。”采购人可根据供应商服务情况，续签不超过三年的采购合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9"/>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4469"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甲方（章）          </w:t>
            </w:r>
          </w:p>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年   月   日</w:t>
            </w:r>
          </w:p>
        </w:tc>
        <w:tc>
          <w:tcPr>
            <w:tcW w:w="4470"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乙方（章）              </w:t>
            </w:r>
          </w:p>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469"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单位地址：</w:t>
            </w:r>
          </w:p>
        </w:tc>
        <w:tc>
          <w:tcPr>
            <w:tcW w:w="4470"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469"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w:t>
            </w:r>
          </w:p>
        </w:tc>
        <w:tc>
          <w:tcPr>
            <w:tcW w:w="4470"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469"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委托代理人：</w:t>
            </w:r>
          </w:p>
        </w:tc>
        <w:tc>
          <w:tcPr>
            <w:tcW w:w="4470"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469"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tc>
        <w:tc>
          <w:tcPr>
            <w:tcW w:w="4470"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469"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电子邮箱：</w:t>
            </w:r>
          </w:p>
        </w:tc>
        <w:tc>
          <w:tcPr>
            <w:tcW w:w="4470"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469"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开户银行：</w:t>
            </w:r>
          </w:p>
        </w:tc>
        <w:tc>
          <w:tcPr>
            <w:tcW w:w="4470"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4469"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账号：</w:t>
            </w:r>
          </w:p>
        </w:tc>
        <w:tc>
          <w:tcPr>
            <w:tcW w:w="4470"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469"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邮政编码：</w:t>
            </w:r>
          </w:p>
        </w:tc>
        <w:tc>
          <w:tcPr>
            <w:tcW w:w="4470" w:type="dxa"/>
            <w:noWrap w:val="0"/>
            <w:vAlign w:val="center"/>
          </w:tcPr>
          <w:p>
            <w:pPr>
              <w:spacing w:line="480" w:lineRule="auto"/>
              <w:ind w:firstLine="794" w:firstLineChars="331"/>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邮政编码：</w:t>
            </w:r>
          </w:p>
        </w:tc>
      </w:tr>
    </w:tbl>
    <w:p>
      <w:pPr>
        <w:spacing w:line="480" w:lineRule="auto"/>
        <w:ind w:firstLine="794" w:firstLineChars="331"/>
        <w:rPr>
          <w:rFonts w:hint="eastAsia" w:ascii="仿宋" w:hAnsi="仿宋" w:eastAsia="仿宋" w:cs="仿宋"/>
          <w:color w:val="000000"/>
          <w:sz w:val="24"/>
          <w:highlight w:val="none"/>
        </w:rPr>
      </w:pPr>
    </w:p>
    <w:p>
      <w:pPr>
        <w:rPr>
          <w:rFonts w:hint="eastAsia" w:ascii="仿宋" w:hAnsi="仿宋" w:eastAsia="仿宋" w:cs="仿宋"/>
          <w:highlight w:val="none"/>
          <w:lang w:val="en-US" w:eastAsia="zh-CN"/>
        </w:rPr>
      </w:pPr>
      <w:r>
        <w:rPr>
          <w:rFonts w:hint="eastAsia" w:ascii="仿宋" w:hAnsi="仿宋" w:eastAsia="仿宋" w:cs="仿宋"/>
          <w:color w:val="000000"/>
          <w:sz w:val="24"/>
          <w:highlight w:val="none"/>
        </w:rPr>
        <w:t>注：以上合同格式仅供参考，相关条款在甲乙双方签订合同时另行商定。</w:t>
      </w:r>
      <w:r>
        <w:rPr>
          <w:rFonts w:hint="eastAsia" w:ascii="仿宋" w:hAnsi="仿宋" w:eastAsia="仿宋" w:cs="仿宋"/>
          <w:highlight w:val="none"/>
          <w:lang w:val="en-US" w:eastAsia="zh-CN"/>
        </w:rPr>
        <w:br w:type="page"/>
      </w:r>
    </w:p>
    <w:p>
      <w:pPr>
        <w:pStyle w:val="3"/>
        <w:bidi w:val="0"/>
        <w:jc w:val="center"/>
        <w:rPr>
          <w:rFonts w:hint="eastAsia" w:ascii="仿宋" w:hAnsi="仿宋" w:eastAsia="仿宋" w:cs="仿宋"/>
          <w:highlight w:val="none"/>
        </w:rPr>
      </w:pPr>
      <w:bookmarkStart w:id="71" w:name="_Toc21929"/>
      <w:bookmarkStart w:id="72" w:name="_Toc9526"/>
      <w:r>
        <w:rPr>
          <w:rFonts w:hint="eastAsia" w:ascii="仿宋" w:hAnsi="仿宋" w:eastAsia="仿宋" w:cs="仿宋"/>
          <w:highlight w:val="none"/>
        </w:rPr>
        <w:t>第六章 竞争性磋商响应文件格式</w:t>
      </w:r>
      <w:bookmarkEnd w:id="71"/>
      <w:bookmarkEnd w:id="72"/>
    </w:p>
    <w:p>
      <w:pPr>
        <w:spacing w:line="250" w:lineRule="auto"/>
        <w:rPr>
          <w:rFonts w:hint="eastAsia" w:ascii="仿宋" w:hAnsi="仿宋" w:eastAsia="仿宋" w:cs="仿宋"/>
          <w:sz w:val="21"/>
          <w:highlight w:val="none"/>
        </w:rPr>
      </w:pPr>
    </w:p>
    <w:p>
      <w:pPr>
        <w:spacing w:line="251" w:lineRule="auto"/>
        <w:rPr>
          <w:rFonts w:hint="eastAsia" w:ascii="仿宋" w:hAnsi="仿宋" w:eastAsia="仿宋" w:cs="仿宋"/>
          <w:sz w:val="21"/>
          <w:highlight w:val="none"/>
        </w:rPr>
      </w:pPr>
    </w:p>
    <w:p>
      <w:pPr>
        <w:spacing w:line="251" w:lineRule="auto"/>
        <w:rPr>
          <w:rFonts w:hint="eastAsia" w:ascii="仿宋" w:hAnsi="仿宋" w:eastAsia="仿宋" w:cs="仿宋"/>
          <w:sz w:val="21"/>
          <w:highlight w:val="none"/>
        </w:rPr>
      </w:pPr>
    </w:p>
    <w:p>
      <w:pPr>
        <w:spacing w:line="251" w:lineRule="auto"/>
        <w:rPr>
          <w:rFonts w:hint="eastAsia" w:ascii="仿宋" w:hAnsi="仿宋" w:eastAsia="仿宋" w:cs="仿宋"/>
          <w:sz w:val="21"/>
          <w:highlight w:val="none"/>
        </w:rPr>
      </w:pPr>
    </w:p>
    <w:p>
      <w:pPr>
        <w:spacing w:line="251" w:lineRule="auto"/>
        <w:rPr>
          <w:rFonts w:hint="eastAsia" w:ascii="仿宋" w:hAnsi="仿宋" w:eastAsia="仿宋" w:cs="仿宋"/>
          <w:sz w:val="21"/>
          <w:highlight w:val="none"/>
        </w:rPr>
      </w:pPr>
    </w:p>
    <w:p>
      <w:pPr>
        <w:spacing w:line="251" w:lineRule="auto"/>
        <w:rPr>
          <w:rFonts w:hint="eastAsia" w:ascii="仿宋" w:hAnsi="仿宋" w:eastAsia="仿宋" w:cs="仿宋"/>
          <w:sz w:val="21"/>
          <w:highlight w:val="none"/>
        </w:rPr>
      </w:pPr>
    </w:p>
    <w:p>
      <w:pPr>
        <w:tabs>
          <w:tab w:val="left" w:pos="2453"/>
        </w:tabs>
        <w:spacing w:before="117" w:line="220" w:lineRule="auto"/>
        <w:jc w:val="center"/>
        <w:rPr>
          <w:rFonts w:hint="eastAsia" w:ascii="仿宋" w:hAnsi="仿宋" w:eastAsia="仿宋" w:cs="仿宋"/>
          <w:sz w:val="36"/>
          <w:szCs w:val="36"/>
          <w:highlight w:val="none"/>
        </w:rPr>
      </w:pPr>
      <w:r>
        <w:rPr>
          <w:rFonts w:hint="eastAsia" w:ascii="仿宋" w:hAnsi="仿宋" w:eastAsia="仿宋" w:cs="仿宋"/>
          <w:spacing w:val="-3"/>
          <w:sz w:val="36"/>
          <w:szCs w:val="36"/>
          <w:highlight w:val="none"/>
          <w:u w:val="single" w:color="auto"/>
          <w:lang w:val="en-US" w:eastAsia="zh-CN"/>
        </w:rPr>
        <w:t xml:space="preserve">        </w:t>
      </w:r>
      <w:r>
        <w:rPr>
          <w:rFonts w:hint="eastAsia" w:ascii="仿宋" w:hAnsi="仿宋" w:eastAsia="仿宋" w:cs="仿宋"/>
          <w:spacing w:val="-3"/>
          <w:sz w:val="36"/>
          <w:szCs w:val="36"/>
          <w:highlight w:val="none"/>
          <w:u w:val="single" w:color="auto"/>
        </w:rPr>
        <w:t xml:space="preserve">(项目名称)        </w:t>
      </w:r>
      <w:r>
        <w:rPr>
          <w:rFonts w:hint="eastAsia" w:ascii="仿宋" w:hAnsi="仿宋" w:eastAsia="仿宋" w:cs="仿宋"/>
          <w:spacing w:val="-3"/>
          <w:sz w:val="36"/>
          <w:szCs w:val="36"/>
          <w:highlight w:val="none"/>
        </w:rPr>
        <w:t xml:space="preserve"> 竞争性磋商</w:t>
      </w:r>
    </w:p>
    <w:p>
      <w:pPr>
        <w:spacing w:line="246" w:lineRule="auto"/>
        <w:rPr>
          <w:rFonts w:hint="eastAsia" w:ascii="仿宋" w:hAnsi="仿宋" w:eastAsia="仿宋" w:cs="仿宋"/>
          <w:sz w:val="21"/>
          <w:highlight w:val="none"/>
        </w:rPr>
      </w:pPr>
    </w:p>
    <w:p>
      <w:pPr>
        <w:spacing w:line="247" w:lineRule="auto"/>
        <w:rPr>
          <w:rFonts w:hint="eastAsia" w:ascii="仿宋" w:hAnsi="仿宋" w:eastAsia="仿宋" w:cs="仿宋"/>
          <w:sz w:val="21"/>
          <w:highlight w:val="none"/>
        </w:rPr>
      </w:pPr>
    </w:p>
    <w:p>
      <w:pPr>
        <w:spacing w:line="247" w:lineRule="auto"/>
        <w:rPr>
          <w:rFonts w:hint="eastAsia" w:ascii="仿宋" w:hAnsi="仿宋" w:eastAsia="仿宋" w:cs="仿宋"/>
          <w:sz w:val="21"/>
          <w:highlight w:val="none"/>
        </w:rPr>
      </w:pPr>
    </w:p>
    <w:p>
      <w:pPr>
        <w:spacing w:line="247" w:lineRule="auto"/>
        <w:rPr>
          <w:rFonts w:hint="eastAsia" w:ascii="仿宋" w:hAnsi="仿宋" w:eastAsia="仿宋" w:cs="仿宋"/>
          <w:sz w:val="21"/>
          <w:highlight w:val="none"/>
        </w:rPr>
      </w:pPr>
    </w:p>
    <w:p>
      <w:pPr>
        <w:spacing w:before="273" w:line="220" w:lineRule="auto"/>
        <w:rPr>
          <w:rFonts w:hint="eastAsia" w:ascii="仿宋" w:hAnsi="仿宋" w:eastAsia="仿宋" w:cs="仿宋"/>
          <w:spacing w:val="-15"/>
          <w:sz w:val="84"/>
          <w:szCs w:val="84"/>
          <w:highlight w:val="none"/>
          <w14:textOutline w14:w="15240" w14:cap="flat" w14:cmpd="sng">
            <w14:solidFill>
              <w14:srgbClr w14:val="000000"/>
            </w14:solidFill>
            <w14:prstDash w14:val="solid"/>
            <w14:miter w14:val="0"/>
          </w14:textOutli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spacing w:line="249" w:lineRule="auto"/>
        <w:rPr>
          <w:rFonts w:hint="eastAsia" w:ascii="仿宋" w:hAnsi="仿宋" w:eastAsia="仿宋" w:cs="仿宋"/>
          <w:sz w:val="21"/>
          <w:highlight w:val="none"/>
        </w:rPr>
      </w:pPr>
    </w:p>
    <w:p>
      <w:pPr>
        <w:pStyle w:val="12"/>
        <w:rPr>
          <w:rFonts w:hint="eastAsia" w:ascii="仿宋" w:hAnsi="仿宋" w:eastAsia="仿宋" w:cs="仿宋"/>
          <w:highlight w:val="none"/>
        </w:rPr>
      </w:pPr>
    </w:p>
    <w:p>
      <w:pPr>
        <w:spacing w:line="249" w:lineRule="auto"/>
        <w:rPr>
          <w:rFonts w:hint="eastAsia" w:ascii="仿宋" w:hAnsi="仿宋" w:eastAsia="仿宋" w:cs="仿宋"/>
          <w:sz w:val="21"/>
          <w:highlight w:val="none"/>
        </w:rPr>
      </w:pPr>
    </w:p>
    <w:p>
      <w:pPr>
        <w:spacing w:line="250" w:lineRule="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before="72" w:line="360" w:lineRule="auto"/>
        <w:ind w:firstLine="420" w:firstLineChars="0"/>
        <w:textAlignment w:val="auto"/>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供应商：</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(电子签章</w:t>
      </w:r>
      <w:r>
        <w:rPr>
          <w:rFonts w:hint="eastAsia" w:ascii="仿宋" w:hAnsi="仿宋" w:eastAsia="仿宋" w:cs="仿宋"/>
          <w:spacing w:val="-1"/>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207" w:line="360" w:lineRule="auto"/>
        <w:ind w:firstLine="420" w:firstLineChars="0"/>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法定代表人或</w:t>
      </w:r>
      <w:r>
        <w:rPr>
          <w:rFonts w:hint="eastAsia" w:ascii="仿宋" w:hAnsi="仿宋" w:eastAsia="仿宋" w:cs="仿宋"/>
          <w:spacing w:val="-4"/>
          <w:sz w:val="28"/>
          <w:szCs w:val="28"/>
          <w:highlight w:val="none"/>
        </w:rPr>
        <w:t>授</w:t>
      </w:r>
      <w:r>
        <w:rPr>
          <w:rFonts w:hint="eastAsia" w:ascii="仿宋" w:hAnsi="仿宋" w:eastAsia="仿宋" w:cs="仿宋"/>
          <w:spacing w:val="-3"/>
          <w:sz w:val="28"/>
          <w:szCs w:val="28"/>
          <w:highlight w:val="none"/>
        </w:rPr>
        <w:t>权委托人：</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(电子签章或签字)</w:t>
      </w:r>
    </w:p>
    <w:p>
      <w:pPr>
        <w:keepNext w:val="0"/>
        <w:keepLines w:val="0"/>
        <w:pageBreakBefore w:val="0"/>
        <w:widowControl w:val="0"/>
        <w:kinsoku/>
        <w:wordWrap/>
        <w:overflowPunct/>
        <w:topLinePunct w:val="0"/>
        <w:autoSpaceDE/>
        <w:autoSpaceDN/>
        <w:bidi w:val="0"/>
        <w:adjustRightInd/>
        <w:snapToGrid/>
        <w:spacing w:before="207" w:line="360" w:lineRule="auto"/>
        <w:ind w:firstLine="420" w:firstLineChars="0"/>
        <w:textAlignment w:val="auto"/>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日</w:t>
      </w:r>
      <w:r>
        <w:rPr>
          <w:rFonts w:hint="eastAsia" w:ascii="仿宋" w:hAnsi="仿宋" w:eastAsia="仿宋" w:cs="仿宋"/>
          <w:spacing w:val="-5"/>
          <w:sz w:val="28"/>
          <w:szCs w:val="28"/>
          <w:highlight w:val="none"/>
        </w:rPr>
        <w:t xml:space="preserve"> 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rPr>
        <w:sectPr>
          <w:headerReference r:id="rId6" w:type="default"/>
          <w:footerReference r:id="rId7" w:type="default"/>
          <w:pgSz w:w="11907" w:h="16839"/>
          <w:pgMar w:top="1361" w:right="1361" w:bottom="1361" w:left="1361" w:header="1077" w:footer="854" w:gutter="0"/>
          <w:pgBorders>
            <w:top w:val="none" w:sz="0" w:space="0"/>
            <w:left w:val="none" w:sz="0" w:space="0"/>
            <w:bottom w:val="none" w:sz="0" w:space="0"/>
            <w:right w:val="none" w:sz="0" w:space="0"/>
          </w:pgBorders>
          <w:pgNumType w:fmt="decimal"/>
          <w:cols w:space="720" w:num="1"/>
        </w:sectPr>
      </w:pPr>
    </w:p>
    <w:p>
      <w:pPr>
        <w:spacing w:before="117" w:line="222" w:lineRule="auto"/>
        <w:jc w:val="center"/>
        <w:rPr>
          <w:rFonts w:hint="eastAsia" w:ascii="仿宋" w:hAnsi="仿宋" w:eastAsia="仿宋" w:cs="仿宋"/>
          <w:sz w:val="36"/>
          <w:szCs w:val="36"/>
          <w:highlight w:val="none"/>
        </w:rPr>
      </w:pPr>
      <w:r>
        <w:rPr>
          <w:rFonts w:hint="eastAsia" w:ascii="仿宋" w:hAnsi="仿宋" w:eastAsia="仿宋" w:cs="仿宋"/>
          <w:spacing w:val="-23"/>
          <w:sz w:val="36"/>
          <w:szCs w:val="36"/>
          <w:highlight w:val="none"/>
          <w14:textOutline w14:w="6531" w14:cap="flat" w14:cmpd="sng">
            <w14:solidFill>
              <w14:srgbClr w14:val="000000"/>
            </w14:solidFill>
            <w14:prstDash w14:val="solid"/>
            <w14:miter w14:val="0"/>
          </w14:textOutline>
        </w:rPr>
        <w:t>目</w:t>
      </w:r>
      <w:r>
        <w:rPr>
          <w:rFonts w:hint="eastAsia" w:ascii="仿宋" w:hAnsi="仿宋" w:eastAsia="仿宋" w:cs="仿宋"/>
          <w:spacing w:val="-21"/>
          <w:sz w:val="36"/>
          <w:szCs w:val="36"/>
          <w:highlight w:val="none"/>
        </w:rPr>
        <w:t xml:space="preserve"> </w:t>
      </w:r>
      <w:r>
        <w:rPr>
          <w:rFonts w:hint="eastAsia" w:ascii="仿宋" w:hAnsi="仿宋" w:eastAsia="仿宋" w:cs="仿宋"/>
          <w:spacing w:val="-21"/>
          <w:sz w:val="36"/>
          <w:szCs w:val="36"/>
          <w:highlight w:val="none"/>
          <w14:textOutline w14:w="6531" w14:cap="flat" w14:cmpd="sng">
            <w14:solidFill>
              <w14:srgbClr w14:val="000000"/>
            </w14:solidFill>
            <w14:prstDash w14:val="solid"/>
            <w14:miter w14:val="0"/>
          </w14:textOutline>
        </w:rPr>
        <w:t>录</w:t>
      </w:r>
    </w:p>
    <w:p>
      <w:pPr>
        <w:spacing w:line="292" w:lineRule="auto"/>
        <w:rPr>
          <w:rFonts w:hint="eastAsia" w:ascii="仿宋" w:hAnsi="仿宋" w:eastAsia="仿宋" w:cs="仿宋"/>
          <w:sz w:val="21"/>
          <w:highlight w:val="none"/>
        </w:rPr>
      </w:pPr>
    </w:p>
    <w:p>
      <w:pPr>
        <w:keepNext w:val="0"/>
        <w:keepLines w:val="0"/>
        <w:pageBreakBefore w:val="0"/>
        <w:widowControl w:val="0"/>
        <w:kinsoku/>
        <w:wordWrap/>
        <w:overflowPunct/>
        <w:topLinePunct w:val="0"/>
        <w:autoSpaceDE/>
        <w:autoSpaceDN/>
        <w:bidi w:val="0"/>
        <w:adjustRightInd/>
        <w:snapToGrid/>
        <w:spacing w:before="217" w:line="360" w:lineRule="auto"/>
        <w:ind w:left="45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一、磋商函及磋商函附录</w:t>
      </w:r>
    </w:p>
    <w:p>
      <w:pPr>
        <w:keepNext w:val="0"/>
        <w:keepLines w:val="0"/>
        <w:pageBreakBefore w:val="0"/>
        <w:widowControl w:val="0"/>
        <w:kinsoku/>
        <w:wordWrap/>
        <w:overflowPunct/>
        <w:topLinePunct w:val="0"/>
        <w:autoSpaceDE/>
        <w:autoSpaceDN/>
        <w:bidi w:val="0"/>
        <w:adjustRightInd/>
        <w:snapToGrid/>
        <w:spacing w:before="217" w:line="360" w:lineRule="auto"/>
        <w:ind w:left="45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w:t>
      </w:r>
    </w:p>
    <w:p>
      <w:pPr>
        <w:keepNext w:val="0"/>
        <w:keepLines w:val="0"/>
        <w:pageBreakBefore w:val="0"/>
        <w:widowControl w:val="0"/>
        <w:kinsoku/>
        <w:wordWrap/>
        <w:overflowPunct/>
        <w:topLinePunct w:val="0"/>
        <w:autoSpaceDE/>
        <w:autoSpaceDN/>
        <w:bidi w:val="0"/>
        <w:adjustRightInd/>
        <w:snapToGrid/>
        <w:spacing w:before="217" w:line="360" w:lineRule="auto"/>
        <w:ind w:left="45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三、授权委托书</w:t>
      </w:r>
    </w:p>
    <w:p>
      <w:pPr>
        <w:keepNext w:val="0"/>
        <w:keepLines w:val="0"/>
        <w:pageBreakBefore w:val="0"/>
        <w:widowControl w:val="0"/>
        <w:kinsoku/>
        <w:wordWrap/>
        <w:overflowPunct/>
        <w:topLinePunct w:val="0"/>
        <w:autoSpaceDE/>
        <w:autoSpaceDN/>
        <w:bidi w:val="0"/>
        <w:adjustRightInd/>
        <w:snapToGrid/>
        <w:spacing w:before="217" w:line="360" w:lineRule="auto"/>
        <w:ind w:left="458"/>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四、供应商基本情况</w:t>
      </w:r>
    </w:p>
    <w:p>
      <w:pPr>
        <w:keepNext w:val="0"/>
        <w:keepLines w:val="0"/>
        <w:pageBreakBefore w:val="0"/>
        <w:widowControl w:val="0"/>
        <w:kinsoku/>
        <w:wordWrap/>
        <w:overflowPunct/>
        <w:topLinePunct w:val="0"/>
        <w:autoSpaceDE/>
        <w:autoSpaceDN/>
        <w:bidi w:val="0"/>
        <w:adjustRightInd/>
        <w:snapToGrid/>
        <w:spacing w:before="217" w:line="360" w:lineRule="auto"/>
        <w:ind w:left="458"/>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五、技术部分</w:t>
      </w:r>
    </w:p>
    <w:p>
      <w:pPr>
        <w:keepNext w:val="0"/>
        <w:keepLines w:val="0"/>
        <w:pageBreakBefore w:val="0"/>
        <w:widowControl w:val="0"/>
        <w:kinsoku/>
        <w:wordWrap/>
        <w:overflowPunct/>
        <w:topLinePunct w:val="0"/>
        <w:autoSpaceDE/>
        <w:autoSpaceDN/>
        <w:bidi w:val="0"/>
        <w:adjustRightInd/>
        <w:snapToGrid/>
        <w:spacing w:before="217" w:line="360" w:lineRule="auto"/>
        <w:ind w:left="458"/>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六、商务部分</w:t>
      </w:r>
    </w:p>
    <w:p>
      <w:pPr>
        <w:keepNext w:val="0"/>
        <w:keepLines w:val="0"/>
        <w:pageBreakBefore w:val="0"/>
        <w:widowControl w:val="0"/>
        <w:kinsoku/>
        <w:wordWrap/>
        <w:overflowPunct/>
        <w:topLinePunct w:val="0"/>
        <w:autoSpaceDE/>
        <w:autoSpaceDN/>
        <w:bidi w:val="0"/>
        <w:adjustRightInd/>
        <w:snapToGrid/>
        <w:spacing w:before="217" w:line="360" w:lineRule="auto"/>
        <w:ind w:left="458"/>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七、供应商认为需提供的反映其实力的其他材料</w:t>
      </w:r>
    </w:p>
    <w:p>
      <w:pPr>
        <w:rPr>
          <w:rFonts w:hint="eastAsia" w:ascii="仿宋" w:hAnsi="仿宋" w:eastAsia="仿宋" w:cs="仿宋"/>
          <w:highlight w:val="none"/>
        </w:rPr>
      </w:pPr>
      <w:r>
        <w:rPr>
          <w:rFonts w:hint="eastAsia" w:ascii="仿宋" w:hAnsi="仿宋" w:eastAsia="仿宋" w:cs="仿宋"/>
          <w:highlight w:val="none"/>
        </w:rPr>
        <w:br w:type="page"/>
      </w:r>
    </w:p>
    <w:p>
      <w:pPr>
        <w:pStyle w:val="4"/>
        <w:keepNext/>
        <w:keepLines/>
        <w:pageBreakBefore w:val="0"/>
        <w:widowControl w:val="0"/>
        <w:numPr>
          <w:ilvl w:val="1"/>
          <w:numId w:val="0"/>
        </w:numPr>
        <w:kinsoku/>
        <w:wordWrap/>
        <w:overflowPunct/>
        <w:topLinePunct w:val="0"/>
        <w:autoSpaceDE/>
        <w:autoSpaceDN/>
        <w:bidi w:val="0"/>
        <w:snapToGrid/>
        <w:spacing w:line="240" w:lineRule="auto"/>
        <w:jc w:val="center"/>
        <w:rPr>
          <w:rFonts w:hint="eastAsia" w:ascii="仿宋" w:hAnsi="仿宋" w:eastAsia="仿宋" w:cs="仿宋"/>
          <w:highlight w:val="none"/>
        </w:rPr>
      </w:pPr>
      <w:bookmarkStart w:id="73" w:name="_Toc15001"/>
      <w:bookmarkStart w:id="74" w:name="_Toc6521"/>
      <w:r>
        <w:rPr>
          <w:rFonts w:hint="eastAsia" w:ascii="仿宋" w:hAnsi="仿宋" w:eastAsia="仿宋" w:cs="仿宋"/>
          <w:highlight w:val="none"/>
        </w:rPr>
        <w:t>一、磋商函及磋商函附录</w:t>
      </w:r>
      <w:bookmarkEnd w:id="73"/>
      <w:bookmarkEnd w:id="74"/>
    </w:p>
    <w:p>
      <w:pPr>
        <w:pStyle w:val="5"/>
        <w:bidi w:val="0"/>
        <w:jc w:val="center"/>
        <w:rPr>
          <w:rFonts w:hint="eastAsia" w:ascii="仿宋" w:hAnsi="仿宋" w:eastAsia="仿宋" w:cs="仿宋"/>
          <w:highlight w:val="none"/>
        </w:rPr>
      </w:pPr>
      <w:bookmarkStart w:id="75" w:name="_Toc3851"/>
      <w:bookmarkStart w:id="76" w:name="_Toc26590"/>
      <w:r>
        <w:rPr>
          <w:rFonts w:hint="eastAsia" w:ascii="仿宋" w:hAnsi="仿宋" w:eastAsia="仿宋" w:cs="仿宋"/>
          <w:highlight w:val="none"/>
        </w:rPr>
        <w:t>(一) 磋商函</w:t>
      </w:r>
      <w:bookmarkEnd w:id="75"/>
      <w:bookmarkEnd w:id="76"/>
    </w:p>
    <w:p>
      <w:pPr>
        <w:keepNext w:val="0"/>
        <w:keepLines w:val="0"/>
        <w:pageBreakBefore w:val="0"/>
        <w:widowControl w:val="0"/>
        <w:kinsoku/>
        <w:wordWrap/>
        <w:overflowPunct/>
        <w:topLinePunct w:val="0"/>
        <w:autoSpaceDE/>
        <w:autoSpaceDN/>
        <w:bidi w:val="0"/>
        <w:adjustRightInd/>
        <w:snapToGrid/>
        <w:spacing w:before="312" w:line="360" w:lineRule="auto"/>
        <w:ind w:left="518"/>
        <w:textAlignment w:val="auto"/>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 xml:space="preserve">致： </w:t>
      </w:r>
      <w:r>
        <w:rPr>
          <w:rFonts w:hint="eastAsia" w:ascii="仿宋" w:hAnsi="仿宋" w:eastAsia="仿宋" w:cs="仿宋"/>
          <w:spacing w:val="-5"/>
          <w:sz w:val="21"/>
          <w:szCs w:val="21"/>
          <w:highlight w:val="none"/>
          <w:u w:val="single" w:color="auto"/>
        </w:rPr>
        <w:t xml:space="preserve">                </w:t>
      </w:r>
      <w:r>
        <w:rPr>
          <w:rFonts w:hint="eastAsia" w:ascii="仿宋" w:hAnsi="仿宋" w:eastAsia="仿宋" w:cs="仿宋"/>
          <w:b/>
          <w:bCs/>
          <w:spacing w:val="-5"/>
          <w:sz w:val="21"/>
          <w:szCs w:val="21"/>
          <w:highlight w:val="none"/>
          <w:u w:val="single" w:color="auto"/>
        </w:rPr>
        <w:t>(</w:t>
      </w:r>
      <w:r>
        <w:rPr>
          <w:rFonts w:hint="eastAsia" w:ascii="仿宋" w:hAnsi="仿宋" w:eastAsia="仿宋" w:cs="仿宋"/>
          <w:spacing w:val="-5"/>
          <w:sz w:val="21"/>
          <w:szCs w:val="21"/>
          <w:highlight w:val="none"/>
          <w:u w:val="single" w:color="auto"/>
          <w14:textOutline w14:w="4354" w14:cap="flat" w14:cmpd="sng">
            <w14:solidFill>
              <w14:srgbClr w14:val="000000"/>
            </w14:solidFill>
            <w14:prstDash w14:val="solid"/>
            <w14:miter w14:val="0"/>
          </w14:textOutline>
        </w:rPr>
        <w:t>采购人</w:t>
      </w:r>
      <w:r>
        <w:rPr>
          <w:rFonts w:hint="eastAsia" w:ascii="仿宋" w:hAnsi="仿宋" w:eastAsia="仿宋" w:cs="仿宋"/>
          <w:b/>
          <w:bCs/>
          <w:spacing w:val="-5"/>
          <w:sz w:val="21"/>
          <w:szCs w:val="21"/>
          <w:highlight w:val="none"/>
          <w:u w:val="single" w:color="auto"/>
        </w:rPr>
        <w:t>)</w:t>
      </w:r>
    </w:p>
    <w:p>
      <w:pPr>
        <w:keepNext w:val="0"/>
        <w:keepLines w:val="0"/>
        <w:pageBreakBefore w:val="0"/>
        <w:widowControl w:val="0"/>
        <w:kinsoku/>
        <w:wordWrap/>
        <w:overflowPunct/>
        <w:topLinePunct w:val="0"/>
        <w:autoSpaceDE/>
        <w:autoSpaceDN/>
        <w:bidi w:val="0"/>
        <w:adjustRightInd/>
        <w:snapToGrid/>
        <w:spacing w:before="221" w:line="360" w:lineRule="auto"/>
        <w:ind w:left="57" w:right="84" w:firstLine="462"/>
        <w:textAlignment w:val="auto"/>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我方经详细研究，我方决定参加</w:t>
      </w:r>
      <w:r>
        <w:rPr>
          <w:rFonts w:hint="eastAsia" w:ascii="仿宋" w:hAnsi="仿宋" w:eastAsia="仿宋" w:cs="仿宋"/>
          <w:spacing w:val="-3"/>
          <w:sz w:val="21"/>
          <w:szCs w:val="21"/>
          <w:highlight w:val="none"/>
          <w:u w:val="single" w:color="auto"/>
        </w:rPr>
        <w:t xml:space="preserve">          (项目名称)   </w:t>
      </w:r>
      <w:r>
        <w:rPr>
          <w:rFonts w:hint="eastAsia" w:ascii="仿宋" w:hAnsi="仿宋" w:eastAsia="仿宋" w:cs="仿宋"/>
          <w:spacing w:val="-3"/>
          <w:sz w:val="21"/>
          <w:szCs w:val="21"/>
          <w:highlight w:val="none"/>
        </w:rPr>
        <w:t xml:space="preserve"> 项目</w:t>
      </w:r>
      <w:r>
        <w:rPr>
          <w:rFonts w:hint="eastAsia" w:ascii="仿宋" w:hAnsi="仿宋" w:eastAsia="仿宋" w:cs="仿宋"/>
          <w:spacing w:val="-4"/>
          <w:sz w:val="21"/>
          <w:szCs w:val="21"/>
          <w:highlight w:val="none"/>
        </w:rPr>
        <w:t>的采购活动，我方</w:t>
      </w:r>
      <w:r>
        <w:rPr>
          <w:rFonts w:hint="eastAsia" w:ascii="仿宋" w:hAnsi="仿宋" w:eastAsia="仿宋" w:cs="仿宋"/>
          <w:spacing w:val="-2"/>
          <w:sz w:val="21"/>
          <w:szCs w:val="21"/>
          <w:highlight w:val="none"/>
        </w:rPr>
        <w:t>郑重声明以下诸点并负法律责任。</w:t>
      </w:r>
    </w:p>
    <w:p>
      <w:pPr>
        <w:keepNext w:val="0"/>
        <w:keepLines w:val="0"/>
        <w:pageBreakBefore w:val="0"/>
        <w:widowControl w:val="0"/>
        <w:kinsoku/>
        <w:wordWrap/>
        <w:overflowPunct/>
        <w:topLinePunct w:val="0"/>
        <w:autoSpaceDE/>
        <w:autoSpaceDN/>
        <w:bidi w:val="0"/>
        <w:adjustRightInd/>
        <w:snapToGrid/>
        <w:spacing w:line="360" w:lineRule="auto"/>
        <w:ind w:left="40" w:right="86" w:firstLine="479"/>
        <w:textAlignment w:val="auto"/>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我方经研究有关文件后，我</w:t>
      </w:r>
      <w:r>
        <w:rPr>
          <w:rFonts w:hint="eastAsia" w:ascii="仿宋" w:hAnsi="仿宋" w:eastAsia="仿宋" w:cs="仿宋"/>
          <w:sz w:val="21"/>
          <w:szCs w:val="21"/>
          <w:highlight w:val="none"/>
        </w:rPr>
        <w:t xml:space="preserve">方愿意以磋商函附录的报价，按磋商文件、合同 </w:t>
      </w:r>
      <w:r>
        <w:rPr>
          <w:rFonts w:hint="eastAsia" w:ascii="仿宋" w:hAnsi="仿宋" w:eastAsia="仿宋" w:cs="仿宋"/>
          <w:spacing w:val="-4"/>
          <w:sz w:val="21"/>
          <w:szCs w:val="21"/>
          <w:highlight w:val="none"/>
        </w:rPr>
        <w:t>条款等</w:t>
      </w:r>
      <w:r>
        <w:rPr>
          <w:rFonts w:hint="eastAsia" w:ascii="仿宋" w:hAnsi="仿宋" w:eastAsia="仿宋" w:cs="仿宋"/>
          <w:spacing w:val="-2"/>
          <w:sz w:val="21"/>
          <w:szCs w:val="21"/>
          <w:highlight w:val="none"/>
        </w:rPr>
        <w:t>的条件要求承包上述项目全部内容。</w:t>
      </w:r>
    </w:p>
    <w:p>
      <w:pPr>
        <w:keepNext w:val="0"/>
        <w:keepLines w:val="0"/>
        <w:pageBreakBefore w:val="0"/>
        <w:widowControl w:val="0"/>
        <w:kinsoku/>
        <w:wordWrap/>
        <w:overflowPunct/>
        <w:topLinePunct w:val="0"/>
        <w:autoSpaceDE/>
        <w:autoSpaceDN/>
        <w:bidi w:val="0"/>
        <w:adjustRightInd/>
        <w:snapToGrid/>
        <w:spacing w:line="360" w:lineRule="auto"/>
        <w:ind w:left="524"/>
        <w:textAlignment w:val="auto"/>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(1)如</w:t>
      </w:r>
      <w:r>
        <w:rPr>
          <w:rFonts w:hint="eastAsia" w:ascii="仿宋" w:hAnsi="仿宋" w:eastAsia="仿宋" w:cs="仿宋"/>
          <w:spacing w:val="5"/>
          <w:sz w:val="21"/>
          <w:szCs w:val="21"/>
          <w:highlight w:val="none"/>
        </w:rPr>
        <w:t>果我方的响应文件被接受，我方将履行磋商文件中规定的各项要求。</w:t>
      </w:r>
    </w:p>
    <w:p>
      <w:pPr>
        <w:keepNext w:val="0"/>
        <w:keepLines w:val="0"/>
        <w:pageBreakBefore w:val="0"/>
        <w:widowControl w:val="0"/>
        <w:kinsoku/>
        <w:wordWrap/>
        <w:overflowPunct/>
        <w:topLinePunct w:val="0"/>
        <w:autoSpaceDE/>
        <w:autoSpaceDN/>
        <w:bidi w:val="0"/>
        <w:adjustRightInd/>
        <w:snapToGrid/>
        <w:spacing w:before="214" w:line="360" w:lineRule="auto"/>
        <w:ind w:left="42" w:right="84" w:firstLine="481"/>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(2) 我方同</w:t>
      </w:r>
      <w:r>
        <w:rPr>
          <w:rFonts w:hint="eastAsia" w:ascii="仿宋" w:hAnsi="仿宋" w:eastAsia="仿宋" w:cs="仿宋"/>
          <w:spacing w:val="-3"/>
          <w:sz w:val="21"/>
          <w:szCs w:val="21"/>
          <w:highlight w:val="none"/>
        </w:rPr>
        <w:t>意按磋商文件中的规定， 本响应文件的有效期为开标后</w:t>
      </w:r>
      <w:r>
        <w:rPr>
          <w:rFonts w:hint="eastAsia" w:ascii="仿宋" w:hAnsi="仿宋" w:eastAsia="仿宋" w:cs="仿宋"/>
          <w:spacing w:val="-3"/>
          <w:sz w:val="21"/>
          <w:szCs w:val="21"/>
          <w:highlight w:val="none"/>
          <w:u w:val="single" w:color="auto"/>
        </w:rPr>
        <w:t xml:space="preserve">    </w:t>
      </w:r>
      <w:r>
        <w:rPr>
          <w:rFonts w:hint="eastAsia" w:ascii="仿宋" w:hAnsi="仿宋" w:eastAsia="仿宋" w:cs="仿宋"/>
          <w:spacing w:val="-3"/>
          <w:sz w:val="21"/>
          <w:szCs w:val="21"/>
          <w:highlight w:val="none"/>
        </w:rPr>
        <w:t>日历</w:t>
      </w:r>
      <w:r>
        <w:rPr>
          <w:rFonts w:hint="eastAsia" w:ascii="仿宋" w:hAnsi="仿宋" w:eastAsia="仿宋" w:cs="仿宋"/>
          <w:spacing w:val="-13"/>
          <w:sz w:val="21"/>
          <w:szCs w:val="21"/>
          <w:highlight w:val="none"/>
        </w:rPr>
        <w:t>天</w:t>
      </w:r>
      <w:r>
        <w:rPr>
          <w:rFonts w:hint="eastAsia" w:ascii="仿宋" w:hAnsi="仿宋" w:eastAsia="仿宋" w:cs="仿宋"/>
          <w:spacing w:val="-12"/>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1" w:line="360" w:lineRule="auto"/>
        <w:ind w:left="524"/>
        <w:textAlignment w:val="auto"/>
        <w:rPr>
          <w:rFonts w:hint="eastAsia" w:ascii="仿宋" w:hAnsi="仿宋" w:eastAsia="仿宋" w:cs="仿宋"/>
          <w:sz w:val="21"/>
          <w:szCs w:val="21"/>
          <w:highlight w:val="none"/>
        </w:rPr>
      </w:pPr>
      <w:r>
        <w:rPr>
          <w:rFonts w:hint="eastAsia" w:ascii="仿宋" w:hAnsi="仿宋" w:eastAsia="仿宋" w:cs="仿宋"/>
          <w:spacing w:val="13"/>
          <w:sz w:val="21"/>
          <w:szCs w:val="21"/>
          <w:highlight w:val="none"/>
        </w:rPr>
        <w:t>(</w:t>
      </w:r>
      <w:r>
        <w:rPr>
          <w:rFonts w:hint="eastAsia" w:ascii="仿宋" w:hAnsi="仿宋" w:eastAsia="仿宋" w:cs="仿宋"/>
          <w:spacing w:val="8"/>
          <w:sz w:val="21"/>
          <w:szCs w:val="21"/>
          <w:highlight w:val="none"/>
        </w:rPr>
        <w:t>3)我方愿提供磋商文件中要求的所有文件资料。</w:t>
      </w:r>
    </w:p>
    <w:p>
      <w:pPr>
        <w:keepNext w:val="0"/>
        <w:keepLines w:val="0"/>
        <w:pageBreakBefore w:val="0"/>
        <w:widowControl w:val="0"/>
        <w:kinsoku/>
        <w:wordWrap/>
        <w:overflowPunct/>
        <w:topLinePunct w:val="0"/>
        <w:autoSpaceDE/>
        <w:autoSpaceDN/>
        <w:bidi w:val="0"/>
        <w:adjustRightInd/>
        <w:snapToGrid/>
        <w:spacing w:before="214" w:line="360" w:lineRule="auto"/>
        <w:ind w:left="37" w:right="88" w:firstLine="487"/>
        <w:textAlignment w:val="auto"/>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(4) 我方已经详细审核了全部磋商文件， 包括修改、补充的文件和参考</w:t>
      </w:r>
      <w:r>
        <w:rPr>
          <w:rFonts w:hint="eastAsia" w:ascii="仿宋" w:hAnsi="仿宋" w:eastAsia="仿宋" w:cs="仿宋"/>
          <w:spacing w:val="-3"/>
          <w:sz w:val="21"/>
          <w:szCs w:val="21"/>
          <w:highlight w:val="none"/>
        </w:rPr>
        <w:t>资</w:t>
      </w:r>
      <w:r>
        <w:rPr>
          <w:rFonts w:hint="eastAsia" w:ascii="仿宋" w:hAnsi="仿宋" w:eastAsia="仿宋" w:cs="仿宋"/>
          <w:sz w:val="21"/>
          <w:szCs w:val="21"/>
          <w:highlight w:val="none"/>
        </w:rPr>
        <w:t>料</w:t>
      </w:r>
      <w:r>
        <w:rPr>
          <w:rFonts w:hint="eastAsia" w:ascii="仿宋" w:hAnsi="仿宋" w:eastAsia="仿宋" w:cs="仿宋"/>
          <w:spacing w:val="-2"/>
          <w:sz w:val="21"/>
          <w:szCs w:val="21"/>
          <w:highlight w:val="none"/>
        </w:rPr>
        <w:t>及有关附件，我方完全理</w:t>
      </w:r>
      <w:r>
        <w:rPr>
          <w:rFonts w:hint="eastAsia" w:ascii="仿宋" w:hAnsi="仿宋" w:eastAsia="仿宋" w:cs="仿宋"/>
          <w:spacing w:val="-1"/>
          <w:sz w:val="21"/>
          <w:szCs w:val="21"/>
          <w:highlight w:val="none"/>
        </w:rPr>
        <w:t>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before="2" w:line="360" w:lineRule="auto"/>
        <w:ind w:left="524"/>
        <w:textAlignment w:val="auto"/>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(5)</w:t>
      </w:r>
      <w:r>
        <w:rPr>
          <w:rFonts w:hint="eastAsia" w:ascii="仿宋" w:hAnsi="仿宋" w:eastAsia="仿宋" w:cs="仿宋"/>
          <w:spacing w:val="9"/>
          <w:sz w:val="21"/>
          <w:szCs w:val="21"/>
          <w:highlight w:val="none"/>
        </w:rPr>
        <w:t>我</w:t>
      </w:r>
      <w:r>
        <w:rPr>
          <w:rFonts w:hint="eastAsia" w:ascii="仿宋" w:hAnsi="仿宋" w:eastAsia="仿宋" w:cs="仿宋"/>
          <w:spacing w:val="5"/>
          <w:sz w:val="21"/>
          <w:szCs w:val="21"/>
          <w:highlight w:val="none"/>
        </w:rPr>
        <w:t>方承诺，若我方成交，我方将按国家标准足额支付采购代理服务费。</w:t>
      </w:r>
    </w:p>
    <w:p>
      <w:pPr>
        <w:keepNext w:val="0"/>
        <w:keepLines w:val="0"/>
        <w:pageBreakBefore w:val="0"/>
        <w:widowControl w:val="0"/>
        <w:kinsoku/>
        <w:wordWrap/>
        <w:overflowPunct/>
        <w:topLinePunct w:val="0"/>
        <w:autoSpaceDE/>
        <w:autoSpaceDN/>
        <w:bidi w:val="0"/>
        <w:adjustRightInd/>
        <w:snapToGrid/>
        <w:spacing w:before="214" w:line="360" w:lineRule="auto"/>
        <w:ind w:left="39" w:right="86" w:firstLine="485"/>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(6) 我方承诺在</w:t>
      </w:r>
      <w:r>
        <w:rPr>
          <w:rFonts w:hint="eastAsia" w:ascii="仿宋" w:hAnsi="仿宋" w:eastAsia="仿宋" w:cs="仿宋"/>
          <w:spacing w:val="-4"/>
          <w:sz w:val="21"/>
          <w:szCs w:val="21"/>
          <w:highlight w:val="none"/>
        </w:rPr>
        <w:t>收</w:t>
      </w:r>
      <w:r>
        <w:rPr>
          <w:rFonts w:hint="eastAsia" w:ascii="仿宋" w:hAnsi="仿宋" w:eastAsia="仿宋" w:cs="仿宋"/>
          <w:spacing w:val="-3"/>
          <w:sz w:val="21"/>
          <w:szCs w:val="21"/>
          <w:highlight w:val="none"/>
        </w:rPr>
        <w:t>到成交通知书后， 在成交通知书规定的期限内与你方签订合同，并按要求实施项目合同。</w:t>
      </w:r>
    </w:p>
    <w:p>
      <w:pPr>
        <w:keepNext w:val="0"/>
        <w:keepLines w:val="0"/>
        <w:pageBreakBefore w:val="0"/>
        <w:widowControl w:val="0"/>
        <w:kinsoku/>
        <w:wordWrap/>
        <w:overflowPunct/>
        <w:topLinePunct w:val="0"/>
        <w:autoSpaceDE/>
        <w:autoSpaceDN/>
        <w:bidi w:val="0"/>
        <w:adjustRightInd/>
        <w:snapToGrid/>
        <w:spacing w:before="3" w:line="360" w:lineRule="auto"/>
        <w:ind w:left="38" w:firstLine="486"/>
        <w:textAlignment w:val="auto"/>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(7)我</w:t>
      </w:r>
      <w:r>
        <w:rPr>
          <w:rFonts w:hint="eastAsia" w:ascii="仿宋" w:hAnsi="仿宋" w:eastAsia="仿宋" w:cs="仿宋"/>
          <w:spacing w:val="5"/>
          <w:sz w:val="21"/>
          <w:szCs w:val="21"/>
          <w:highlight w:val="none"/>
        </w:rPr>
        <w:t>方在此声明，所提交的响应文件及有关材料内容完整、真实、准确。</w:t>
      </w:r>
      <w:r>
        <w:rPr>
          <w:rFonts w:hint="eastAsia" w:ascii="仿宋" w:hAnsi="仿宋" w:eastAsia="仿宋" w:cs="仿宋"/>
          <w:spacing w:val="12"/>
          <w:sz w:val="21"/>
          <w:szCs w:val="21"/>
          <w:highlight w:val="none"/>
        </w:rPr>
        <w:t>不存在</w:t>
      </w:r>
      <w:r>
        <w:rPr>
          <w:rFonts w:hint="eastAsia" w:ascii="仿宋" w:hAnsi="仿宋" w:eastAsia="仿宋" w:cs="仿宋"/>
          <w:spacing w:val="8"/>
          <w:sz w:val="21"/>
          <w:szCs w:val="21"/>
          <w:highlight w:val="none"/>
        </w:rPr>
        <w:t>虚</w:t>
      </w:r>
      <w:r>
        <w:rPr>
          <w:rFonts w:hint="eastAsia" w:ascii="仿宋" w:hAnsi="仿宋" w:eastAsia="仿宋" w:cs="仿宋"/>
          <w:spacing w:val="6"/>
          <w:sz w:val="21"/>
          <w:szCs w:val="21"/>
          <w:highlight w:val="none"/>
        </w:rPr>
        <w:t>假(包括隐瞒)。我方承诺如存在虚假投标活动，我方自愿按有关规定</w:t>
      </w:r>
      <w:r>
        <w:rPr>
          <w:rFonts w:hint="eastAsia" w:ascii="仿宋" w:hAnsi="仿宋" w:eastAsia="仿宋" w:cs="仿宋"/>
          <w:sz w:val="21"/>
          <w:szCs w:val="21"/>
          <w:highlight w:val="none"/>
        </w:rPr>
        <w:t xml:space="preserve"> </w:t>
      </w:r>
      <w:r>
        <w:rPr>
          <w:rFonts w:hint="eastAsia" w:ascii="仿宋" w:hAnsi="仿宋" w:eastAsia="仿宋" w:cs="仿宋"/>
          <w:spacing w:val="-8"/>
          <w:sz w:val="21"/>
          <w:szCs w:val="21"/>
          <w:highlight w:val="none"/>
        </w:rPr>
        <w:t>承</w:t>
      </w:r>
      <w:r>
        <w:rPr>
          <w:rFonts w:hint="eastAsia" w:ascii="仿宋" w:hAnsi="仿宋" w:eastAsia="仿宋" w:cs="仿宋"/>
          <w:spacing w:val="-7"/>
          <w:sz w:val="21"/>
          <w:szCs w:val="21"/>
          <w:highlight w:val="none"/>
        </w:rPr>
        <w:t>担责任。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before="78" w:line="360" w:lineRule="auto"/>
        <w:ind w:left="2520" w:leftChars="0" w:firstLine="420" w:firstLineChars="0"/>
        <w:textAlignment w:val="auto"/>
        <w:rPr>
          <w:rFonts w:hint="eastAsia" w:ascii="仿宋" w:hAnsi="仿宋" w:eastAsia="仿宋" w:cs="仿宋"/>
          <w:sz w:val="21"/>
          <w:szCs w:val="21"/>
          <w:highlight w:val="none"/>
        </w:rPr>
      </w:pPr>
      <w:r>
        <w:rPr>
          <w:rFonts w:hint="eastAsia" w:ascii="仿宋" w:hAnsi="仿宋" w:eastAsia="仿宋" w:cs="仿宋"/>
          <w:spacing w:val="16"/>
          <w:sz w:val="21"/>
          <w:szCs w:val="21"/>
          <w:highlight w:val="none"/>
        </w:rPr>
        <w:t>供应商(电子签章)</w:t>
      </w:r>
      <w:r>
        <w:rPr>
          <w:rFonts w:hint="eastAsia" w:ascii="仿宋" w:hAnsi="仿宋" w:eastAsia="仿宋" w:cs="仿宋"/>
          <w:spacing w:val="15"/>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184" w:line="360" w:lineRule="auto"/>
        <w:ind w:left="2520" w:leftChars="0" w:firstLine="420" w:firstLineChars="0"/>
        <w:textAlignment w:val="auto"/>
        <w:rPr>
          <w:rFonts w:hint="eastAsia" w:ascii="仿宋" w:hAnsi="仿宋" w:eastAsia="仿宋" w:cs="仿宋"/>
          <w:sz w:val="21"/>
          <w:szCs w:val="21"/>
          <w:highlight w:val="none"/>
        </w:rPr>
      </w:pPr>
      <w:r>
        <w:rPr>
          <w:rFonts w:hint="eastAsia" w:ascii="仿宋" w:hAnsi="仿宋" w:eastAsia="仿宋" w:cs="仿宋"/>
          <w:spacing w:val="14"/>
          <w:position w:val="17"/>
          <w:sz w:val="21"/>
          <w:szCs w:val="21"/>
          <w:highlight w:val="none"/>
        </w:rPr>
        <w:t>法</w:t>
      </w:r>
      <w:r>
        <w:rPr>
          <w:rFonts w:hint="eastAsia" w:ascii="仿宋" w:hAnsi="仿宋" w:eastAsia="仿宋" w:cs="仿宋"/>
          <w:spacing w:val="8"/>
          <w:position w:val="17"/>
          <w:sz w:val="21"/>
          <w:szCs w:val="21"/>
          <w:highlight w:val="none"/>
        </w:rPr>
        <w:t>定代表人或授权委托代理人(电子签章或签字)：</w:t>
      </w:r>
    </w:p>
    <w:p>
      <w:pPr>
        <w:keepNext w:val="0"/>
        <w:keepLines w:val="0"/>
        <w:pageBreakBefore w:val="0"/>
        <w:widowControl w:val="0"/>
        <w:kinsoku/>
        <w:wordWrap/>
        <w:overflowPunct/>
        <w:topLinePunct w:val="0"/>
        <w:autoSpaceDE/>
        <w:autoSpaceDN/>
        <w:bidi w:val="0"/>
        <w:adjustRightInd/>
        <w:snapToGrid/>
        <w:spacing w:line="360" w:lineRule="auto"/>
        <w:ind w:left="2520" w:leftChars="0" w:firstLine="420" w:firstLineChars="0"/>
        <w:textAlignment w:val="auto"/>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 xml:space="preserve">日 </w:t>
      </w:r>
      <w:r>
        <w:rPr>
          <w:rFonts w:hint="eastAsia" w:ascii="仿宋" w:hAnsi="仿宋" w:eastAsia="仿宋" w:cs="仿宋"/>
          <w:spacing w:val="-7"/>
          <w:sz w:val="21"/>
          <w:szCs w:val="21"/>
          <w:highlight w:val="none"/>
        </w:rPr>
        <w:t xml:space="preserve"> </w:t>
      </w:r>
      <w:r>
        <w:rPr>
          <w:rFonts w:hint="eastAsia" w:ascii="仿宋" w:hAnsi="仿宋" w:eastAsia="仿宋" w:cs="仿宋"/>
          <w:spacing w:val="-4"/>
          <w:sz w:val="21"/>
          <w:szCs w:val="21"/>
          <w:highlight w:val="none"/>
        </w:rPr>
        <w:t>期：</w:t>
      </w:r>
      <w:r>
        <w:rPr>
          <w:rFonts w:hint="eastAsia" w:ascii="仿宋" w:hAnsi="仿宋" w:eastAsia="仿宋" w:cs="仿宋"/>
          <w:spacing w:val="-4"/>
          <w:sz w:val="21"/>
          <w:szCs w:val="21"/>
          <w:highlight w:val="none"/>
          <w:u w:val="single" w:color="auto"/>
        </w:rPr>
        <w:t xml:space="preserve">         </w:t>
      </w:r>
      <w:r>
        <w:rPr>
          <w:rFonts w:hint="eastAsia" w:ascii="仿宋" w:hAnsi="仿宋" w:eastAsia="仿宋" w:cs="仿宋"/>
          <w:spacing w:val="-4"/>
          <w:sz w:val="21"/>
          <w:szCs w:val="21"/>
          <w:highlight w:val="none"/>
        </w:rPr>
        <w:t>年</w:t>
      </w:r>
      <w:r>
        <w:rPr>
          <w:rFonts w:hint="eastAsia" w:ascii="仿宋" w:hAnsi="仿宋" w:eastAsia="仿宋" w:cs="仿宋"/>
          <w:spacing w:val="-4"/>
          <w:sz w:val="21"/>
          <w:szCs w:val="21"/>
          <w:highlight w:val="none"/>
          <w:u w:val="single" w:color="auto"/>
        </w:rPr>
        <w:t xml:space="preserve">     </w:t>
      </w:r>
      <w:r>
        <w:rPr>
          <w:rFonts w:hint="eastAsia" w:ascii="仿宋" w:hAnsi="仿宋" w:eastAsia="仿宋" w:cs="仿宋"/>
          <w:spacing w:val="-4"/>
          <w:sz w:val="21"/>
          <w:szCs w:val="21"/>
          <w:highlight w:val="none"/>
        </w:rPr>
        <w:t>月</w:t>
      </w:r>
      <w:r>
        <w:rPr>
          <w:rFonts w:hint="eastAsia" w:ascii="仿宋" w:hAnsi="仿宋" w:eastAsia="仿宋" w:cs="仿宋"/>
          <w:spacing w:val="-4"/>
          <w:sz w:val="21"/>
          <w:szCs w:val="21"/>
          <w:highlight w:val="none"/>
          <w:u w:val="single" w:color="auto"/>
        </w:rPr>
        <w:t xml:space="preserve">     </w:t>
      </w:r>
      <w:r>
        <w:rPr>
          <w:rFonts w:hint="eastAsia" w:ascii="仿宋" w:hAnsi="仿宋" w:eastAsia="仿宋" w:cs="仿宋"/>
          <w:spacing w:val="-4"/>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bookmarkStart w:id="77" w:name="_Toc26175"/>
      <w:r>
        <w:rPr>
          <w:rFonts w:hint="eastAsia" w:ascii="仿宋" w:hAnsi="仿宋" w:eastAsia="仿宋" w:cs="仿宋"/>
          <w:sz w:val="21"/>
          <w:szCs w:val="21"/>
          <w:highlight w:val="none"/>
        </w:rPr>
        <w:br w:type="page"/>
      </w:r>
    </w:p>
    <w:p>
      <w:pPr>
        <w:pStyle w:val="5"/>
        <w:bidi w:val="0"/>
        <w:jc w:val="center"/>
        <w:rPr>
          <w:rFonts w:hint="eastAsia" w:ascii="仿宋" w:hAnsi="仿宋" w:eastAsia="仿宋" w:cs="仿宋"/>
          <w:highlight w:val="none"/>
        </w:rPr>
      </w:pPr>
      <w:bookmarkStart w:id="78" w:name="_Toc25780"/>
      <w:r>
        <w:rPr>
          <w:rFonts w:hint="eastAsia" w:ascii="仿宋" w:hAnsi="仿宋" w:eastAsia="仿宋" w:cs="仿宋"/>
          <w:highlight w:val="none"/>
        </w:rPr>
        <w:t xml:space="preserve">(二) </w:t>
      </w:r>
      <w:bookmarkEnd w:id="77"/>
      <w:bookmarkStart w:id="79" w:name="_Toc28307"/>
      <w:bookmarkStart w:id="80" w:name="_Toc22152"/>
      <w:bookmarkStart w:id="81" w:name="_Toc28941"/>
      <w:bookmarkStart w:id="82" w:name="_Toc38633053"/>
      <w:bookmarkStart w:id="83" w:name="_Toc9484"/>
      <w:bookmarkStart w:id="84" w:name="_Toc25091"/>
      <w:r>
        <w:rPr>
          <w:rFonts w:hint="eastAsia" w:ascii="仿宋" w:hAnsi="仿宋" w:eastAsia="仿宋" w:cs="仿宋"/>
          <w:highlight w:val="none"/>
        </w:rPr>
        <w:t>磋商响应函附录</w:t>
      </w:r>
      <w:bookmarkEnd w:id="78"/>
      <w:bookmarkEnd w:id="79"/>
      <w:bookmarkEnd w:id="80"/>
      <w:bookmarkEnd w:id="81"/>
      <w:bookmarkEnd w:id="82"/>
      <w:bookmarkEnd w:id="83"/>
      <w:bookmarkEnd w:id="84"/>
    </w:p>
    <w:p>
      <w:pPr>
        <w:spacing w:line="119" w:lineRule="exact"/>
        <w:rPr>
          <w:rFonts w:hint="eastAsia" w:ascii="仿宋" w:hAnsi="仿宋" w:eastAsia="仿宋" w:cs="仿宋"/>
          <w:highlight w:val="none"/>
        </w:rPr>
      </w:pPr>
    </w:p>
    <w:tbl>
      <w:tblPr>
        <w:tblStyle w:val="19"/>
        <w:tblW w:w="867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0"/>
        <w:gridCol w:w="1298"/>
        <w:gridCol w:w="69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2" w:hRule="atLeast"/>
        </w:trPr>
        <w:tc>
          <w:tcPr>
            <w:tcW w:w="430" w:type="dxa"/>
            <w:tcBorders>
              <w:top w:val="single" w:color="auto" w:sz="8" w:space="0"/>
              <w:left w:val="single" w:color="auto" w:sz="8"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2"/>
                <w:highlight w:val="none"/>
              </w:rPr>
            </w:pPr>
            <w:r>
              <w:rPr>
                <w:rFonts w:hint="eastAsia" w:ascii="仿宋" w:hAnsi="仿宋" w:eastAsia="仿宋" w:cs="仿宋"/>
                <w:color w:val="auto"/>
                <w:kern w:val="2"/>
                <w:sz w:val="21"/>
                <w:szCs w:val="22"/>
                <w:highlight w:val="none"/>
              </w:rPr>
              <w:t>1</w:t>
            </w:r>
          </w:p>
        </w:tc>
        <w:tc>
          <w:tcPr>
            <w:tcW w:w="1298" w:type="dxa"/>
            <w:tcBorders>
              <w:top w:val="single" w:color="auto" w:sz="8" w:space="0"/>
              <w:left w:val="single" w:color="auto" w:sz="4"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2"/>
                <w:highlight w:val="none"/>
              </w:rPr>
            </w:pPr>
            <w:r>
              <w:rPr>
                <w:rFonts w:hint="eastAsia" w:ascii="仿宋" w:hAnsi="仿宋" w:eastAsia="仿宋" w:cs="仿宋"/>
                <w:color w:val="auto"/>
                <w:spacing w:val="-3"/>
                <w:sz w:val="21"/>
                <w:szCs w:val="22"/>
                <w:highlight w:val="none"/>
              </w:rPr>
              <w:t>项目名称</w:t>
            </w:r>
          </w:p>
        </w:tc>
        <w:tc>
          <w:tcPr>
            <w:tcW w:w="6950" w:type="dxa"/>
            <w:tcBorders>
              <w:top w:val="single" w:color="auto" w:sz="8" w:space="0"/>
              <w:left w:val="single" w:color="auto" w:sz="4" w:space="0"/>
              <w:bottom w:val="single" w:color="auto" w:sz="4" w:space="0"/>
              <w:right w:val="single" w:color="auto" w:sz="8" w:space="0"/>
            </w:tcBorders>
            <w:noWrap w:val="0"/>
            <w:vAlign w:val="center"/>
          </w:tcPr>
          <w:p>
            <w:pPr>
              <w:pStyle w:val="16"/>
              <w:tabs>
                <w:tab w:val="left" w:pos="4230"/>
              </w:tabs>
              <w:autoSpaceDE w:val="0"/>
              <w:autoSpaceDN w:val="0"/>
              <w:jc w:val="left"/>
              <w:rPr>
                <w:rFonts w:hint="eastAsia" w:ascii="仿宋" w:hAnsi="仿宋" w:eastAsia="仿宋" w:cs="仿宋"/>
                <w:color w:val="auto"/>
                <w:sz w:val="21"/>
                <w:szCs w:val="22"/>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0" w:hRule="atLeast"/>
        </w:trPr>
        <w:tc>
          <w:tcPr>
            <w:tcW w:w="430" w:type="dxa"/>
            <w:tcBorders>
              <w:top w:val="single" w:color="auto" w:sz="4" w:space="0"/>
              <w:left w:val="single" w:color="auto" w:sz="8"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2"/>
                <w:highlight w:val="none"/>
                <w:lang w:eastAsia="zh-CN"/>
              </w:rPr>
            </w:pPr>
            <w:r>
              <w:rPr>
                <w:rFonts w:hint="eastAsia" w:ascii="仿宋" w:hAnsi="仿宋" w:eastAsia="仿宋" w:cs="仿宋"/>
                <w:color w:val="auto"/>
                <w:spacing w:val="-3"/>
                <w:sz w:val="21"/>
                <w:szCs w:val="22"/>
                <w:highlight w:val="none"/>
                <w:lang w:val="en-US" w:eastAsia="zh-CN"/>
              </w:rPr>
              <w:t>2</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2"/>
                <w:highlight w:val="none"/>
              </w:rPr>
            </w:pPr>
            <w:r>
              <w:rPr>
                <w:rFonts w:hint="eastAsia" w:ascii="仿宋" w:hAnsi="仿宋" w:eastAsia="仿宋" w:cs="仿宋"/>
                <w:color w:val="auto"/>
                <w:spacing w:val="-3"/>
                <w:sz w:val="21"/>
                <w:szCs w:val="22"/>
                <w:highlight w:val="none"/>
              </w:rPr>
              <w:t>供应商名称</w:t>
            </w:r>
          </w:p>
        </w:tc>
        <w:tc>
          <w:tcPr>
            <w:tcW w:w="6950" w:type="dxa"/>
            <w:tcBorders>
              <w:top w:val="single" w:color="auto" w:sz="4" w:space="0"/>
              <w:left w:val="single" w:color="auto" w:sz="4" w:space="0"/>
              <w:bottom w:val="single" w:color="auto" w:sz="4" w:space="0"/>
              <w:right w:val="single" w:color="auto" w:sz="8" w:space="0"/>
            </w:tcBorders>
            <w:noWrap w:val="0"/>
            <w:vAlign w:val="center"/>
          </w:tcPr>
          <w:p>
            <w:pPr>
              <w:pStyle w:val="16"/>
              <w:autoSpaceDE w:val="0"/>
              <w:autoSpaceDN w:val="0"/>
              <w:jc w:val="center"/>
              <w:rPr>
                <w:rFonts w:hint="eastAsia" w:ascii="仿宋" w:hAnsi="仿宋" w:eastAsia="仿宋" w:cs="仿宋"/>
                <w:color w:val="auto"/>
                <w:sz w:val="20"/>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0" w:hRule="atLeast"/>
        </w:trPr>
        <w:tc>
          <w:tcPr>
            <w:tcW w:w="430" w:type="dxa"/>
            <w:tcBorders>
              <w:top w:val="single" w:color="auto" w:sz="4" w:space="0"/>
              <w:left w:val="single" w:color="auto" w:sz="8"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2"/>
                <w:highlight w:val="none"/>
                <w:lang w:eastAsia="zh-CN"/>
              </w:rPr>
            </w:pPr>
            <w:r>
              <w:rPr>
                <w:rFonts w:hint="eastAsia" w:ascii="仿宋" w:hAnsi="仿宋" w:eastAsia="仿宋" w:cs="仿宋"/>
                <w:color w:val="auto"/>
                <w:spacing w:val="-3"/>
                <w:sz w:val="21"/>
                <w:szCs w:val="22"/>
                <w:highlight w:val="none"/>
                <w:lang w:val="en-US" w:eastAsia="zh-CN"/>
              </w:rPr>
              <w:t>3</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2"/>
                <w:highlight w:val="none"/>
                <w:lang w:val="en-US" w:eastAsia="zh-CN"/>
              </w:rPr>
            </w:pPr>
            <w:r>
              <w:rPr>
                <w:rFonts w:hint="eastAsia" w:ascii="仿宋" w:hAnsi="仿宋" w:eastAsia="仿宋" w:cs="仿宋"/>
                <w:color w:val="auto"/>
                <w:sz w:val="21"/>
                <w:szCs w:val="22"/>
                <w:highlight w:val="none"/>
                <w:lang w:val="en-US" w:eastAsia="zh-CN"/>
              </w:rPr>
              <w:t>磋商内容</w:t>
            </w:r>
          </w:p>
        </w:tc>
        <w:tc>
          <w:tcPr>
            <w:tcW w:w="6950" w:type="dxa"/>
            <w:tcBorders>
              <w:top w:val="single" w:color="auto" w:sz="4" w:space="0"/>
              <w:left w:val="single" w:color="auto" w:sz="4" w:space="0"/>
              <w:bottom w:val="single" w:color="auto" w:sz="4" w:space="0"/>
              <w:right w:val="single" w:color="auto" w:sz="8" w:space="0"/>
            </w:tcBorders>
            <w:noWrap w:val="0"/>
            <w:vAlign w:val="center"/>
          </w:tcPr>
          <w:p>
            <w:pPr>
              <w:pStyle w:val="16"/>
              <w:autoSpaceDE w:val="0"/>
              <w:autoSpaceDN w:val="0"/>
              <w:jc w:val="center"/>
              <w:rPr>
                <w:rFonts w:hint="eastAsia" w:ascii="仿宋" w:hAnsi="仿宋" w:eastAsia="仿宋" w:cs="仿宋"/>
                <w:color w:val="auto"/>
                <w:spacing w:val="-3"/>
                <w:sz w:val="21"/>
                <w:szCs w:val="22"/>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0" w:hRule="atLeast"/>
        </w:trPr>
        <w:tc>
          <w:tcPr>
            <w:tcW w:w="430" w:type="dxa"/>
            <w:tcBorders>
              <w:top w:val="single" w:color="auto" w:sz="4" w:space="0"/>
              <w:left w:val="single" w:color="auto" w:sz="8"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2"/>
                <w:highlight w:val="none"/>
                <w:lang w:eastAsia="zh-CN"/>
              </w:rPr>
            </w:pPr>
            <w:r>
              <w:rPr>
                <w:rFonts w:hint="eastAsia" w:ascii="仿宋" w:hAnsi="仿宋" w:eastAsia="仿宋" w:cs="仿宋"/>
                <w:color w:val="auto"/>
                <w:spacing w:val="-3"/>
                <w:sz w:val="21"/>
                <w:szCs w:val="22"/>
                <w:highlight w:val="none"/>
                <w:lang w:val="en-US" w:eastAsia="zh-CN"/>
              </w:rPr>
              <w:t>4</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2"/>
                <w:highlight w:val="none"/>
                <w:lang w:eastAsia="zh-CN"/>
              </w:rPr>
            </w:pPr>
            <w:r>
              <w:rPr>
                <w:rFonts w:hint="eastAsia" w:ascii="仿宋" w:hAnsi="仿宋" w:eastAsia="仿宋" w:cs="仿宋"/>
                <w:color w:val="auto"/>
                <w:spacing w:val="-3"/>
                <w:sz w:val="21"/>
                <w:szCs w:val="22"/>
                <w:highlight w:val="none"/>
              </w:rPr>
              <w:t>磋商报价</w:t>
            </w:r>
          </w:p>
        </w:tc>
        <w:tc>
          <w:tcPr>
            <w:tcW w:w="6950" w:type="dxa"/>
            <w:tcBorders>
              <w:top w:val="single" w:color="auto" w:sz="4" w:space="0"/>
              <w:left w:val="single" w:color="auto" w:sz="4" w:space="0"/>
              <w:bottom w:val="single" w:color="auto" w:sz="4" w:space="0"/>
              <w:right w:val="single" w:color="auto" w:sz="8" w:space="0"/>
            </w:tcBorders>
            <w:noWrap w:val="0"/>
            <w:vAlign w:val="center"/>
          </w:tcPr>
          <w:p>
            <w:pPr>
              <w:pStyle w:val="16"/>
              <w:tabs>
                <w:tab w:val="left" w:pos="3266"/>
                <w:tab w:val="left" w:pos="5261"/>
              </w:tabs>
              <w:autoSpaceDE w:val="0"/>
              <w:autoSpaceDN w:val="0"/>
              <w:jc w:val="both"/>
              <w:rPr>
                <w:rFonts w:hint="eastAsia" w:ascii="仿宋" w:hAnsi="仿宋" w:eastAsia="仿宋" w:cs="仿宋"/>
                <w:color w:val="auto"/>
                <w:sz w:val="21"/>
                <w:szCs w:val="22"/>
                <w:highlight w:val="none"/>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0" w:hRule="atLeast"/>
        </w:trPr>
        <w:tc>
          <w:tcPr>
            <w:tcW w:w="430" w:type="dxa"/>
            <w:tcBorders>
              <w:top w:val="single" w:color="auto" w:sz="4" w:space="0"/>
              <w:left w:val="single" w:color="auto" w:sz="8"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pacing w:val="-3"/>
                <w:sz w:val="21"/>
                <w:szCs w:val="22"/>
                <w:highlight w:val="none"/>
                <w:lang w:val="en-US" w:eastAsia="zh-CN"/>
              </w:rPr>
            </w:pPr>
            <w:r>
              <w:rPr>
                <w:rFonts w:hint="eastAsia" w:ascii="仿宋" w:hAnsi="仿宋" w:eastAsia="仿宋" w:cs="仿宋"/>
                <w:color w:val="auto"/>
                <w:spacing w:val="-3"/>
                <w:sz w:val="21"/>
                <w:szCs w:val="22"/>
                <w:highlight w:val="none"/>
                <w:lang w:val="en-US" w:eastAsia="zh-CN"/>
              </w:rPr>
              <w:t>5</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2"/>
                <w:highlight w:val="none"/>
                <w:lang w:val="en-US" w:eastAsia="zh-CN" w:bidi="ar"/>
              </w:rPr>
            </w:pPr>
            <w:r>
              <w:rPr>
                <w:rFonts w:hint="eastAsia" w:ascii="仿宋" w:hAnsi="仿宋" w:eastAsia="仿宋" w:cs="仿宋"/>
                <w:color w:val="000000"/>
                <w:szCs w:val="21"/>
                <w:highlight w:val="none"/>
              </w:rPr>
              <w:t>服务期限</w:t>
            </w:r>
          </w:p>
        </w:tc>
        <w:tc>
          <w:tcPr>
            <w:tcW w:w="6950" w:type="dxa"/>
            <w:tcBorders>
              <w:top w:val="single" w:color="auto" w:sz="4" w:space="0"/>
              <w:left w:val="single" w:color="auto" w:sz="4" w:space="0"/>
              <w:bottom w:val="single" w:color="auto" w:sz="4" w:space="0"/>
              <w:right w:val="single" w:color="auto" w:sz="8" w:space="0"/>
            </w:tcBorders>
            <w:noWrap w:val="0"/>
            <w:vAlign w:val="center"/>
          </w:tcPr>
          <w:p>
            <w:pPr>
              <w:pStyle w:val="16"/>
              <w:autoSpaceDE w:val="0"/>
              <w:autoSpaceDN w:val="0"/>
              <w:ind w:left="0" w:leftChars="0" w:right="0" w:rightChars="0"/>
              <w:jc w:val="center"/>
              <w:rPr>
                <w:rFonts w:hint="eastAsia" w:ascii="仿宋" w:hAnsi="仿宋" w:eastAsia="仿宋" w:cs="仿宋"/>
                <w:color w:val="auto"/>
                <w:kern w:val="0"/>
                <w:sz w:val="20"/>
                <w:szCs w:val="22"/>
                <w:highlight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0" w:hRule="atLeast"/>
        </w:trPr>
        <w:tc>
          <w:tcPr>
            <w:tcW w:w="430" w:type="dxa"/>
            <w:tcBorders>
              <w:top w:val="single" w:color="auto" w:sz="4" w:space="0"/>
              <w:left w:val="single" w:color="auto" w:sz="8"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2"/>
                <w:highlight w:val="none"/>
                <w:lang w:eastAsia="zh-CN"/>
              </w:rPr>
            </w:pPr>
            <w:r>
              <w:rPr>
                <w:rFonts w:hint="eastAsia" w:ascii="仿宋" w:hAnsi="仿宋" w:eastAsia="仿宋" w:cs="仿宋"/>
                <w:color w:val="auto"/>
                <w:spacing w:val="-3"/>
                <w:sz w:val="21"/>
                <w:szCs w:val="22"/>
                <w:highlight w:val="none"/>
                <w:lang w:val="en-US" w:eastAsia="zh-CN"/>
              </w:rPr>
              <w:t>6</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kern w:val="0"/>
                <w:sz w:val="14"/>
                <w:szCs w:val="22"/>
                <w:highlight w:val="none"/>
                <w:lang w:val="en-US" w:eastAsia="zh-CN" w:bidi="ar"/>
              </w:rPr>
            </w:pPr>
            <w:r>
              <w:rPr>
                <w:rFonts w:hint="eastAsia" w:ascii="仿宋" w:hAnsi="仿宋" w:eastAsia="仿宋" w:cs="仿宋"/>
                <w:color w:val="000000"/>
                <w:szCs w:val="21"/>
                <w:highlight w:val="none"/>
              </w:rPr>
              <w:t>质量要求</w:t>
            </w:r>
          </w:p>
        </w:tc>
        <w:tc>
          <w:tcPr>
            <w:tcW w:w="6950" w:type="dxa"/>
            <w:tcBorders>
              <w:top w:val="single" w:color="auto" w:sz="4" w:space="0"/>
              <w:left w:val="single" w:color="auto" w:sz="4" w:space="0"/>
              <w:bottom w:val="single" w:color="auto" w:sz="4" w:space="0"/>
              <w:right w:val="single" w:color="auto" w:sz="8" w:space="0"/>
            </w:tcBorders>
            <w:noWrap w:val="0"/>
            <w:vAlign w:val="center"/>
          </w:tcPr>
          <w:p>
            <w:pPr>
              <w:pStyle w:val="16"/>
              <w:autoSpaceDE w:val="0"/>
              <w:autoSpaceDN w:val="0"/>
              <w:ind w:left="0" w:leftChars="0" w:right="0" w:rightChars="0"/>
              <w:jc w:val="center"/>
              <w:rPr>
                <w:rFonts w:hint="eastAsia" w:ascii="仿宋" w:hAnsi="仿宋" w:eastAsia="仿宋" w:cs="仿宋"/>
                <w:color w:val="auto"/>
                <w:kern w:val="0"/>
                <w:sz w:val="20"/>
                <w:szCs w:val="22"/>
                <w:highlight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0" w:hRule="atLeast"/>
        </w:trPr>
        <w:tc>
          <w:tcPr>
            <w:tcW w:w="430" w:type="dxa"/>
            <w:tcBorders>
              <w:top w:val="single" w:color="auto" w:sz="4" w:space="0"/>
              <w:left w:val="single" w:color="auto" w:sz="8" w:space="0"/>
              <w:bottom w:val="single" w:color="auto" w:sz="4" w:space="0"/>
              <w:right w:val="single" w:color="auto" w:sz="4" w:space="0"/>
            </w:tcBorders>
            <w:noWrap w:val="0"/>
            <w:vAlign w:val="center"/>
          </w:tcPr>
          <w:p>
            <w:pPr>
              <w:pStyle w:val="16"/>
              <w:autoSpaceDE w:val="0"/>
              <w:autoSpaceDN w:val="0"/>
              <w:jc w:val="center"/>
              <w:rPr>
                <w:rFonts w:hint="eastAsia" w:ascii="仿宋" w:hAnsi="仿宋" w:eastAsia="仿宋" w:cs="仿宋"/>
                <w:color w:val="auto"/>
                <w:spacing w:val="-3"/>
                <w:sz w:val="21"/>
                <w:szCs w:val="22"/>
                <w:highlight w:val="none"/>
                <w:lang w:eastAsia="zh-CN"/>
              </w:rPr>
            </w:pPr>
            <w:r>
              <w:rPr>
                <w:rFonts w:hint="eastAsia" w:ascii="仿宋" w:hAnsi="仿宋" w:eastAsia="仿宋" w:cs="仿宋"/>
                <w:color w:val="auto"/>
                <w:spacing w:val="-3"/>
                <w:sz w:val="21"/>
                <w:szCs w:val="22"/>
                <w:highlight w:val="none"/>
                <w:lang w:val="en-US" w:eastAsia="zh-CN"/>
              </w:rPr>
              <w:t>7</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pStyle w:val="16"/>
              <w:autoSpaceDE w:val="0"/>
              <w:autoSpaceDN w:val="0"/>
              <w:ind w:left="0" w:leftChars="0" w:right="0" w:rightChars="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sz w:val="21"/>
                <w:szCs w:val="21"/>
                <w:highlight w:val="none"/>
                <w:lang w:val="en-US" w:eastAsia="zh-CN"/>
              </w:rPr>
              <w:t>磋商有效期</w:t>
            </w:r>
          </w:p>
        </w:tc>
        <w:tc>
          <w:tcPr>
            <w:tcW w:w="6950" w:type="dxa"/>
            <w:tcBorders>
              <w:top w:val="single" w:color="auto" w:sz="4" w:space="0"/>
              <w:left w:val="single" w:color="auto" w:sz="4" w:space="0"/>
              <w:bottom w:val="single" w:color="auto" w:sz="4" w:space="0"/>
              <w:right w:val="single" w:color="auto" w:sz="8" w:space="0"/>
            </w:tcBorders>
            <w:noWrap w:val="0"/>
            <w:vAlign w:val="center"/>
          </w:tcPr>
          <w:p>
            <w:pPr>
              <w:pStyle w:val="16"/>
              <w:autoSpaceDE w:val="0"/>
              <w:autoSpaceDN w:val="0"/>
              <w:ind w:left="0" w:leftChars="0" w:right="0" w:rightChars="0"/>
              <w:jc w:val="center"/>
              <w:rPr>
                <w:rFonts w:hint="eastAsia" w:ascii="仿宋" w:hAnsi="仿宋" w:eastAsia="仿宋" w:cs="仿宋"/>
                <w:color w:val="auto"/>
                <w:kern w:val="0"/>
                <w:sz w:val="21"/>
                <w:szCs w:val="21"/>
                <w:highlight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63" w:hRule="atLeast"/>
        </w:trPr>
        <w:tc>
          <w:tcPr>
            <w:tcW w:w="430" w:type="dxa"/>
            <w:tcBorders>
              <w:top w:val="single" w:color="auto" w:sz="4" w:space="0"/>
              <w:left w:val="single" w:color="auto" w:sz="8" w:space="0"/>
              <w:bottom w:val="single" w:color="auto" w:sz="8" w:space="0"/>
              <w:right w:val="single" w:color="auto" w:sz="4" w:space="0"/>
            </w:tcBorders>
            <w:noWrap w:val="0"/>
            <w:vAlign w:val="center"/>
          </w:tcPr>
          <w:p>
            <w:pPr>
              <w:pStyle w:val="16"/>
              <w:autoSpaceDE w:val="0"/>
              <w:autoSpaceDN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298" w:type="dxa"/>
            <w:tcBorders>
              <w:top w:val="single" w:color="auto" w:sz="4" w:space="0"/>
              <w:left w:val="single" w:color="auto" w:sz="4" w:space="0"/>
              <w:bottom w:val="single" w:color="auto" w:sz="8" w:space="0"/>
              <w:right w:val="single" w:color="auto" w:sz="4" w:space="0"/>
            </w:tcBorders>
            <w:noWrap w:val="0"/>
            <w:vAlign w:val="center"/>
          </w:tcPr>
          <w:p>
            <w:pPr>
              <w:pStyle w:val="16"/>
              <w:autoSpaceDE w:val="0"/>
              <w:autoSpaceDN w:val="0"/>
              <w:ind w:left="0" w:leftChars="0" w:right="0" w:rightChars="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spacing w:val="-3"/>
                <w:sz w:val="21"/>
                <w:szCs w:val="21"/>
                <w:highlight w:val="none"/>
              </w:rPr>
              <w:t>备注</w:t>
            </w:r>
          </w:p>
        </w:tc>
        <w:tc>
          <w:tcPr>
            <w:tcW w:w="6950" w:type="dxa"/>
            <w:tcBorders>
              <w:top w:val="single" w:color="auto" w:sz="4" w:space="0"/>
              <w:left w:val="single" w:color="auto" w:sz="4" w:space="0"/>
              <w:bottom w:val="single" w:color="auto" w:sz="8" w:space="0"/>
              <w:right w:val="single" w:color="auto" w:sz="8" w:space="0"/>
            </w:tcBorders>
            <w:noWrap w:val="0"/>
            <w:vAlign w:val="center"/>
          </w:tcPr>
          <w:p>
            <w:pPr>
              <w:pStyle w:val="16"/>
              <w:autoSpaceDE w:val="0"/>
              <w:autoSpaceDN w:val="0"/>
              <w:ind w:left="0" w:leftChars="0" w:right="0" w:rightChars="0"/>
              <w:jc w:val="center"/>
              <w:rPr>
                <w:rFonts w:hint="eastAsia" w:ascii="仿宋" w:hAnsi="仿宋" w:eastAsia="仿宋" w:cs="仿宋"/>
                <w:color w:val="auto"/>
                <w:kern w:val="0"/>
                <w:sz w:val="21"/>
                <w:szCs w:val="21"/>
                <w:highlight w:val="none"/>
                <w:lang w:val="en-US" w:eastAsia="zh-CN" w:bidi="ar"/>
              </w:rPr>
            </w:pPr>
          </w:p>
        </w:tc>
      </w:tr>
    </w:tbl>
    <w:p>
      <w:pPr>
        <w:spacing w:line="262" w:lineRule="auto"/>
        <w:rPr>
          <w:rFonts w:hint="eastAsia" w:ascii="仿宋" w:hAnsi="仿宋" w:eastAsia="仿宋" w:cs="仿宋"/>
          <w:sz w:val="21"/>
          <w:highlight w:val="none"/>
        </w:rPr>
      </w:pPr>
    </w:p>
    <w:p>
      <w:pPr>
        <w:spacing w:line="262" w:lineRule="auto"/>
        <w:rPr>
          <w:rFonts w:hint="eastAsia" w:ascii="仿宋" w:hAnsi="仿宋" w:eastAsia="仿宋" w:cs="仿宋"/>
          <w:sz w:val="21"/>
          <w:highlight w:val="none"/>
        </w:rPr>
      </w:pPr>
    </w:p>
    <w:p>
      <w:pPr>
        <w:keepNext w:val="0"/>
        <w:keepLines w:val="0"/>
        <w:pageBreakBefore w:val="0"/>
        <w:widowControl w:val="0"/>
        <w:kinsoku/>
        <w:wordWrap/>
        <w:overflowPunct/>
        <w:topLinePunct w:val="0"/>
        <w:autoSpaceDE/>
        <w:autoSpaceDN/>
        <w:bidi w:val="0"/>
        <w:adjustRightInd/>
        <w:snapToGrid/>
        <w:spacing w:before="78" w:line="360" w:lineRule="auto"/>
        <w:ind w:left="2100" w:leftChars="0" w:firstLine="420" w:firstLineChars="0"/>
        <w:textAlignment w:val="auto"/>
        <w:rPr>
          <w:rFonts w:hint="eastAsia" w:ascii="仿宋" w:hAnsi="仿宋" w:eastAsia="仿宋" w:cs="仿宋"/>
          <w:sz w:val="21"/>
          <w:szCs w:val="21"/>
          <w:highlight w:val="none"/>
        </w:rPr>
      </w:pPr>
      <w:r>
        <w:rPr>
          <w:rFonts w:hint="eastAsia" w:ascii="仿宋" w:hAnsi="仿宋" w:eastAsia="仿宋" w:cs="仿宋"/>
          <w:spacing w:val="16"/>
          <w:sz w:val="21"/>
          <w:szCs w:val="21"/>
          <w:highlight w:val="none"/>
        </w:rPr>
        <w:t>供应商(电子签章)</w:t>
      </w:r>
      <w:r>
        <w:rPr>
          <w:rFonts w:hint="eastAsia" w:ascii="仿宋" w:hAnsi="仿宋" w:eastAsia="仿宋" w:cs="仿宋"/>
          <w:spacing w:val="15"/>
          <w:sz w:val="21"/>
          <w:szCs w:val="21"/>
          <w:highlight w:val="none"/>
        </w:rPr>
        <w:t>：</w:t>
      </w:r>
    </w:p>
    <w:p>
      <w:pPr>
        <w:spacing w:before="68" w:line="468" w:lineRule="exact"/>
        <w:ind w:left="2100" w:leftChars="0" w:firstLine="420" w:firstLineChars="0"/>
        <w:rPr>
          <w:rFonts w:hint="eastAsia" w:ascii="仿宋" w:hAnsi="仿宋" w:eastAsia="仿宋" w:cs="仿宋"/>
          <w:spacing w:val="12"/>
          <w:position w:val="19"/>
          <w:sz w:val="21"/>
          <w:szCs w:val="21"/>
          <w:highlight w:val="none"/>
        </w:rPr>
      </w:pPr>
      <w:r>
        <w:rPr>
          <w:rFonts w:hint="eastAsia" w:ascii="仿宋" w:hAnsi="仿宋" w:eastAsia="仿宋" w:cs="仿宋"/>
          <w:spacing w:val="14"/>
          <w:position w:val="17"/>
          <w:sz w:val="21"/>
          <w:szCs w:val="21"/>
          <w:highlight w:val="none"/>
        </w:rPr>
        <w:t>法</w:t>
      </w:r>
      <w:r>
        <w:rPr>
          <w:rFonts w:hint="eastAsia" w:ascii="仿宋" w:hAnsi="仿宋" w:eastAsia="仿宋" w:cs="仿宋"/>
          <w:spacing w:val="8"/>
          <w:position w:val="17"/>
          <w:sz w:val="21"/>
          <w:szCs w:val="21"/>
          <w:highlight w:val="none"/>
        </w:rPr>
        <w:t>定代表人或授权委托代理人(电子签章或签字)：</w:t>
      </w:r>
    </w:p>
    <w:p>
      <w:pPr>
        <w:spacing w:before="68" w:line="468" w:lineRule="exact"/>
        <w:ind w:left="2100" w:leftChars="0" w:firstLine="420" w:firstLineChars="0"/>
        <w:rPr>
          <w:rFonts w:hint="eastAsia" w:ascii="仿宋" w:hAnsi="仿宋" w:eastAsia="仿宋" w:cs="仿宋"/>
          <w:spacing w:val="12"/>
          <w:position w:val="19"/>
          <w:sz w:val="21"/>
          <w:szCs w:val="21"/>
          <w:highlight w:val="none"/>
        </w:rPr>
      </w:pPr>
      <w:r>
        <w:rPr>
          <w:rFonts w:hint="eastAsia" w:ascii="仿宋" w:hAnsi="仿宋" w:eastAsia="仿宋" w:cs="仿宋"/>
          <w:spacing w:val="12"/>
          <w:position w:val="19"/>
          <w:sz w:val="21"/>
          <w:szCs w:val="21"/>
          <w:highlight w:val="none"/>
        </w:rPr>
        <w:t>日      期：</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4"/>
        <w:numPr>
          <w:ilvl w:val="1"/>
          <w:numId w:val="0"/>
        </w:numPr>
        <w:bidi w:val="0"/>
        <w:jc w:val="center"/>
        <w:rPr>
          <w:rFonts w:hint="eastAsia" w:ascii="仿宋" w:hAnsi="仿宋" w:eastAsia="仿宋" w:cs="仿宋"/>
          <w:sz w:val="21"/>
          <w:highlight w:val="none"/>
        </w:rPr>
      </w:pPr>
      <w:bookmarkStart w:id="85" w:name="_Toc2069"/>
      <w:bookmarkStart w:id="86" w:name="_Toc14709"/>
      <w:r>
        <w:rPr>
          <w:rFonts w:hint="eastAsia" w:ascii="仿宋" w:hAnsi="仿宋" w:eastAsia="仿宋" w:cs="仿宋"/>
          <w:highlight w:val="none"/>
        </w:rPr>
        <w:t>二、法定代表人身份证明</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highlight w:val="none"/>
        </w:rPr>
      </w:pPr>
    </w:p>
    <w:p>
      <w:pPr>
        <w:keepNext w:val="0"/>
        <w:keepLines w:val="0"/>
        <w:pageBreakBefore w:val="0"/>
        <w:widowControl w:val="0"/>
        <w:kinsoku/>
        <w:wordWrap/>
        <w:overflowPunct/>
        <w:topLinePunct w:val="0"/>
        <w:autoSpaceDE/>
        <w:autoSpaceDN/>
        <w:bidi w:val="0"/>
        <w:adjustRightInd/>
        <w:snapToGrid/>
        <w:spacing w:before="68" w:line="360" w:lineRule="auto"/>
        <w:ind w:left="456"/>
        <w:textAlignment w:val="auto"/>
        <w:rPr>
          <w:rFonts w:hint="eastAsia" w:ascii="仿宋" w:hAnsi="仿宋" w:eastAsia="仿宋" w:cs="仿宋"/>
          <w:sz w:val="21"/>
          <w:szCs w:val="21"/>
          <w:highlight w:val="none"/>
        </w:rPr>
      </w:pPr>
      <w:r>
        <w:rPr>
          <w:rFonts w:hint="eastAsia" w:ascii="仿宋" w:hAnsi="仿宋" w:eastAsia="仿宋" w:cs="仿宋"/>
          <w:spacing w:val="-1"/>
          <w:position w:val="19"/>
          <w:sz w:val="21"/>
          <w:szCs w:val="21"/>
          <w:highlight w:val="none"/>
        </w:rPr>
        <w:t>供应商名称</w:t>
      </w:r>
      <w:r>
        <w:rPr>
          <w:rFonts w:hint="eastAsia" w:ascii="仿宋" w:hAnsi="仿宋" w:eastAsia="仿宋" w:cs="仿宋"/>
          <w:position w:val="19"/>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58"/>
        <w:textAlignment w:val="auto"/>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单</w:t>
      </w:r>
      <w:r>
        <w:rPr>
          <w:rFonts w:hint="eastAsia" w:ascii="仿宋" w:hAnsi="仿宋" w:eastAsia="仿宋" w:cs="仿宋"/>
          <w:spacing w:val="-6"/>
          <w:sz w:val="21"/>
          <w:szCs w:val="21"/>
          <w:highlight w:val="none"/>
        </w:rPr>
        <w:t>位性质：</w:t>
      </w:r>
    </w:p>
    <w:p>
      <w:pPr>
        <w:keepNext w:val="0"/>
        <w:keepLines w:val="0"/>
        <w:pageBreakBefore w:val="0"/>
        <w:widowControl w:val="0"/>
        <w:kinsoku/>
        <w:wordWrap/>
        <w:overflowPunct/>
        <w:topLinePunct w:val="0"/>
        <w:autoSpaceDE/>
        <w:autoSpaceDN/>
        <w:bidi w:val="0"/>
        <w:adjustRightInd/>
        <w:snapToGrid/>
        <w:spacing w:before="216" w:line="360" w:lineRule="auto"/>
        <w:ind w:left="456"/>
        <w:textAlignment w:val="auto"/>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地址：</w:t>
      </w:r>
    </w:p>
    <w:p>
      <w:pPr>
        <w:keepNext w:val="0"/>
        <w:keepLines w:val="0"/>
        <w:pageBreakBefore w:val="0"/>
        <w:widowControl w:val="0"/>
        <w:kinsoku/>
        <w:wordWrap/>
        <w:overflowPunct/>
        <w:topLinePunct w:val="0"/>
        <w:autoSpaceDE/>
        <w:autoSpaceDN/>
        <w:bidi w:val="0"/>
        <w:adjustRightInd/>
        <w:snapToGrid/>
        <w:spacing w:before="206" w:line="360" w:lineRule="auto"/>
        <w:ind w:left="458"/>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成立时间：</w:t>
      </w:r>
      <w:r>
        <w:rPr>
          <w:rFonts w:hint="eastAsia" w:ascii="仿宋" w:hAnsi="仿宋" w:eastAsia="仿宋" w:cs="仿宋"/>
          <w:spacing w:val="-2"/>
          <w:sz w:val="21"/>
          <w:szCs w:val="21"/>
          <w:highlight w:val="none"/>
          <w:u w:val="single" w:color="auto"/>
        </w:rPr>
        <w:t xml:space="preserve">        </w:t>
      </w:r>
      <w:r>
        <w:rPr>
          <w:rFonts w:hint="eastAsia" w:ascii="仿宋" w:hAnsi="仿宋" w:eastAsia="仿宋" w:cs="仿宋"/>
          <w:spacing w:val="-2"/>
          <w:sz w:val="21"/>
          <w:szCs w:val="21"/>
          <w:highlight w:val="none"/>
        </w:rPr>
        <w:t>年</w:t>
      </w:r>
      <w:r>
        <w:rPr>
          <w:rFonts w:hint="eastAsia" w:ascii="仿宋" w:hAnsi="仿宋" w:eastAsia="仿宋" w:cs="仿宋"/>
          <w:spacing w:val="-2"/>
          <w:sz w:val="21"/>
          <w:szCs w:val="21"/>
          <w:highlight w:val="none"/>
          <w:u w:val="single" w:color="auto"/>
        </w:rPr>
        <w:t xml:space="preserve">         </w:t>
      </w:r>
      <w:r>
        <w:rPr>
          <w:rFonts w:hint="eastAsia" w:ascii="仿宋" w:hAnsi="仿宋" w:eastAsia="仿宋" w:cs="仿宋"/>
          <w:spacing w:val="-2"/>
          <w:sz w:val="21"/>
          <w:szCs w:val="21"/>
          <w:highlight w:val="none"/>
        </w:rPr>
        <w:t>月</w:t>
      </w:r>
      <w:r>
        <w:rPr>
          <w:rFonts w:hint="eastAsia" w:ascii="仿宋" w:hAnsi="仿宋" w:eastAsia="仿宋" w:cs="仿宋"/>
          <w:spacing w:val="-2"/>
          <w:sz w:val="21"/>
          <w:szCs w:val="21"/>
          <w:highlight w:val="none"/>
          <w:u w:val="single" w:color="auto"/>
        </w:rPr>
        <w:t xml:space="preserve">         </w:t>
      </w:r>
      <w:r>
        <w:rPr>
          <w:rFonts w:hint="eastAsia" w:ascii="仿宋" w:hAnsi="仿宋" w:eastAsia="仿宋" w:cs="仿宋"/>
          <w:spacing w:val="-2"/>
          <w:sz w:val="21"/>
          <w:szCs w:val="21"/>
          <w:highlight w:val="none"/>
        </w:rPr>
        <w:t>日</w:t>
      </w:r>
    </w:p>
    <w:p>
      <w:pPr>
        <w:keepNext w:val="0"/>
        <w:keepLines w:val="0"/>
        <w:pageBreakBefore w:val="0"/>
        <w:widowControl w:val="0"/>
        <w:kinsoku/>
        <w:wordWrap/>
        <w:overflowPunct/>
        <w:topLinePunct w:val="0"/>
        <w:autoSpaceDE/>
        <w:autoSpaceDN/>
        <w:bidi w:val="0"/>
        <w:adjustRightInd/>
        <w:snapToGrid/>
        <w:spacing w:line="360" w:lineRule="auto"/>
        <w:ind w:left="458"/>
        <w:textAlignment w:val="auto"/>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经</w:t>
      </w:r>
      <w:r>
        <w:rPr>
          <w:rFonts w:hint="eastAsia" w:ascii="仿宋" w:hAnsi="仿宋" w:eastAsia="仿宋" w:cs="仿宋"/>
          <w:spacing w:val="-6"/>
          <w:sz w:val="21"/>
          <w:szCs w:val="21"/>
          <w:highlight w:val="none"/>
        </w:rPr>
        <w:t>营期限：</w:t>
      </w:r>
    </w:p>
    <w:p>
      <w:pPr>
        <w:keepNext w:val="0"/>
        <w:keepLines w:val="0"/>
        <w:pageBreakBefore w:val="0"/>
        <w:widowControl w:val="0"/>
        <w:kinsoku/>
        <w:wordWrap/>
        <w:overflowPunct/>
        <w:topLinePunct w:val="0"/>
        <w:autoSpaceDE/>
        <w:autoSpaceDN/>
        <w:bidi w:val="0"/>
        <w:adjustRightInd/>
        <w:snapToGrid/>
        <w:spacing w:before="216" w:line="360" w:lineRule="auto"/>
        <w:ind w:left="456"/>
        <w:textAlignment w:val="auto"/>
        <w:rPr>
          <w:rFonts w:hint="eastAsia" w:ascii="仿宋" w:hAnsi="仿宋" w:eastAsia="仿宋" w:cs="仿宋"/>
          <w:sz w:val="21"/>
          <w:szCs w:val="21"/>
          <w:highlight w:val="none"/>
        </w:rPr>
      </w:pPr>
      <w:r>
        <w:rPr>
          <w:rFonts w:hint="eastAsia" w:ascii="仿宋" w:hAnsi="仿宋" w:eastAsia="仿宋" w:cs="仿宋"/>
          <w:spacing w:val="-10"/>
          <w:sz w:val="21"/>
          <w:szCs w:val="21"/>
          <w:highlight w:val="none"/>
        </w:rPr>
        <w:t>姓</w:t>
      </w:r>
      <w:r>
        <w:rPr>
          <w:rFonts w:hint="eastAsia" w:ascii="仿宋" w:hAnsi="仿宋" w:eastAsia="仿宋" w:cs="仿宋"/>
          <w:spacing w:val="-9"/>
          <w:sz w:val="21"/>
          <w:szCs w:val="21"/>
          <w:highlight w:val="none"/>
        </w:rPr>
        <w:t>名：</w:t>
      </w:r>
      <w:r>
        <w:rPr>
          <w:rFonts w:hint="eastAsia" w:ascii="仿宋" w:hAnsi="仿宋" w:eastAsia="仿宋" w:cs="仿宋"/>
          <w:spacing w:val="-9"/>
          <w:sz w:val="21"/>
          <w:szCs w:val="21"/>
          <w:highlight w:val="none"/>
          <w:u w:val="single" w:color="auto"/>
        </w:rPr>
        <w:t xml:space="preserve">        </w:t>
      </w:r>
      <w:r>
        <w:rPr>
          <w:rFonts w:hint="eastAsia" w:ascii="仿宋" w:hAnsi="仿宋" w:eastAsia="仿宋" w:cs="仿宋"/>
          <w:spacing w:val="-9"/>
          <w:sz w:val="21"/>
          <w:szCs w:val="21"/>
          <w:highlight w:val="none"/>
        </w:rPr>
        <w:t>性别：</w:t>
      </w:r>
      <w:r>
        <w:rPr>
          <w:rFonts w:hint="eastAsia" w:ascii="仿宋" w:hAnsi="仿宋" w:eastAsia="仿宋" w:cs="仿宋"/>
          <w:spacing w:val="-9"/>
          <w:sz w:val="21"/>
          <w:szCs w:val="21"/>
          <w:highlight w:val="none"/>
          <w:u w:val="single" w:color="auto"/>
        </w:rPr>
        <w:t xml:space="preserve">          </w:t>
      </w:r>
      <w:r>
        <w:rPr>
          <w:rFonts w:hint="eastAsia" w:ascii="仿宋" w:hAnsi="仿宋" w:eastAsia="仿宋" w:cs="仿宋"/>
          <w:spacing w:val="-9"/>
          <w:sz w:val="21"/>
          <w:szCs w:val="21"/>
          <w:highlight w:val="none"/>
        </w:rPr>
        <w:t>年龄：</w:t>
      </w:r>
      <w:r>
        <w:rPr>
          <w:rFonts w:hint="eastAsia" w:ascii="仿宋" w:hAnsi="仿宋" w:eastAsia="仿宋" w:cs="仿宋"/>
          <w:spacing w:val="-9"/>
          <w:sz w:val="21"/>
          <w:szCs w:val="21"/>
          <w:highlight w:val="none"/>
          <w:u w:val="single" w:color="auto"/>
        </w:rPr>
        <w:t xml:space="preserve">         </w:t>
      </w:r>
      <w:r>
        <w:rPr>
          <w:rFonts w:hint="eastAsia" w:ascii="仿宋" w:hAnsi="仿宋" w:eastAsia="仿宋" w:cs="仿宋"/>
          <w:spacing w:val="-9"/>
          <w:sz w:val="21"/>
          <w:szCs w:val="21"/>
          <w:highlight w:val="none"/>
        </w:rPr>
        <w:t>职务：</w:t>
      </w:r>
    </w:p>
    <w:p>
      <w:pPr>
        <w:keepNext w:val="0"/>
        <w:keepLines w:val="0"/>
        <w:pageBreakBefore w:val="0"/>
        <w:widowControl w:val="0"/>
        <w:kinsoku/>
        <w:wordWrap/>
        <w:overflowPunct/>
        <w:topLinePunct w:val="0"/>
        <w:autoSpaceDE/>
        <w:autoSpaceDN/>
        <w:bidi w:val="0"/>
        <w:adjustRightInd/>
        <w:snapToGrid/>
        <w:spacing w:before="216" w:line="360" w:lineRule="auto"/>
        <w:ind w:left="461"/>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系</w:t>
      </w:r>
      <w:r>
        <w:rPr>
          <w:rFonts w:hint="eastAsia" w:ascii="仿宋" w:hAnsi="仿宋" w:eastAsia="仿宋" w:cs="仿宋"/>
          <w:spacing w:val="2"/>
          <w:sz w:val="21"/>
          <w:szCs w:val="21"/>
          <w:highlight w:val="none"/>
          <w:u w:val="single" w:color="auto"/>
        </w:rPr>
        <w:t xml:space="preserve">                           </w:t>
      </w:r>
      <w:r>
        <w:rPr>
          <w:rFonts w:hint="eastAsia" w:ascii="仿宋" w:hAnsi="仿宋" w:eastAsia="仿宋" w:cs="仿宋"/>
          <w:spacing w:val="2"/>
          <w:sz w:val="21"/>
          <w:szCs w:val="21"/>
          <w:highlight w:val="none"/>
        </w:rPr>
        <w:t>(供应商名称)的法定代表</w:t>
      </w:r>
      <w:r>
        <w:rPr>
          <w:rFonts w:hint="eastAsia" w:ascii="仿宋" w:hAnsi="仿宋" w:eastAsia="仿宋" w:cs="仿宋"/>
          <w:sz w:val="21"/>
          <w:szCs w:val="21"/>
          <w:highlight w:val="none"/>
        </w:rPr>
        <w:t>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before="69" w:line="360" w:lineRule="auto"/>
        <w:ind w:left="456"/>
        <w:textAlignment w:val="auto"/>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特</w:t>
      </w:r>
      <w:r>
        <w:rPr>
          <w:rFonts w:hint="eastAsia" w:ascii="仿宋" w:hAnsi="仿宋" w:eastAsia="仿宋" w:cs="仿宋"/>
          <w:spacing w:val="-4"/>
          <w:sz w:val="21"/>
          <w:szCs w:val="21"/>
          <w:highlight w:val="none"/>
        </w:rPr>
        <w:t>此证明。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before="69" w:line="360" w:lineRule="auto"/>
        <w:ind w:left="473"/>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附：法定代表人身份证</w:t>
      </w:r>
      <w:r>
        <w:rPr>
          <w:rFonts w:hint="eastAsia" w:ascii="仿宋" w:hAnsi="仿宋" w:eastAsia="仿宋" w:cs="仿宋"/>
          <w:spacing w:val="-1"/>
          <w:sz w:val="21"/>
          <w:szCs w:val="21"/>
          <w:highlight w:val="none"/>
        </w:rPr>
        <w:t>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供</w:t>
      </w:r>
      <w:r>
        <w:rPr>
          <w:rFonts w:hint="eastAsia" w:ascii="仿宋" w:hAnsi="仿宋" w:eastAsia="仿宋" w:cs="仿宋"/>
          <w:spacing w:val="-4"/>
          <w:sz w:val="21"/>
          <w:szCs w:val="21"/>
          <w:highlight w:val="none"/>
        </w:rPr>
        <w:t>应商：</w:t>
      </w:r>
      <w:r>
        <w:rPr>
          <w:rFonts w:hint="eastAsia" w:ascii="仿宋" w:hAnsi="仿宋" w:eastAsia="仿宋" w:cs="仿宋"/>
          <w:spacing w:val="-4"/>
          <w:sz w:val="21"/>
          <w:szCs w:val="21"/>
          <w:highlight w:val="none"/>
          <w:u w:val="single" w:color="auto"/>
        </w:rPr>
        <w:t xml:space="preserve">                    </w:t>
      </w:r>
      <w:r>
        <w:rPr>
          <w:rFonts w:hint="eastAsia" w:ascii="仿宋" w:hAnsi="仿宋" w:eastAsia="仿宋" w:cs="仿宋"/>
          <w:spacing w:val="-4"/>
          <w:sz w:val="21"/>
          <w:szCs w:val="21"/>
          <w:highlight w:val="none"/>
        </w:rPr>
        <w:t>(</w:t>
      </w:r>
      <w:r>
        <w:rPr>
          <w:rFonts w:hint="eastAsia" w:ascii="仿宋" w:hAnsi="仿宋" w:eastAsia="仿宋" w:cs="仿宋"/>
          <w:spacing w:val="-4"/>
          <w:sz w:val="21"/>
          <w:szCs w:val="21"/>
          <w:highlight w:val="none"/>
          <w:lang w:val="en-US" w:eastAsia="zh-CN"/>
        </w:rPr>
        <w:t>电子签章</w:t>
      </w:r>
      <w:r>
        <w:rPr>
          <w:rFonts w:hint="eastAsia" w:ascii="仿宋" w:hAnsi="仿宋" w:eastAsia="仿宋" w:cs="仿宋"/>
          <w:spacing w:val="-4"/>
          <w:sz w:val="21"/>
          <w:szCs w:val="21"/>
          <w:highlight w:val="none"/>
        </w:rPr>
        <w:t>)</w:t>
      </w:r>
      <w:r>
        <w:rPr>
          <w:rFonts w:hint="eastAsia" w:ascii="仿宋" w:hAnsi="仿宋" w:eastAsia="仿宋" w:cs="仿宋"/>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u w:val="single" w:color="auto"/>
        </w:rPr>
        <w:tab/>
      </w:r>
      <w:r>
        <w:rPr>
          <w:rFonts w:hint="eastAsia" w:ascii="仿宋" w:hAnsi="仿宋" w:eastAsia="仿宋" w:cs="仿宋"/>
          <w:sz w:val="21"/>
          <w:szCs w:val="21"/>
          <w:highlight w:val="none"/>
          <w:u w:val="single" w:color="auto"/>
          <w:lang w:val="en-US" w:eastAsia="zh-CN"/>
        </w:rPr>
        <w:t xml:space="preserve">      </w:t>
      </w:r>
      <w:r>
        <w:rPr>
          <w:rFonts w:hint="eastAsia" w:ascii="仿宋" w:hAnsi="仿宋" w:eastAsia="仿宋" w:cs="仿宋"/>
          <w:spacing w:val="-1"/>
          <w:sz w:val="21"/>
          <w:szCs w:val="21"/>
          <w:highlight w:val="none"/>
        </w:rPr>
        <w:t>年</w:t>
      </w:r>
      <w:r>
        <w:rPr>
          <w:rFonts w:hint="eastAsia" w:ascii="仿宋" w:hAnsi="仿宋" w:eastAsia="仿宋" w:cs="仿宋"/>
          <w:spacing w:val="-1"/>
          <w:sz w:val="21"/>
          <w:szCs w:val="21"/>
          <w:highlight w:val="none"/>
          <w:u w:val="single" w:color="auto"/>
        </w:rPr>
        <w:t xml:space="preserve">     </w:t>
      </w:r>
      <w:r>
        <w:rPr>
          <w:rFonts w:hint="eastAsia" w:ascii="仿宋" w:hAnsi="仿宋" w:eastAsia="仿宋" w:cs="仿宋"/>
          <w:sz w:val="21"/>
          <w:szCs w:val="21"/>
          <w:highlight w:val="none"/>
          <w:u w:val="single" w:color="auto"/>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u w:val="single" w:color="auto"/>
        </w:rPr>
        <w:t xml:space="preserve">        </w:t>
      </w:r>
      <w:r>
        <w:rPr>
          <w:rFonts w:hint="eastAsia" w:ascii="仿宋" w:hAnsi="仿宋" w:eastAsia="仿宋" w:cs="仿宋"/>
          <w:sz w:val="21"/>
          <w:szCs w:val="21"/>
          <w:highlight w:val="none"/>
        </w:rPr>
        <w:t>日</w:t>
      </w:r>
    </w:p>
    <w:p>
      <w:pPr>
        <w:jc w:val="center"/>
        <w:rPr>
          <w:rFonts w:hint="eastAsia" w:ascii="仿宋" w:hAnsi="仿宋" w:eastAsia="仿宋" w:cs="仿宋"/>
          <w:sz w:val="31"/>
          <w:szCs w:val="31"/>
          <w:highlight w:val="none"/>
        </w:rPr>
      </w:pPr>
      <w:r>
        <w:rPr>
          <w:rFonts w:hint="eastAsia" w:ascii="仿宋" w:hAnsi="仿宋" w:eastAsia="仿宋" w:cs="仿宋"/>
          <w:highlight w:val="none"/>
          <w:lang w:val="en-US" w:eastAsia="zh-CN"/>
        </w:rPr>
        <w:br w:type="page"/>
      </w:r>
      <w:bookmarkStart w:id="87" w:name="_Toc3547"/>
      <w:bookmarkStart w:id="88" w:name="_Toc32431"/>
      <w:r>
        <w:rPr>
          <w:rStyle w:val="29"/>
          <w:rFonts w:hint="eastAsia" w:ascii="仿宋" w:hAnsi="仿宋" w:eastAsia="仿宋" w:cs="仿宋"/>
          <w:highlight w:val="none"/>
        </w:rPr>
        <w:t>三、授权委托书</w:t>
      </w:r>
      <w:bookmarkEnd w:id="87"/>
      <w:bookmarkEnd w:id="88"/>
    </w:p>
    <w:p>
      <w:pPr>
        <w:spacing w:line="411" w:lineRule="auto"/>
        <w:rPr>
          <w:rFonts w:hint="eastAsia" w:ascii="仿宋" w:hAnsi="仿宋" w:eastAsia="仿宋" w:cs="仿宋"/>
          <w:sz w:val="21"/>
          <w:highlight w:val="none"/>
        </w:rPr>
      </w:pPr>
    </w:p>
    <w:p>
      <w:pPr>
        <w:keepNext w:val="0"/>
        <w:keepLines w:val="0"/>
        <w:pageBreakBefore w:val="0"/>
        <w:widowControl w:val="0"/>
        <w:kinsoku/>
        <w:wordWrap/>
        <w:overflowPunct/>
        <w:topLinePunct w:val="0"/>
        <w:autoSpaceDE/>
        <w:autoSpaceDN/>
        <w:bidi w:val="0"/>
        <w:adjustRightInd/>
        <w:snapToGrid/>
        <w:spacing w:before="69" w:line="360" w:lineRule="auto"/>
        <w:ind w:left="39" w:firstLine="418"/>
        <w:textAlignment w:val="auto"/>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本人</w:t>
      </w:r>
      <w:r>
        <w:rPr>
          <w:rFonts w:hint="eastAsia" w:ascii="仿宋" w:hAnsi="仿宋" w:eastAsia="仿宋" w:cs="仿宋"/>
          <w:spacing w:val="6"/>
          <w:sz w:val="21"/>
          <w:szCs w:val="21"/>
          <w:highlight w:val="none"/>
          <w:u w:val="single" w:color="auto"/>
        </w:rPr>
        <w:t xml:space="preserve">        </w:t>
      </w:r>
      <w:r>
        <w:rPr>
          <w:rFonts w:hint="eastAsia" w:ascii="仿宋" w:hAnsi="仿宋" w:eastAsia="仿宋" w:cs="仿宋"/>
          <w:spacing w:val="6"/>
          <w:sz w:val="21"/>
          <w:szCs w:val="21"/>
          <w:highlight w:val="none"/>
        </w:rPr>
        <w:t>(</w:t>
      </w:r>
      <w:r>
        <w:rPr>
          <w:rFonts w:hint="eastAsia" w:ascii="仿宋" w:hAnsi="仿宋" w:eastAsia="仿宋" w:cs="仿宋"/>
          <w:spacing w:val="5"/>
          <w:sz w:val="21"/>
          <w:szCs w:val="21"/>
          <w:highlight w:val="none"/>
        </w:rPr>
        <w:t>姓</w:t>
      </w:r>
      <w:r>
        <w:rPr>
          <w:rFonts w:hint="eastAsia" w:ascii="仿宋" w:hAnsi="仿宋" w:eastAsia="仿宋" w:cs="仿宋"/>
          <w:spacing w:val="3"/>
          <w:sz w:val="21"/>
          <w:szCs w:val="21"/>
          <w:highlight w:val="none"/>
        </w:rPr>
        <w:t>名)系</w:t>
      </w:r>
      <w:r>
        <w:rPr>
          <w:rFonts w:hint="eastAsia" w:ascii="仿宋" w:hAnsi="仿宋" w:eastAsia="仿宋" w:cs="仿宋"/>
          <w:spacing w:val="3"/>
          <w:sz w:val="21"/>
          <w:szCs w:val="21"/>
          <w:highlight w:val="none"/>
          <w:u w:val="single" w:color="auto"/>
        </w:rPr>
        <w:t xml:space="preserve">       </w:t>
      </w:r>
      <w:r>
        <w:rPr>
          <w:rFonts w:hint="eastAsia" w:ascii="仿宋" w:hAnsi="仿宋" w:eastAsia="仿宋" w:cs="仿宋"/>
          <w:spacing w:val="3"/>
          <w:sz w:val="21"/>
          <w:szCs w:val="21"/>
          <w:highlight w:val="none"/>
        </w:rPr>
        <w:t>(供应商名称)的法定代表人，现委托</w:t>
      </w:r>
      <w:r>
        <w:rPr>
          <w:rFonts w:hint="eastAsia" w:ascii="仿宋" w:hAnsi="仿宋" w:eastAsia="仿宋" w:cs="仿宋"/>
          <w:spacing w:val="3"/>
          <w:sz w:val="21"/>
          <w:szCs w:val="21"/>
          <w:highlight w:val="none"/>
          <w:u w:val="single" w:color="auto"/>
        </w:rPr>
        <w:t xml:space="preserve">       </w:t>
      </w:r>
      <w:r>
        <w:rPr>
          <w:rFonts w:hint="eastAsia" w:ascii="仿宋" w:hAnsi="仿宋" w:eastAsia="仿宋" w:cs="仿宋"/>
          <w:spacing w:val="3"/>
          <w:sz w:val="21"/>
          <w:szCs w:val="21"/>
          <w:highlight w:val="none"/>
        </w:rPr>
        <w:t>(姓名)</w:t>
      </w:r>
      <w:r>
        <w:rPr>
          <w:rFonts w:hint="eastAsia" w:ascii="仿宋" w:hAnsi="仿宋" w:eastAsia="仿宋" w:cs="仿宋"/>
          <w:sz w:val="21"/>
          <w:szCs w:val="21"/>
          <w:highlight w:val="none"/>
        </w:rPr>
        <w:t xml:space="preserve"> </w:t>
      </w:r>
      <w:r>
        <w:rPr>
          <w:rFonts w:hint="eastAsia" w:ascii="仿宋" w:hAnsi="仿宋" w:eastAsia="仿宋" w:cs="仿宋"/>
          <w:spacing w:val="-1"/>
          <w:sz w:val="21"/>
          <w:szCs w:val="21"/>
          <w:highlight w:val="none"/>
        </w:rPr>
        <w:t>为我方代理人</w:t>
      </w:r>
      <w:r>
        <w:rPr>
          <w:rFonts w:hint="eastAsia" w:ascii="仿宋" w:hAnsi="仿宋" w:eastAsia="仿宋" w:cs="仿宋"/>
          <w:sz w:val="21"/>
          <w:szCs w:val="21"/>
          <w:highlight w:val="none"/>
        </w:rPr>
        <w:t>。代理人根据授权，以我方名义签署、澄清、说明、补正、递交、撤回、修改</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color="auto"/>
          <w:lang w:val="en-US" w:eastAsia="zh-CN"/>
        </w:rPr>
        <w:t xml:space="preserve"> </w:t>
      </w:r>
      <w:r>
        <w:rPr>
          <w:rFonts w:hint="eastAsia" w:ascii="仿宋" w:hAnsi="仿宋" w:eastAsia="仿宋" w:cs="仿宋"/>
          <w:spacing w:val="4"/>
          <w:sz w:val="21"/>
          <w:szCs w:val="21"/>
          <w:highlight w:val="none"/>
          <w:u w:val="single" w:color="auto"/>
        </w:rPr>
        <w:t>(项目名称)</w:t>
      </w:r>
      <w:r>
        <w:rPr>
          <w:rFonts w:hint="eastAsia" w:ascii="仿宋" w:hAnsi="仿宋" w:eastAsia="仿宋" w:cs="仿宋"/>
          <w:spacing w:val="2"/>
          <w:sz w:val="21"/>
          <w:szCs w:val="21"/>
          <w:highlight w:val="none"/>
        </w:rPr>
        <w:t>竞争性磋商响应文件、签订合同和处理有关事</w:t>
      </w:r>
      <w:r>
        <w:rPr>
          <w:rFonts w:hint="eastAsia" w:ascii="仿宋" w:hAnsi="仿宋" w:eastAsia="仿宋" w:cs="仿宋"/>
          <w:sz w:val="21"/>
          <w:szCs w:val="21"/>
          <w:highlight w:val="none"/>
        </w:rPr>
        <w:t xml:space="preserve"> </w:t>
      </w:r>
      <w:r>
        <w:rPr>
          <w:rFonts w:hint="eastAsia" w:ascii="仿宋" w:hAnsi="仿宋" w:eastAsia="仿宋" w:cs="仿宋"/>
          <w:spacing w:val="-2"/>
          <w:sz w:val="21"/>
          <w:szCs w:val="21"/>
          <w:highlight w:val="none"/>
        </w:rPr>
        <w:t>宜，其法律后果由我方承担</w:t>
      </w:r>
      <w:r>
        <w:rPr>
          <w:rFonts w:hint="eastAsia" w:ascii="仿宋" w:hAnsi="仿宋" w:eastAsia="仿宋" w:cs="仿宋"/>
          <w:spacing w:val="-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456"/>
        <w:textAlignment w:val="auto"/>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委托期限：</w:t>
      </w:r>
      <w:r>
        <w:rPr>
          <w:rFonts w:hint="eastAsia" w:ascii="仿宋" w:hAnsi="仿宋" w:eastAsia="仿宋" w:cs="仿宋"/>
          <w:spacing w:val="-4"/>
          <w:sz w:val="21"/>
          <w:szCs w:val="21"/>
          <w:highlight w:val="none"/>
          <w:u w:val="single" w:color="auto"/>
        </w:rPr>
        <w:t xml:space="preserve">                       </w:t>
      </w:r>
      <w:r>
        <w:rPr>
          <w:rFonts w:hint="eastAsia" w:ascii="仿宋" w:hAnsi="仿宋" w:eastAsia="仿宋" w:cs="仿宋"/>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215" w:line="360" w:lineRule="auto"/>
        <w:ind w:left="456"/>
        <w:textAlignment w:val="auto"/>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代</w:t>
      </w:r>
      <w:r>
        <w:rPr>
          <w:rFonts w:hint="eastAsia" w:ascii="仿宋" w:hAnsi="仿宋" w:eastAsia="仿宋" w:cs="仿宋"/>
          <w:spacing w:val="-2"/>
          <w:sz w:val="21"/>
          <w:szCs w:val="21"/>
          <w:highlight w:val="none"/>
        </w:rPr>
        <w:t>理人无转委托权。</w:t>
      </w:r>
    </w:p>
    <w:p>
      <w:pPr>
        <w:keepNext w:val="0"/>
        <w:keepLines w:val="0"/>
        <w:pageBreakBefore w:val="0"/>
        <w:widowControl w:val="0"/>
        <w:kinsoku/>
        <w:wordWrap/>
        <w:overflowPunct/>
        <w:topLinePunct w:val="0"/>
        <w:autoSpaceDE/>
        <w:autoSpaceDN/>
        <w:bidi w:val="0"/>
        <w:adjustRightInd/>
        <w:snapToGrid/>
        <w:spacing w:before="218" w:line="360" w:lineRule="auto"/>
        <w:ind w:left="473"/>
        <w:textAlignment w:val="auto"/>
        <w:rPr>
          <w:rFonts w:hint="eastAsia" w:ascii="仿宋" w:hAnsi="仿宋" w:eastAsia="仿宋" w:cs="仿宋"/>
          <w:sz w:val="21"/>
          <w:szCs w:val="21"/>
          <w:highlight w:val="none"/>
        </w:rPr>
      </w:pPr>
      <w:r>
        <w:rPr>
          <w:rFonts w:hint="eastAsia" w:ascii="仿宋" w:hAnsi="仿宋" w:eastAsia="仿宋" w:cs="仿宋"/>
          <w:spacing w:val="-2"/>
          <w:sz w:val="21"/>
          <w:szCs w:val="21"/>
          <w:highlight w:val="none"/>
        </w:rPr>
        <w:t>附：法</w:t>
      </w:r>
      <w:r>
        <w:rPr>
          <w:rFonts w:hint="eastAsia" w:ascii="仿宋" w:hAnsi="仿宋" w:eastAsia="仿宋" w:cs="仿宋"/>
          <w:spacing w:val="-1"/>
          <w:sz w:val="21"/>
          <w:szCs w:val="21"/>
          <w:highlight w:val="none"/>
        </w:rPr>
        <w:t>定代表人及授权委托人身份证明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highlight w:val="none"/>
        </w:rPr>
      </w:pPr>
    </w:p>
    <w:p>
      <w:pPr>
        <w:pStyle w:val="16"/>
        <w:tabs>
          <w:tab w:val="left" w:pos="6224"/>
        </w:tabs>
        <w:spacing w:after="120" w:line="360" w:lineRule="auto"/>
        <w:ind w:firstLine="3780" w:firstLineChars="1800"/>
        <w:rPr>
          <w:rFonts w:hint="eastAsia" w:ascii="仿宋" w:hAnsi="仿宋" w:eastAsia="仿宋" w:cs="仿宋"/>
          <w:color w:val="auto"/>
          <w:highlight w:val="none"/>
        </w:rPr>
      </w:pPr>
      <w:r>
        <w:rPr>
          <w:rFonts w:hint="eastAsia" w:ascii="仿宋" w:hAnsi="仿宋" w:eastAsia="仿宋" w:cs="仿宋"/>
          <w:color w:val="auto"/>
          <w:kern w:val="2"/>
          <w:sz w:val="21"/>
          <w:highlight w:val="none"/>
          <w:lang w:bidi="ar"/>
        </w:rPr>
        <w:t>供应商：</w:t>
      </w:r>
      <w:r>
        <w:rPr>
          <w:rFonts w:hint="eastAsia" w:ascii="仿宋" w:hAnsi="仿宋" w:eastAsia="仿宋" w:cs="仿宋"/>
          <w:color w:val="auto"/>
          <w:kern w:val="2"/>
          <w:sz w:val="21"/>
          <w:highlight w:val="none"/>
          <w:u w:val="single"/>
          <w:lang w:bidi="ar"/>
        </w:rPr>
        <w:t xml:space="preserve">      </w:t>
      </w:r>
      <w:r>
        <w:rPr>
          <w:rFonts w:hint="eastAsia" w:ascii="仿宋" w:hAnsi="仿宋" w:eastAsia="仿宋" w:cs="仿宋"/>
          <w:color w:val="auto"/>
          <w:kern w:val="2"/>
          <w:sz w:val="21"/>
          <w:highlight w:val="none"/>
          <w:u w:val="single"/>
          <w:lang w:val="en-US" w:eastAsia="zh-CN" w:bidi="ar"/>
        </w:rPr>
        <w:t xml:space="preserve">        </w:t>
      </w:r>
      <w:r>
        <w:rPr>
          <w:rFonts w:hint="eastAsia" w:ascii="仿宋" w:hAnsi="仿宋" w:eastAsia="仿宋" w:cs="仿宋"/>
          <w:color w:val="auto"/>
          <w:kern w:val="2"/>
          <w:sz w:val="21"/>
          <w:highlight w:val="none"/>
          <w:u w:val="single"/>
          <w:lang w:bidi="ar"/>
        </w:rPr>
        <w:t xml:space="preserve">   </w:t>
      </w:r>
      <w:r>
        <w:rPr>
          <w:rFonts w:hint="eastAsia" w:ascii="仿宋" w:hAnsi="仿宋" w:eastAsia="仿宋" w:cs="仿宋"/>
          <w:color w:val="auto"/>
          <w:kern w:val="2"/>
          <w:sz w:val="21"/>
          <w:highlight w:val="none"/>
          <w:lang w:bidi="ar"/>
        </w:rPr>
        <w:t>（</w:t>
      </w:r>
      <w:r>
        <w:rPr>
          <w:rFonts w:hint="eastAsia" w:ascii="仿宋" w:hAnsi="仿宋" w:eastAsia="仿宋" w:cs="仿宋"/>
          <w:color w:val="auto"/>
          <w:kern w:val="2"/>
          <w:sz w:val="21"/>
          <w:highlight w:val="none"/>
          <w:lang w:val="en-US" w:eastAsia="zh-CN" w:bidi="ar"/>
        </w:rPr>
        <w:t>电子签章</w:t>
      </w:r>
      <w:r>
        <w:rPr>
          <w:rFonts w:hint="eastAsia" w:ascii="仿宋" w:hAnsi="仿宋" w:eastAsia="仿宋" w:cs="仿宋"/>
          <w:color w:val="auto"/>
          <w:kern w:val="2"/>
          <w:sz w:val="21"/>
          <w:highlight w:val="none"/>
          <w:lang w:bidi="ar"/>
        </w:rPr>
        <w:t>）</w:t>
      </w:r>
    </w:p>
    <w:p>
      <w:pPr>
        <w:tabs>
          <w:tab w:val="left" w:pos="6883"/>
        </w:tabs>
        <w:spacing w:line="360" w:lineRule="auto"/>
        <w:ind w:firstLine="3780" w:firstLineChars="1800"/>
        <w:jc w:val="left"/>
        <w:rPr>
          <w:rFonts w:hint="eastAsia" w:ascii="仿宋" w:hAnsi="仿宋" w:eastAsia="仿宋" w:cs="仿宋"/>
          <w:color w:val="auto"/>
          <w:highlight w:val="none"/>
        </w:rPr>
      </w:pPr>
      <w:r>
        <w:rPr>
          <w:rFonts w:hint="eastAsia" w:ascii="仿宋" w:hAnsi="仿宋" w:eastAsia="仿宋" w:cs="仿宋"/>
          <w:color w:val="auto"/>
          <w:szCs w:val="21"/>
          <w:highlight w:val="none"/>
          <w:lang w:bidi="ar"/>
        </w:rPr>
        <w:t>法定代表人</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u w:val="single"/>
          <w:lang w:val="en-US" w:eastAsia="zh-CN" w:bidi="ar"/>
        </w:rPr>
        <w:t xml:space="preserve"> </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highlight w:val="none"/>
          <w:lang w:bidi="ar"/>
        </w:rPr>
        <w:t>（电子签章或签字）</w:t>
      </w:r>
    </w:p>
    <w:p>
      <w:pPr>
        <w:pStyle w:val="16"/>
        <w:tabs>
          <w:tab w:val="left" w:pos="7363"/>
        </w:tabs>
        <w:spacing w:after="120" w:line="360" w:lineRule="auto"/>
        <w:ind w:firstLine="3780" w:firstLineChars="1800"/>
        <w:rPr>
          <w:rFonts w:hint="eastAsia" w:ascii="仿宋" w:hAnsi="仿宋" w:eastAsia="仿宋" w:cs="仿宋"/>
          <w:color w:val="auto"/>
          <w:highlight w:val="none"/>
        </w:rPr>
      </w:pPr>
      <w:r>
        <w:rPr>
          <w:rFonts w:hint="eastAsia" w:ascii="仿宋" w:hAnsi="仿宋" w:eastAsia="仿宋" w:cs="仿宋"/>
          <w:color w:val="auto"/>
          <w:kern w:val="2"/>
          <w:sz w:val="21"/>
          <w:highlight w:val="none"/>
          <w:lang w:bidi="ar"/>
        </w:rPr>
        <w:t>身份证号码：</w:t>
      </w:r>
      <w:r>
        <w:rPr>
          <w:rFonts w:hint="eastAsia" w:ascii="仿宋" w:hAnsi="仿宋" w:eastAsia="仿宋" w:cs="仿宋"/>
          <w:color w:val="auto"/>
          <w:kern w:val="2"/>
          <w:sz w:val="21"/>
          <w:highlight w:val="none"/>
          <w:u w:val="single"/>
          <w:lang w:bidi="ar"/>
        </w:rPr>
        <w:t xml:space="preserve">             </w:t>
      </w:r>
    </w:p>
    <w:p>
      <w:pPr>
        <w:pStyle w:val="16"/>
        <w:tabs>
          <w:tab w:val="left" w:pos="7363"/>
        </w:tabs>
        <w:spacing w:after="120" w:line="360" w:lineRule="auto"/>
        <w:ind w:firstLine="3780" w:firstLineChars="1800"/>
        <w:rPr>
          <w:rFonts w:hint="eastAsia" w:ascii="仿宋" w:hAnsi="仿宋" w:eastAsia="仿宋" w:cs="仿宋"/>
          <w:color w:val="auto"/>
          <w:highlight w:val="none"/>
        </w:rPr>
      </w:pPr>
      <w:r>
        <w:rPr>
          <w:rFonts w:hint="eastAsia" w:ascii="仿宋" w:hAnsi="仿宋" w:eastAsia="仿宋" w:cs="仿宋"/>
          <w:color w:val="auto"/>
          <w:kern w:val="2"/>
          <w:sz w:val="21"/>
          <w:highlight w:val="none"/>
          <w:lang w:bidi="ar"/>
        </w:rPr>
        <w:t>委托代理人：</w:t>
      </w:r>
      <w:r>
        <w:rPr>
          <w:rFonts w:hint="eastAsia" w:ascii="仿宋" w:hAnsi="仿宋" w:eastAsia="仿宋" w:cs="仿宋"/>
          <w:color w:val="auto"/>
          <w:kern w:val="2"/>
          <w:sz w:val="21"/>
          <w:highlight w:val="none"/>
          <w:u w:val="single"/>
          <w:lang w:bidi="ar"/>
        </w:rPr>
        <w:t xml:space="preserve">             </w:t>
      </w:r>
      <w:r>
        <w:rPr>
          <w:rFonts w:hint="eastAsia" w:ascii="仿宋" w:hAnsi="仿宋" w:eastAsia="仿宋" w:cs="仿宋"/>
          <w:color w:val="auto"/>
          <w:kern w:val="2"/>
          <w:sz w:val="21"/>
          <w:highlight w:val="none"/>
          <w:lang w:bidi="ar"/>
        </w:rPr>
        <w:t>（电子签章或签字）</w:t>
      </w:r>
    </w:p>
    <w:p>
      <w:pPr>
        <w:pStyle w:val="16"/>
        <w:tabs>
          <w:tab w:val="left" w:pos="7363"/>
        </w:tabs>
        <w:spacing w:after="120" w:line="360" w:lineRule="auto"/>
        <w:ind w:firstLine="3780" w:firstLineChars="1800"/>
        <w:rPr>
          <w:rFonts w:hint="eastAsia" w:ascii="仿宋" w:hAnsi="仿宋" w:eastAsia="仿宋" w:cs="仿宋"/>
          <w:color w:val="auto"/>
          <w:kern w:val="2"/>
          <w:sz w:val="21"/>
          <w:highlight w:val="none"/>
          <w:u w:val="single"/>
          <w:lang w:bidi="ar"/>
        </w:rPr>
      </w:pPr>
      <w:r>
        <w:rPr>
          <w:rFonts w:hint="eastAsia" w:ascii="仿宋" w:hAnsi="仿宋" w:eastAsia="仿宋" w:cs="仿宋"/>
          <w:color w:val="auto"/>
          <w:kern w:val="2"/>
          <w:sz w:val="21"/>
          <w:highlight w:val="none"/>
          <w:lang w:bidi="ar"/>
        </w:rPr>
        <w:t>身份证号码：</w:t>
      </w:r>
      <w:r>
        <w:rPr>
          <w:rFonts w:hint="eastAsia" w:ascii="仿宋" w:hAnsi="仿宋" w:eastAsia="仿宋" w:cs="仿宋"/>
          <w:color w:val="auto"/>
          <w:kern w:val="2"/>
          <w:sz w:val="21"/>
          <w:highlight w:val="none"/>
          <w:u w:val="single"/>
          <w:lang w:bidi="ar"/>
        </w:rPr>
        <w:t xml:space="preserve">             </w:t>
      </w:r>
    </w:p>
    <w:p>
      <w:pPr>
        <w:pStyle w:val="16"/>
        <w:tabs>
          <w:tab w:val="left" w:pos="7363"/>
        </w:tabs>
        <w:spacing w:after="120" w:line="360" w:lineRule="auto"/>
        <w:ind w:firstLine="3780" w:firstLineChars="1800"/>
        <w:rPr>
          <w:rFonts w:hint="eastAsia" w:ascii="仿宋" w:hAnsi="仿宋" w:eastAsia="仿宋" w:cs="仿宋"/>
          <w:color w:val="auto"/>
          <w:kern w:val="2"/>
          <w:sz w:val="21"/>
          <w:highlight w:val="none"/>
          <w:u w:val="none"/>
          <w:lang w:val="en-US" w:eastAsia="zh-CN" w:bidi="ar"/>
        </w:rPr>
      </w:pPr>
      <w:r>
        <w:rPr>
          <w:rFonts w:hint="eastAsia" w:ascii="仿宋" w:hAnsi="仿宋" w:eastAsia="仿宋" w:cs="仿宋"/>
          <w:color w:val="auto"/>
          <w:kern w:val="2"/>
          <w:sz w:val="21"/>
          <w:highlight w:val="none"/>
          <w:u w:val="none"/>
          <w:lang w:val="en-US" w:eastAsia="zh-CN" w:bidi="ar"/>
        </w:rPr>
        <w:t>公司邮箱：</w:t>
      </w:r>
      <w:r>
        <w:rPr>
          <w:rFonts w:hint="eastAsia" w:ascii="仿宋" w:hAnsi="仿宋" w:eastAsia="仿宋" w:cs="仿宋"/>
          <w:color w:val="auto"/>
          <w:kern w:val="2"/>
          <w:sz w:val="21"/>
          <w:highlight w:val="none"/>
          <w:u w:val="single"/>
          <w:lang w:val="en-US" w:eastAsia="zh-CN" w:bidi="ar"/>
        </w:rPr>
        <w:t xml:space="preserve">               </w:t>
      </w:r>
    </w:p>
    <w:p>
      <w:pPr>
        <w:pStyle w:val="16"/>
        <w:tabs>
          <w:tab w:val="left" w:pos="7363"/>
        </w:tabs>
        <w:spacing w:after="120" w:line="360" w:lineRule="auto"/>
        <w:ind w:firstLine="3780" w:firstLineChars="1800"/>
        <w:rPr>
          <w:rFonts w:hint="eastAsia" w:ascii="仿宋" w:hAnsi="仿宋" w:eastAsia="仿宋" w:cs="仿宋"/>
          <w:color w:val="auto"/>
          <w:kern w:val="2"/>
          <w:sz w:val="21"/>
          <w:highlight w:val="none"/>
          <w:u w:val="single"/>
          <w:lang w:val="en-US" w:eastAsia="zh-CN" w:bidi="ar"/>
        </w:rPr>
      </w:pPr>
      <w:r>
        <w:rPr>
          <w:rFonts w:hint="eastAsia" w:ascii="仿宋" w:hAnsi="仿宋" w:eastAsia="仿宋" w:cs="仿宋"/>
          <w:color w:val="auto"/>
          <w:kern w:val="2"/>
          <w:sz w:val="21"/>
          <w:highlight w:val="none"/>
          <w:u w:val="none"/>
          <w:lang w:val="en-US" w:eastAsia="zh-CN" w:bidi="ar"/>
        </w:rPr>
        <w:t>联系电话：</w:t>
      </w:r>
      <w:r>
        <w:rPr>
          <w:rFonts w:hint="eastAsia" w:ascii="仿宋" w:hAnsi="仿宋" w:eastAsia="仿宋" w:cs="仿宋"/>
          <w:color w:val="auto"/>
          <w:kern w:val="2"/>
          <w:sz w:val="21"/>
          <w:highlight w:val="none"/>
          <w:u w:val="single"/>
          <w:lang w:val="en-US" w:eastAsia="zh-CN" w:bidi="ar"/>
        </w:rPr>
        <w:t xml:space="preserve">               </w:t>
      </w:r>
    </w:p>
    <w:p>
      <w:pPr>
        <w:pStyle w:val="16"/>
        <w:spacing w:after="120" w:line="360" w:lineRule="auto"/>
        <w:rPr>
          <w:rFonts w:hint="eastAsia" w:ascii="仿宋" w:hAnsi="仿宋" w:eastAsia="仿宋" w:cs="仿宋"/>
          <w:color w:val="auto"/>
          <w:sz w:val="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2520" w:leftChars="0" w:firstLine="3360" w:firstLineChars="1600"/>
        <w:textAlignment w:val="auto"/>
        <w:rPr>
          <w:rFonts w:hint="eastAsia" w:ascii="仿宋" w:hAnsi="仿宋" w:eastAsia="仿宋" w:cs="仿宋"/>
          <w:sz w:val="21"/>
          <w:szCs w:val="21"/>
          <w:highlight w:val="none"/>
        </w:rPr>
      </w:pPr>
      <w:r>
        <w:rPr>
          <w:rFonts w:hint="eastAsia" w:ascii="仿宋" w:hAnsi="仿宋" w:eastAsia="仿宋" w:cs="仿宋"/>
          <w:color w:val="auto"/>
          <w:highlight w:val="none"/>
          <w:u w:val="single"/>
          <w:lang w:bidi="ar"/>
        </w:rPr>
        <w:t xml:space="preserve"> </w:t>
      </w:r>
      <w:r>
        <w:rPr>
          <w:rFonts w:hint="eastAsia" w:ascii="仿宋" w:hAnsi="仿宋" w:eastAsia="仿宋" w:cs="仿宋"/>
          <w:color w:val="auto"/>
          <w:highlight w:val="none"/>
          <w:u w:val="single"/>
          <w:lang w:bidi="ar"/>
        </w:rPr>
        <w:tab/>
      </w:r>
      <w:r>
        <w:rPr>
          <w:rFonts w:hint="eastAsia" w:ascii="仿宋" w:hAnsi="仿宋" w:eastAsia="仿宋" w:cs="仿宋"/>
          <w:color w:val="auto"/>
          <w:highlight w:val="none"/>
          <w:lang w:bidi="ar"/>
        </w:rPr>
        <w:t>年</w:t>
      </w:r>
      <w:r>
        <w:rPr>
          <w:rFonts w:hint="eastAsia" w:ascii="仿宋" w:hAnsi="仿宋" w:eastAsia="仿宋" w:cs="仿宋"/>
          <w:color w:val="auto"/>
          <w:highlight w:val="none"/>
          <w:u w:val="single"/>
          <w:lang w:bidi="ar"/>
        </w:rPr>
        <w:t xml:space="preserve"> </w:t>
      </w:r>
      <w:r>
        <w:rPr>
          <w:rFonts w:hint="eastAsia" w:ascii="仿宋" w:hAnsi="仿宋" w:eastAsia="仿宋" w:cs="仿宋"/>
          <w:color w:val="auto"/>
          <w:highlight w:val="none"/>
          <w:u w:val="single"/>
          <w:lang w:bidi="ar"/>
        </w:rPr>
        <w:tab/>
      </w:r>
      <w:r>
        <w:rPr>
          <w:rFonts w:hint="eastAsia" w:ascii="仿宋" w:hAnsi="仿宋" w:eastAsia="仿宋" w:cs="仿宋"/>
          <w:color w:val="auto"/>
          <w:highlight w:val="none"/>
          <w:lang w:bidi="ar"/>
        </w:rPr>
        <w:t>月</w:t>
      </w:r>
      <w:r>
        <w:rPr>
          <w:rFonts w:hint="eastAsia" w:ascii="仿宋" w:hAnsi="仿宋" w:eastAsia="仿宋" w:cs="仿宋"/>
          <w:color w:val="auto"/>
          <w:highlight w:val="none"/>
          <w:u w:val="single"/>
          <w:lang w:bidi="ar"/>
        </w:rPr>
        <w:t xml:space="preserve"> </w:t>
      </w:r>
      <w:r>
        <w:rPr>
          <w:rFonts w:hint="eastAsia" w:ascii="仿宋" w:hAnsi="仿宋" w:eastAsia="仿宋" w:cs="仿宋"/>
          <w:color w:val="auto"/>
          <w:highlight w:val="none"/>
          <w:u w:val="single"/>
          <w:lang w:bidi="ar"/>
        </w:rPr>
        <w:tab/>
      </w:r>
      <w:r>
        <w:rPr>
          <w:rFonts w:hint="eastAsia" w:ascii="仿宋" w:hAnsi="仿宋" w:eastAsia="仿宋" w:cs="仿宋"/>
          <w:color w:val="auto"/>
          <w:highlight w:val="none"/>
          <w:lang w:bidi="ar"/>
        </w:rPr>
        <w:t>日</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4"/>
        <w:numPr>
          <w:ilvl w:val="1"/>
          <w:numId w:val="0"/>
        </w:numPr>
        <w:bidi w:val="0"/>
        <w:jc w:val="center"/>
        <w:rPr>
          <w:rFonts w:hint="eastAsia" w:ascii="仿宋" w:hAnsi="仿宋" w:eastAsia="仿宋" w:cs="仿宋"/>
          <w:highlight w:val="none"/>
        </w:rPr>
      </w:pPr>
      <w:bookmarkStart w:id="89" w:name="_Toc20290"/>
      <w:bookmarkStart w:id="90" w:name="_Toc15197"/>
      <w:r>
        <w:rPr>
          <w:rFonts w:hint="eastAsia" w:ascii="仿宋" w:hAnsi="仿宋" w:eastAsia="仿宋" w:cs="仿宋"/>
          <w:highlight w:val="none"/>
        </w:rPr>
        <w:t>四、</w:t>
      </w:r>
      <w:bookmarkEnd w:id="89"/>
      <w:bookmarkEnd w:id="90"/>
      <w:r>
        <w:rPr>
          <w:rFonts w:hint="eastAsia" w:ascii="仿宋" w:hAnsi="仿宋" w:eastAsia="仿宋" w:cs="仿宋"/>
          <w:highlight w:val="none"/>
        </w:rPr>
        <w:t>供应商基本情况</w:t>
      </w:r>
    </w:p>
    <w:p>
      <w:pPr>
        <w:pStyle w:val="5"/>
        <w:bidi w:val="0"/>
        <w:jc w:val="center"/>
        <w:rPr>
          <w:rFonts w:hint="eastAsia" w:ascii="仿宋" w:hAnsi="仿宋" w:eastAsia="仿宋" w:cs="仿宋"/>
          <w:highlight w:val="none"/>
        </w:rPr>
      </w:pPr>
      <w:bookmarkStart w:id="91" w:name="_Toc9814"/>
      <w:bookmarkStart w:id="92" w:name="_Toc2727"/>
      <w:r>
        <w:rPr>
          <w:rFonts w:hint="eastAsia" w:ascii="仿宋" w:hAnsi="仿宋" w:eastAsia="仿宋" w:cs="仿宋"/>
          <w:highlight w:val="none"/>
        </w:rPr>
        <w:t>供应商基本情况表</w:t>
      </w:r>
      <w:bookmarkEnd w:id="91"/>
      <w:bookmarkEnd w:id="9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323"/>
        <w:gridCol w:w="1894"/>
        <w:gridCol w:w="1476"/>
        <w:gridCol w:w="108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供应商名称</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注册地址</w:t>
            </w:r>
          </w:p>
        </w:tc>
        <w:tc>
          <w:tcPr>
            <w:tcW w:w="32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邮政编码</w:t>
            </w:r>
          </w:p>
        </w:tc>
        <w:tc>
          <w:tcPr>
            <w:tcW w:w="28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联系人</w:t>
            </w:r>
          </w:p>
        </w:tc>
        <w:tc>
          <w:tcPr>
            <w:tcW w:w="32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电 话</w:t>
            </w:r>
          </w:p>
        </w:tc>
        <w:tc>
          <w:tcPr>
            <w:tcW w:w="281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法定代表人</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姓名</w:t>
            </w:r>
          </w:p>
        </w:tc>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电话</w:t>
            </w:r>
          </w:p>
        </w:tc>
        <w:tc>
          <w:tcPr>
            <w:tcW w:w="17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技术负责人</w:t>
            </w:r>
          </w:p>
        </w:tc>
        <w:tc>
          <w:tcPr>
            <w:tcW w:w="13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姓名</w:t>
            </w:r>
          </w:p>
        </w:tc>
        <w:tc>
          <w:tcPr>
            <w:tcW w:w="33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电话</w:t>
            </w:r>
          </w:p>
        </w:tc>
        <w:tc>
          <w:tcPr>
            <w:tcW w:w="173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成立时间</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员工总人数</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营业执照号</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注册资金</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经营范围</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p>
            <w:pPr>
              <w:autoSpaceDE w:val="0"/>
              <w:autoSpaceDN w:val="0"/>
              <w:adjustRightInd w:val="0"/>
              <w:spacing w:line="360" w:lineRule="exact"/>
              <w:jc w:val="center"/>
              <w:rPr>
                <w:rFonts w:hint="eastAsia" w:ascii="仿宋" w:hAnsi="仿宋" w:eastAsia="仿宋" w:cs="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备注</w:t>
            </w:r>
          </w:p>
        </w:tc>
        <w:tc>
          <w:tcPr>
            <w:tcW w:w="7503"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kern w:val="0"/>
                <w:szCs w:val="21"/>
                <w:highlight w:val="none"/>
              </w:rPr>
            </w:pPr>
          </w:p>
        </w:tc>
      </w:tr>
    </w:tbl>
    <w:p>
      <w:pPr>
        <w:pStyle w:val="31"/>
        <w:rPr>
          <w:rFonts w:hint="eastAsia" w:ascii="仿宋" w:hAnsi="仿宋" w:eastAsia="仿宋" w:cs="仿宋"/>
          <w:highlight w:val="none"/>
        </w:rPr>
      </w:pPr>
    </w:p>
    <w:p>
      <w:pPr>
        <w:rPr>
          <w:rFonts w:hint="eastAsia" w:ascii="仿宋" w:hAnsi="仿宋" w:eastAsia="仿宋" w:cs="仿宋"/>
          <w:spacing w:val="-5"/>
          <w:sz w:val="21"/>
          <w:szCs w:val="21"/>
          <w:highlight w:val="none"/>
          <w14:textOutline w14:w="4354" w14:cap="flat" w14:cmpd="sng">
            <w14:solidFill>
              <w14:srgbClr w14:val="000000"/>
            </w14:solidFill>
            <w14:prstDash w14:val="solid"/>
            <w14:miter w14:val="0"/>
          </w14:textOutline>
        </w:rPr>
      </w:pPr>
      <w:r>
        <w:rPr>
          <w:rFonts w:hint="eastAsia" w:ascii="仿宋" w:hAnsi="仿宋" w:eastAsia="仿宋" w:cs="仿宋"/>
          <w:spacing w:val="-10"/>
          <w:sz w:val="21"/>
          <w:szCs w:val="21"/>
          <w:highlight w:val="none"/>
          <w14:textOutline w14:w="4354" w14:cap="flat" w14:cmpd="sng">
            <w14:solidFill>
              <w14:srgbClr w14:val="000000"/>
            </w14:solidFill>
            <w14:prstDash w14:val="solid"/>
            <w14:miter w14:val="0"/>
          </w14:textOutline>
        </w:rPr>
        <w:t>注：</w:t>
      </w:r>
      <w:r>
        <w:rPr>
          <w:rFonts w:hint="eastAsia" w:ascii="仿宋" w:hAnsi="仿宋" w:eastAsia="仿宋" w:cs="仿宋"/>
          <w:spacing w:val="-6"/>
          <w:sz w:val="21"/>
          <w:szCs w:val="21"/>
          <w:highlight w:val="none"/>
        </w:rPr>
        <w:t xml:space="preserve"> </w:t>
      </w:r>
      <w:r>
        <w:rPr>
          <w:rFonts w:hint="eastAsia" w:ascii="仿宋" w:hAnsi="仿宋" w:eastAsia="仿宋" w:cs="仿宋"/>
          <w:spacing w:val="-5"/>
          <w:sz w:val="21"/>
          <w:szCs w:val="21"/>
          <w:highlight w:val="none"/>
          <w14:textOutline w14:w="4354" w14:cap="flat" w14:cmpd="sng">
            <w14:solidFill>
              <w14:srgbClr w14:val="000000"/>
            </w14:solidFill>
            <w14:prstDash w14:val="solid"/>
            <w14:miter w14:val="0"/>
          </w14:textOutline>
        </w:rPr>
        <w:t>后附</w:t>
      </w:r>
      <w:r>
        <w:rPr>
          <w:rFonts w:hint="eastAsia" w:ascii="仿宋" w:hAnsi="仿宋" w:eastAsia="仿宋" w:cs="仿宋"/>
          <w:spacing w:val="-5"/>
          <w:sz w:val="21"/>
          <w:szCs w:val="21"/>
          <w:highlight w:val="none"/>
          <w:lang w:eastAsia="zh-CN"/>
          <w14:textOutline w14:w="4354" w14:cap="flat" w14:cmpd="sng">
            <w14:solidFill>
              <w14:srgbClr w14:val="000000"/>
            </w14:solidFill>
            <w14:prstDash w14:val="solid"/>
            <w14:miter w14:val="0"/>
          </w14:textOutline>
        </w:rPr>
        <w:t>“</w:t>
      </w:r>
      <w:r>
        <w:rPr>
          <w:rFonts w:hint="eastAsia" w:ascii="仿宋" w:hAnsi="仿宋" w:eastAsia="仿宋" w:cs="仿宋"/>
          <w:spacing w:val="-5"/>
          <w:sz w:val="21"/>
          <w:szCs w:val="21"/>
          <w:highlight w:val="none"/>
          <w:lang w:val="en-US" w:eastAsia="zh-CN"/>
          <w14:textOutline w14:w="4354" w14:cap="flat" w14:cmpd="sng">
            <w14:solidFill>
              <w14:srgbClr w14:val="000000"/>
            </w14:solidFill>
            <w14:prstDash w14:val="solid"/>
            <w14:miter w14:val="0"/>
          </w14:textOutline>
        </w:rPr>
        <w:t>第二章 供应商须知前附表1.4.1 供应商资格要求”</w:t>
      </w:r>
      <w:r>
        <w:rPr>
          <w:rFonts w:hint="eastAsia" w:ascii="仿宋" w:hAnsi="仿宋" w:eastAsia="仿宋" w:cs="仿宋"/>
          <w:spacing w:val="-5"/>
          <w:sz w:val="21"/>
          <w:szCs w:val="21"/>
          <w:highlight w:val="none"/>
          <w14:textOutline w14:w="4354" w14:cap="flat" w14:cmpd="sng">
            <w14:solidFill>
              <w14:srgbClr w14:val="000000"/>
            </w14:solidFill>
            <w14:prstDash w14:val="solid"/>
            <w14:miter w14:val="0"/>
          </w14:textOutline>
        </w:rPr>
        <w:t>及申请人认为必要的其他资料（并加盖单位公章）。</w:t>
      </w:r>
    </w:p>
    <w:p>
      <w:pPr>
        <w:keepNext w:val="0"/>
        <w:keepLines w:val="0"/>
        <w:pageBreakBefore w:val="0"/>
        <w:widowControl w:val="0"/>
        <w:kinsoku/>
        <w:wordWrap/>
        <w:overflowPunct/>
        <w:topLinePunct w:val="0"/>
        <w:autoSpaceDE/>
        <w:autoSpaceDN/>
        <w:bidi w:val="0"/>
        <w:adjustRightInd/>
        <w:snapToGrid/>
        <w:spacing w:before="101" w:line="360" w:lineRule="auto"/>
        <w:jc w:val="center"/>
        <w:textAlignment w:val="auto"/>
        <w:rPr>
          <w:rFonts w:hint="eastAsia" w:ascii="仿宋" w:hAnsi="仿宋" w:eastAsia="仿宋" w:cs="仿宋"/>
          <w:sz w:val="21"/>
          <w:szCs w:val="21"/>
          <w:highlight w:val="none"/>
        </w:rPr>
      </w:pPr>
      <w:r>
        <w:rPr>
          <w:rFonts w:hint="eastAsia" w:ascii="仿宋" w:hAnsi="仿宋" w:eastAsia="仿宋" w:cs="仿宋"/>
          <w:highlight w:val="none"/>
          <w:lang w:val="en-US" w:eastAsia="zh-CN"/>
        </w:rPr>
        <w:br w:type="page"/>
      </w:r>
      <w:bookmarkStart w:id="93" w:name="_Toc21729"/>
      <w:bookmarkStart w:id="94" w:name="_Toc19849"/>
      <w:r>
        <w:rPr>
          <w:rStyle w:val="29"/>
          <w:rFonts w:hint="eastAsia" w:ascii="仿宋" w:hAnsi="仿宋" w:eastAsia="仿宋" w:cs="仿宋"/>
          <w:highlight w:val="none"/>
        </w:rPr>
        <w:t>五、技术部分</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firstLine="398" w:firstLineChars="200"/>
        <w:textAlignment w:val="auto"/>
        <w:rPr>
          <w:rFonts w:hint="eastAsia" w:ascii="仿宋" w:hAnsi="仿宋" w:eastAsia="仿宋" w:cs="仿宋"/>
          <w:b/>
          <w:bCs/>
          <w:spacing w:val="-6"/>
          <w:sz w:val="21"/>
          <w:szCs w:val="21"/>
          <w:highlight w:val="none"/>
        </w:rPr>
      </w:pPr>
      <w:r>
        <w:rPr>
          <w:rFonts w:hint="eastAsia" w:ascii="仿宋" w:hAnsi="仿宋" w:eastAsia="仿宋" w:cs="仿宋"/>
          <w:b/>
          <w:bCs/>
          <w:spacing w:val="-6"/>
          <w:sz w:val="21"/>
          <w:szCs w:val="21"/>
          <w:highlight w:val="none"/>
        </w:rPr>
        <w:t>供应商应结合本磋商文件第三章“磋商办法”中技术部分对应的评分标准细则，逐条响应。(格式自拟)</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4"/>
        <w:numPr>
          <w:ilvl w:val="1"/>
          <w:numId w:val="0"/>
        </w:numPr>
        <w:bidi w:val="0"/>
        <w:jc w:val="center"/>
        <w:rPr>
          <w:rFonts w:hint="eastAsia" w:ascii="仿宋" w:hAnsi="仿宋" w:eastAsia="仿宋" w:cs="仿宋"/>
          <w:highlight w:val="none"/>
        </w:rPr>
      </w:pPr>
      <w:bookmarkStart w:id="95" w:name="_Toc2580"/>
      <w:bookmarkStart w:id="96" w:name="_Toc17243"/>
      <w:r>
        <w:rPr>
          <w:rFonts w:hint="eastAsia" w:ascii="仿宋" w:hAnsi="仿宋" w:eastAsia="仿宋" w:cs="仿宋"/>
          <w:highlight w:val="none"/>
        </w:rPr>
        <w:t>六、商务部分</w:t>
      </w:r>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firstLine="398" w:firstLineChars="200"/>
        <w:textAlignment w:val="auto"/>
        <w:rPr>
          <w:rFonts w:hint="eastAsia" w:ascii="仿宋" w:hAnsi="仿宋" w:eastAsia="仿宋" w:cs="仿宋"/>
          <w:b/>
          <w:bCs/>
          <w:spacing w:val="-6"/>
          <w:sz w:val="21"/>
          <w:szCs w:val="21"/>
          <w:highlight w:val="none"/>
        </w:rPr>
      </w:pPr>
      <w:r>
        <w:rPr>
          <w:rFonts w:hint="eastAsia" w:ascii="仿宋" w:hAnsi="仿宋" w:eastAsia="仿宋" w:cs="仿宋"/>
          <w:b/>
          <w:bCs/>
          <w:spacing w:val="-6"/>
          <w:sz w:val="21"/>
          <w:szCs w:val="21"/>
          <w:highlight w:val="none"/>
        </w:rPr>
        <w:t>供应商应结合本磋商文件第三章“磋商办法”中商务部分对应的评分标准细则，逐条响应。(格式自拟)</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4"/>
        <w:numPr>
          <w:ilvl w:val="1"/>
          <w:numId w:val="0"/>
        </w:numPr>
        <w:bidi w:val="0"/>
        <w:jc w:val="center"/>
        <w:rPr>
          <w:rFonts w:hint="eastAsia" w:ascii="仿宋" w:hAnsi="仿宋" w:eastAsia="仿宋" w:cs="仿宋"/>
          <w:highlight w:val="none"/>
        </w:rPr>
      </w:pPr>
      <w:bookmarkStart w:id="97" w:name="_Toc2378"/>
      <w:bookmarkStart w:id="98" w:name="_Toc16011"/>
      <w:r>
        <w:rPr>
          <w:rFonts w:hint="eastAsia" w:ascii="仿宋" w:hAnsi="仿宋" w:eastAsia="仿宋" w:cs="仿宋"/>
          <w:highlight w:val="none"/>
        </w:rPr>
        <w:t>七、</w:t>
      </w:r>
      <w:bookmarkEnd w:id="97"/>
      <w:bookmarkEnd w:id="98"/>
      <w:r>
        <w:rPr>
          <w:rFonts w:hint="eastAsia" w:ascii="仿宋" w:hAnsi="仿宋" w:eastAsia="仿宋" w:cs="仿宋"/>
          <w:highlight w:val="none"/>
        </w:rPr>
        <w:t>供应商认为需提供的反映其实力的其他材料</w:t>
      </w:r>
    </w:p>
    <w:p>
      <w:pPr>
        <w:pStyle w:val="5"/>
        <w:pageBreakBefore w:val="0"/>
        <w:widowControl w:val="0"/>
        <w:kinsoku/>
        <w:wordWrap/>
        <w:overflowPunct/>
        <w:topLinePunct w:val="0"/>
        <w:autoSpaceDE/>
        <w:autoSpaceDN/>
        <w:bidi w:val="0"/>
        <w:adjustRightInd/>
        <w:snapToGrid/>
        <w:spacing w:line="440" w:lineRule="exact"/>
        <w:jc w:val="center"/>
        <w:textAlignment w:val="auto"/>
        <w:rPr>
          <w:rStyle w:val="32"/>
          <w:rFonts w:hint="eastAsia" w:ascii="仿宋" w:hAnsi="仿宋" w:eastAsia="仿宋" w:cs="仿宋"/>
          <w:b/>
          <w:color w:val="auto"/>
          <w:kern w:val="0"/>
          <w:sz w:val="28"/>
          <w:szCs w:val="28"/>
          <w:highlight w:val="none"/>
          <w:lang w:val="en-US" w:eastAsia="zh-CN" w:bidi="ar"/>
        </w:rPr>
      </w:pPr>
      <w:bookmarkStart w:id="99" w:name="_Toc13776"/>
      <w:bookmarkStart w:id="100" w:name="_Toc24950"/>
      <w:bookmarkStart w:id="101" w:name="_Toc11670"/>
      <w:bookmarkStart w:id="102" w:name="_Toc16837"/>
      <w:bookmarkStart w:id="103" w:name="_Toc26914"/>
      <w:r>
        <w:rPr>
          <w:rStyle w:val="32"/>
          <w:rFonts w:hint="eastAsia" w:ascii="仿宋" w:hAnsi="仿宋" w:eastAsia="仿宋" w:cs="仿宋"/>
          <w:b/>
          <w:color w:val="auto"/>
          <w:kern w:val="0"/>
          <w:sz w:val="28"/>
          <w:szCs w:val="28"/>
          <w:highlight w:val="none"/>
          <w:lang w:val="en-US" w:eastAsia="zh-CN" w:bidi="ar"/>
        </w:rPr>
        <w:t>(一) 资格承诺声明函</w:t>
      </w:r>
      <w:bookmarkEnd w:id="99"/>
      <w:bookmarkEnd w:id="100"/>
      <w:bookmarkEnd w:id="101"/>
      <w:bookmarkEnd w:id="102"/>
      <w:bookmarkEnd w:id="103"/>
    </w:p>
    <w:p>
      <w:pPr>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highlight w:val="none"/>
          <w:lang w:val="en-US" w:eastAsia="zh-CN" w:bidi="ar"/>
        </w:rPr>
      </w:pPr>
      <w:r>
        <w:rPr>
          <w:rFonts w:hint="eastAsia" w:ascii="仿宋" w:hAnsi="仿宋" w:eastAsia="仿宋" w:cs="仿宋"/>
          <w:b/>
          <w:bCs/>
          <w:color w:val="auto"/>
          <w:highlight w:val="none"/>
          <w:lang w:val="en-US" w:eastAsia="zh-CN" w:bidi="ar"/>
        </w:rPr>
        <w:t>资格承诺声明函</w:t>
      </w:r>
    </w:p>
    <w:p>
      <w:pPr>
        <w:spacing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u w:val="single"/>
          <w:lang w:val="en-US" w:eastAsia="zh-CN"/>
        </w:rPr>
        <w:t>致（本项目采购单位）</w:t>
      </w:r>
      <w:r>
        <w:rPr>
          <w:rFonts w:hint="eastAsia" w:ascii="仿宋" w:hAnsi="仿宋" w:eastAsia="仿宋" w:cs="仿宋"/>
          <w:color w:val="auto"/>
          <w:sz w:val="21"/>
          <w:szCs w:val="21"/>
          <w:highlight w:val="none"/>
          <w:lang w:val="en-US" w:eastAsia="zh-CN"/>
        </w:rPr>
        <w:t>：</w:t>
      </w:r>
    </w:p>
    <w:p>
      <w:pPr>
        <w:spacing w:line="360" w:lineRule="auto"/>
        <w:ind w:firstLine="420" w:firstLineChars="2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我单位自愿参加本次政府采购活动，严格遵守《中华人民共和国政府采购法》及相关法律法规，依法诚信经营，依法遵守本次政府采购活动的各项规定。我单位郑重承诺声明如下：</w:t>
      </w:r>
    </w:p>
    <w:p>
      <w:pPr>
        <w:spacing w:line="360" w:lineRule="auto"/>
        <w:ind w:firstLine="420" w:firstLineChars="200"/>
        <w:jc w:val="both"/>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lang w:val="en-US" w:eastAsia="zh-CN"/>
        </w:rPr>
        <w:t>一、我单位全称为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注册地点为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统一社会信用代码为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法定代表人（单位负责人）为</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联系方式为</w:t>
      </w:r>
      <w:r>
        <w:rPr>
          <w:rFonts w:hint="eastAsia" w:ascii="仿宋" w:hAnsi="仿宋" w:eastAsia="仿宋" w:cs="仿宋"/>
          <w:color w:val="auto"/>
          <w:sz w:val="21"/>
          <w:szCs w:val="21"/>
          <w:highlight w:val="none"/>
          <w:u w:val="single"/>
          <w:lang w:val="en-US" w:eastAsia="zh-CN"/>
        </w:rPr>
        <w:t xml:space="preserve">                          。</w:t>
      </w:r>
    </w:p>
    <w:p>
      <w:pPr>
        <w:spacing w:line="360" w:lineRule="auto"/>
        <w:ind w:firstLine="420" w:firstLineChars="200"/>
        <w:jc w:val="both"/>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二、我单位具有独立承担民事责任的能力。</w:t>
      </w:r>
    </w:p>
    <w:p>
      <w:pPr>
        <w:spacing w:line="360" w:lineRule="auto"/>
        <w:ind w:firstLine="420" w:firstLineChars="200"/>
        <w:jc w:val="both"/>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三、我单位具有良好的商业信誉和健全的财务会计制度。</w:t>
      </w:r>
    </w:p>
    <w:p>
      <w:pPr>
        <w:spacing w:line="360" w:lineRule="auto"/>
        <w:ind w:firstLine="420" w:firstLineChars="200"/>
        <w:jc w:val="both"/>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四、我单位具有履行合同所必需的设备和专业技术能力。</w:t>
      </w:r>
    </w:p>
    <w:p>
      <w:pPr>
        <w:spacing w:line="360" w:lineRule="auto"/>
        <w:ind w:firstLine="420" w:firstLineChars="200"/>
        <w:jc w:val="both"/>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五、我单位有依法缴纳税收和社会保障资金的良好记录。</w:t>
      </w:r>
    </w:p>
    <w:p>
      <w:pPr>
        <w:spacing w:line="360" w:lineRule="auto"/>
        <w:ind w:firstLine="420" w:firstLineChars="200"/>
        <w:jc w:val="both"/>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六、我单位参加政府采购活动前三年内，在经营活动中没有重大违法记录。（重大违法记录，是指供应商因违法经营受到刑事处罚或者责令停产停业、吊销许可证或者执照、较大数额罚款等行政处罚。）</w:t>
      </w:r>
    </w:p>
    <w:p>
      <w:pPr>
        <w:spacing w:line="360" w:lineRule="auto"/>
        <w:ind w:firstLine="420" w:firstLineChars="200"/>
        <w:jc w:val="both"/>
        <w:rPr>
          <w:rFonts w:hint="eastAsia" w:ascii="仿宋" w:hAnsi="仿宋" w:eastAsia="仿宋" w:cs="仿宋"/>
          <w:color w:val="auto"/>
          <w:sz w:val="21"/>
          <w:szCs w:val="21"/>
          <w:highlight w:val="none"/>
          <w:u w:val="none"/>
          <w:lang w:val="en-US" w:eastAsia="zh-CN"/>
        </w:rPr>
      </w:pPr>
      <w:r>
        <w:rPr>
          <w:rFonts w:hint="eastAsia" w:ascii="仿宋" w:hAnsi="仿宋" w:eastAsia="仿宋" w:cs="仿宋"/>
          <w:color w:val="auto"/>
          <w:sz w:val="21"/>
          <w:szCs w:val="21"/>
          <w:highlight w:val="none"/>
          <w:u w:val="none"/>
          <w:lang w:val="en-US" w:eastAsia="zh-CN"/>
        </w:rPr>
        <w:t>七、我单位具备法律、行政法规规定的其他条件。</w:t>
      </w:r>
    </w:p>
    <w:p>
      <w:pPr>
        <w:spacing w:line="360" w:lineRule="auto"/>
        <w:ind w:firstLine="420" w:firstLineChars="2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u w:val="none"/>
          <w:lang w:val="en-US" w:eastAsia="zh-CN"/>
        </w:rPr>
        <w:t>我单位保证上述声明的事项都是真实的，符合</w:t>
      </w:r>
      <w:r>
        <w:rPr>
          <w:rFonts w:hint="eastAsia" w:ascii="仿宋" w:hAnsi="仿宋" w:eastAsia="仿宋" w:cs="仿宋"/>
          <w:color w:val="auto"/>
          <w:sz w:val="21"/>
          <w:szCs w:val="21"/>
          <w:highlight w:val="none"/>
          <w:lang w:val="en-US" w:eastAsia="zh-CN"/>
        </w:rPr>
        <w:t>《中华人民共和国政府采购法》规定的供应商资格条件。如有弄虚作假，我单位愿意按照“提交虚假材料谋取中标、成交”承担相应的法律责任，同意将违背承诺行为作为失信行为记录到社会信用信息平台，并承担因此造成的一切损失。</w:t>
      </w:r>
    </w:p>
    <w:p>
      <w:pPr>
        <w:spacing w:line="360" w:lineRule="auto"/>
        <w:ind w:firstLine="1260" w:firstLineChars="6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承诺单位（</w:t>
      </w:r>
      <w:r>
        <w:rPr>
          <w:rFonts w:hint="eastAsia" w:ascii="仿宋" w:hAnsi="仿宋" w:eastAsia="仿宋" w:cs="仿宋"/>
          <w:spacing w:val="16"/>
          <w:sz w:val="21"/>
          <w:szCs w:val="21"/>
          <w:highlight w:val="none"/>
        </w:rPr>
        <w:t>电子签章</w:t>
      </w:r>
      <w:r>
        <w:rPr>
          <w:rFonts w:hint="eastAsia" w:ascii="仿宋" w:hAnsi="仿宋" w:eastAsia="仿宋" w:cs="仿宋"/>
          <w:color w:val="auto"/>
          <w:sz w:val="21"/>
          <w:szCs w:val="21"/>
          <w:highlight w:val="none"/>
          <w:lang w:val="en-US" w:eastAsia="zh-CN"/>
        </w:rPr>
        <w:t>）：</w:t>
      </w:r>
    </w:p>
    <w:p>
      <w:pPr>
        <w:spacing w:line="360" w:lineRule="auto"/>
        <w:ind w:firstLine="1260" w:firstLineChars="6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法定代表人或授权代表（电子签章或签字）：</w:t>
      </w:r>
    </w:p>
    <w:p>
      <w:pPr>
        <w:spacing w:line="360" w:lineRule="auto"/>
        <w:ind w:firstLine="1260" w:firstLineChars="6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日期：       年      月       日</w:t>
      </w:r>
    </w:p>
    <w:p>
      <w:pPr>
        <w:spacing w:line="360" w:lineRule="auto"/>
        <w:ind w:left="440" w:hanging="440" w:hangingChars="200"/>
        <w:jc w:val="left"/>
        <w:rPr>
          <w:rFonts w:hint="eastAsia" w:ascii="仿宋" w:hAnsi="仿宋" w:eastAsia="仿宋" w:cs="仿宋"/>
          <w:color w:val="auto"/>
          <w:sz w:val="22"/>
          <w:szCs w:val="28"/>
          <w:highlight w:val="none"/>
          <w:lang w:val="en-US" w:eastAsia="zh-CN"/>
        </w:rPr>
      </w:pPr>
    </w:p>
    <w:p>
      <w:pPr>
        <w:spacing w:line="360" w:lineRule="auto"/>
        <w:ind w:left="440" w:hanging="440" w:hangingChars="200"/>
        <w:jc w:val="left"/>
        <w:rPr>
          <w:rFonts w:hint="eastAsia"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注：1.投标人须在响应文件中按此模板提供承诺函，未提供视为未实质性响应招标文件要求，按无效投标处理。</w:t>
      </w:r>
    </w:p>
    <w:p>
      <w:pPr>
        <w:numPr>
          <w:ilvl w:val="0"/>
          <w:numId w:val="13"/>
        </w:numPr>
        <w:spacing w:line="360" w:lineRule="auto"/>
        <w:ind w:firstLine="440" w:firstLineChars="200"/>
        <w:jc w:val="left"/>
        <w:rPr>
          <w:rFonts w:hint="eastAsia"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投标人的法定代表人或者授权代表的签字或盖章应真实、有效。</w:t>
      </w:r>
    </w:p>
    <w:p>
      <w:pPr>
        <w:numPr>
          <w:ilvl w:val="0"/>
          <w:numId w:val="0"/>
        </w:numPr>
        <w:spacing w:line="360" w:lineRule="auto"/>
        <w:jc w:val="center"/>
        <w:rPr>
          <w:rFonts w:hint="eastAsia" w:ascii="仿宋" w:hAnsi="仿宋" w:eastAsia="仿宋" w:cs="仿宋"/>
          <w:color w:val="auto"/>
          <w:spacing w:val="8"/>
          <w:highlight w:val="none"/>
        </w:rPr>
      </w:pPr>
      <w:bookmarkStart w:id="104" w:name="_Toc22839"/>
      <w:bookmarkStart w:id="105" w:name="_Toc14796"/>
      <w:bookmarkStart w:id="106" w:name="_Toc12979"/>
      <w:bookmarkStart w:id="107" w:name="_Toc14278"/>
      <w:bookmarkStart w:id="108" w:name="_Toc25505"/>
      <w:r>
        <w:rPr>
          <w:rStyle w:val="32"/>
          <w:rFonts w:hint="eastAsia" w:ascii="仿宋" w:hAnsi="仿宋" w:eastAsia="仿宋" w:cs="仿宋"/>
          <w:b/>
          <w:color w:val="auto"/>
          <w:sz w:val="28"/>
          <w:szCs w:val="28"/>
          <w:highlight w:val="none"/>
          <w:lang w:val="en-US" w:eastAsia="zh-CN"/>
        </w:rPr>
        <w:t>（二）招标代理服务费承诺函</w:t>
      </w:r>
      <w:bookmarkEnd w:id="104"/>
      <w:bookmarkEnd w:id="105"/>
      <w:bookmarkEnd w:id="106"/>
      <w:bookmarkEnd w:id="107"/>
      <w:bookmarkEnd w:id="108"/>
    </w:p>
    <w:p>
      <w:pPr>
        <w:pStyle w:val="16"/>
        <w:widowControl/>
        <w:spacing w:line="360" w:lineRule="auto"/>
        <w:jc w:val="both"/>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shd w:val="clear" w:color="auto" w:fill="FFFFFF"/>
        </w:rPr>
        <w:t>致采购代理机构：</w:t>
      </w:r>
    </w:p>
    <w:p>
      <w:pPr>
        <w:pStyle w:val="16"/>
        <w:widowControl/>
        <w:spacing w:line="360" w:lineRule="auto"/>
        <w:ind w:firstLine="480"/>
        <w:jc w:val="both"/>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shd w:val="clear" w:color="auto" w:fill="FFFFFF"/>
        </w:rPr>
        <w:t>我们在贵公司组织的（项目名称：</w:t>
      </w:r>
      <w:r>
        <w:rPr>
          <w:rFonts w:hint="eastAsia" w:ascii="仿宋" w:hAnsi="仿宋" w:eastAsia="仿宋" w:cs="仿宋"/>
          <w:color w:val="auto"/>
          <w:spacing w:val="8"/>
          <w:sz w:val="21"/>
          <w:szCs w:val="21"/>
          <w:highlight w:val="none"/>
          <w:u w:val="single"/>
          <w:shd w:val="clear" w:color="auto" w:fill="FFFFFF"/>
        </w:rPr>
        <w:t xml:space="preserve">      </w:t>
      </w:r>
      <w:r>
        <w:rPr>
          <w:rFonts w:hint="eastAsia" w:ascii="仿宋" w:hAnsi="仿宋" w:eastAsia="仿宋" w:cs="仿宋"/>
          <w:color w:val="auto"/>
          <w:spacing w:val="8"/>
          <w:sz w:val="21"/>
          <w:szCs w:val="21"/>
          <w:highlight w:val="none"/>
          <w:shd w:val="clear" w:color="auto" w:fill="FFFFFF"/>
        </w:rPr>
        <w:t>，项目编号：</w:t>
      </w:r>
      <w:r>
        <w:rPr>
          <w:rFonts w:hint="eastAsia" w:ascii="仿宋" w:hAnsi="仿宋" w:eastAsia="仿宋" w:cs="仿宋"/>
          <w:color w:val="auto"/>
          <w:spacing w:val="8"/>
          <w:sz w:val="21"/>
          <w:szCs w:val="21"/>
          <w:highlight w:val="none"/>
          <w:u w:val="single"/>
          <w:shd w:val="clear" w:color="auto" w:fill="FFFFFF"/>
        </w:rPr>
        <w:t xml:space="preserve">      </w:t>
      </w:r>
      <w:r>
        <w:rPr>
          <w:rFonts w:hint="eastAsia" w:ascii="仿宋" w:hAnsi="仿宋" w:eastAsia="仿宋" w:cs="仿宋"/>
          <w:color w:val="auto"/>
          <w:spacing w:val="8"/>
          <w:sz w:val="21"/>
          <w:szCs w:val="21"/>
          <w:highlight w:val="none"/>
          <w:shd w:val="clear" w:color="auto" w:fill="FFFFFF"/>
        </w:rPr>
        <w:t>）招标中若获成交，我们保证在成交公告发布后5个工作日内，按招标文件的规定，以现金形式向贵公司一次性支付招标代理服务费用。否则，由此产生的一切法律后果和责任由我公司承担。我公司声明放弃对此提出任何异议和追索的权利。</w:t>
      </w:r>
    </w:p>
    <w:p>
      <w:pPr>
        <w:pStyle w:val="16"/>
        <w:widowControl/>
        <w:spacing w:line="360" w:lineRule="auto"/>
        <w:jc w:val="both"/>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shd w:val="clear" w:color="auto" w:fill="FFFFFF"/>
        </w:rPr>
        <w:t>特此承诺。</w:t>
      </w:r>
    </w:p>
    <w:p>
      <w:pPr>
        <w:pStyle w:val="16"/>
        <w:widowControl/>
        <w:spacing w:line="360" w:lineRule="auto"/>
        <w:jc w:val="both"/>
        <w:rPr>
          <w:rFonts w:hint="eastAsia" w:ascii="仿宋" w:hAnsi="仿宋" w:eastAsia="仿宋" w:cs="仿宋"/>
          <w:color w:val="auto"/>
          <w:spacing w:val="8"/>
          <w:sz w:val="21"/>
          <w:szCs w:val="21"/>
          <w:highlight w:val="none"/>
        </w:rPr>
      </w:pPr>
      <w:r>
        <w:rPr>
          <w:rFonts w:hint="eastAsia" w:ascii="仿宋" w:hAnsi="仿宋" w:eastAsia="仿宋" w:cs="仿宋"/>
          <w:color w:val="auto"/>
          <w:spacing w:val="8"/>
          <w:sz w:val="21"/>
          <w:szCs w:val="21"/>
          <w:highlight w:val="none"/>
          <w:shd w:val="clear" w:color="auto" w:fill="FFFFFF"/>
        </w:rPr>
        <w:t> </w:t>
      </w:r>
    </w:p>
    <w:p>
      <w:pPr>
        <w:pStyle w:val="16"/>
        <w:widowControl/>
        <w:spacing w:line="360" w:lineRule="auto"/>
        <w:jc w:val="both"/>
        <w:rPr>
          <w:rFonts w:hint="eastAsia" w:ascii="仿宋" w:hAnsi="仿宋" w:eastAsia="仿宋" w:cs="仿宋"/>
          <w:color w:val="auto"/>
          <w:spacing w:val="8"/>
          <w:sz w:val="21"/>
          <w:szCs w:val="21"/>
          <w:highlight w:val="none"/>
          <w:shd w:val="clear" w:color="auto" w:fill="FFFFFF"/>
        </w:rPr>
      </w:pPr>
      <w:r>
        <w:rPr>
          <w:rFonts w:hint="eastAsia" w:ascii="仿宋" w:hAnsi="仿宋" w:eastAsia="仿宋" w:cs="仿宋"/>
          <w:color w:val="auto"/>
          <w:spacing w:val="8"/>
          <w:sz w:val="21"/>
          <w:szCs w:val="21"/>
          <w:highlight w:val="none"/>
          <w:shd w:val="clear" w:color="auto" w:fill="FFFFFF"/>
        </w:rPr>
        <w:t> </w:t>
      </w:r>
    </w:p>
    <w:p>
      <w:pPr>
        <w:pStyle w:val="16"/>
        <w:widowControl/>
        <w:spacing w:line="360" w:lineRule="auto"/>
        <w:jc w:val="both"/>
        <w:rPr>
          <w:rFonts w:hint="eastAsia" w:ascii="仿宋" w:hAnsi="仿宋" w:eastAsia="仿宋" w:cs="仿宋"/>
          <w:color w:val="auto"/>
          <w:spacing w:val="8"/>
          <w:sz w:val="21"/>
          <w:szCs w:val="21"/>
          <w:highlight w:val="none"/>
          <w:shd w:val="clear" w:color="auto" w:fill="FFFFFF"/>
        </w:rPr>
      </w:pPr>
    </w:p>
    <w:p>
      <w:pPr>
        <w:pStyle w:val="16"/>
        <w:widowControl/>
        <w:spacing w:line="360" w:lineRule="auto"/>
        <w:jc w:val="both"/>
        <w:rPr>
          <w:rFonts w:hint="eastAsia" w:ascii="仿宋" w:hAnsi="仿宋" w:eastAsia="仿宋" w:cs="仿宋"/>
          <w:color w:val="auto"/>
          <w:spacing w:val="8"/>
          <w:sz w:val="21"/>
          <w:szCs w:val="21"/>
          <w:highlight w:val="none"/>
          <w:shd w:val="clear" w:color="auto" w:fill="FFFFFF"/>
        </w:rPr>
      </w:pPr>
    </w:p>
    <w:p>
      <w:pPr>
        <w:pStyle w:val="16"/>
        <w:spacing w:after="120" w:line="512" w:lineRule="exact"/>
        <w:jc w:val="both"/>
        <w:rPr>
          <w:rFonts w:hint="eastAsia" w:ascii="仿宋" w:hAnsi="仿宋" w:eastAsia="仿宋" w:cs="仿宋"/>
          <w:color w:val="auto"/>
          <w:highlight w:val="none"/>
        </w:rPr>
      </w:pPr>
    </w:p>
    <w:p>
      <w:pPr>
        <w:spacing w:line="360" w:lineRule="auto"/>
        <w:ind w:firstLine="3570" w:firstLineChars="17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供应商（电子签章）：</w:t>
      </w:r>
    </w:p>
    <w:p>
      <w:pPr>
        <w:spacing w:line="360" w:lineRule="auto"/>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lang w:bidi="ar"/>
        </w:rPr>
        <w:t xml:space="preserve">                           法定代表人或</w:t>
      </w:r>
      <w:r>
        <w:rPr>
          <w:rFonts w:hint="eastAsia" w:ascii="仿宋" w:hAnsi="仿宋" w:eastAsia="仿宋" w:cs="仿宋"/>
          <w:color w:val="auto"/>
          <w:szCs w:val="21"/>
          <w:highlight w:val="none"/>
          <w:lang w:val="zh-CN" w:bidi="ar"/>
        </w:rPr>
        <w:t>委托代理人</w:t>
      </w:r>
      <w:r>
        <w:rPr>
          <w:rFonts w:hint="eastAsia" w:ascii="仿宋" w:hAnsi="仿宋" w:eastAsia="仿宋" w:cs="仿宋"/>
          <w:color w:val="auto"/>
          <w:szCs w:val="21"/>
          <w:highlight w:val="none"/>
          <w:lang w:bidi="ar"/>
        </w:rPr>
        <w:t>（电子签章或签字）：</w:t>
      </w:r>
    </w:p>
    <w:p>
      <w:pPr>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                    日     期：</w:t>
      </w:r>
    </w:p>
    <w:p>
      <w:pPr>
        <w:pStyle w:val="16"/>
        <w:shd w:val="clear" w:color="auto" w:fill="auto"/>
        <w:spacing w:before="0" w:beforeAutospacing="0" w:after="0" w:afterAutospacing="0"/>
        <w:ind w:firstLine="390"/>
        <w:jc w:val="center"/>
        <w:outlineLvl w:val="2"/>
        <w:rPr>
          <w:rFonts w:hint="eastAsia" w:ascii="仿宋" w:hAnsi="仿宋" w:eastAsia="仿宋" w:cs="仿宋"/>
          <w:b/>
          <w:bCs/>
          <w:color w:val="auto"/>
          <w:sz w:val="24"/>
          <w:highlight w:val="none"/>
          <w:lang w:val="en-US" w:eastAsia="zh-CN" w:bidi="ar"/>
        </w:rPr>
      </w:pPr>
      <w:r>
        <w:rPr>
          <w:rFonts w:hint="eastAsia" w:ascii="仿宋" w:hAnsi="仿宋" w:eastAsia="仿宋" w:cs="仿宋"/>
          <w:b/>
          <w:bCs/>
          <w:color w:val="auto"/>
          <w:sz w:val="24"/>
          <w:highlight w:val="none"/>
          <w:lang w:bidi="ar"/>
        </w:rPr>
        <w:br w:type="page"/>
      </w:r>
      <w:bookmarkStart w:id="109" w:name="_Toc15820"/>
      <w:bookmarkStart w:id="110" w:name="_Toc3290"/>
      <w:bookmarkStart w:id="111" w:name="_Toc29025"/>
      <w:bookmarkStart w:id="112" w:name="_Toc8637"/>
      <w:bookmarkStart w:id="113" w:name="_Toc17160"/>
      <w:r>
        <w:rPr>
          <w:rStyle w:val="32"/>
          <w:rFonts w:hint="eastAsia" w:ascii="仿宋" w:hAnsi="仿宋" w:eastAsia="仿宋" w:cs="仿宋"/>
          <w:b/>
          <w:color w:val="auto"/>
          <w:sz w:val="28"/>
          <w:szCs w:val="28"/>
          <w:highlight w:val="none"/>
          <w:lang w:val="en-US" w:eastAsia="zh-CN"/>
        </w:rPr>
        <w:t>（三）声明函</w:t>
      </w:r>
      <w:bookmarkEnd w:id="109"/>
      <w:bookmarkEnd w:id="110"/>
      <w:bookmarkEnd w:id="111"/>
      <w:bookmarkEnd w:id="112"/>
      <w:bookmarkEnd w:id="113"/>
    </w:p>
    <w:p>
      <w:pPr>
        <w:pStyle w:val="3"/>
        <w:pageBreakBefore w:val="0"/>
        <w:widowControl/>
        <w:numPr>
          <w:ilvl w:val="0"/>
          <w:numId w:val="0"/>
        </w:numPr>
        <w:kinsoku/>
        <w:wordWrap/>
        <w:overflowPunct/>
        <w:topLinePunct w:val="0"/>
        <w:autoSpaceDE/>
        <w:autoSpaceDN/>
        <w:bidi w:val="0"/>
        <w:adjustRightInd/>
        <w:snapToGrid/>
        <w:spacing w:line="240" w:lineRule="atLeast"/>
        <w:ind w:leftChars="0"/>
        <w:jc w:val="center"/>
        <w:textAlignment w:val="auto"/>
        <w:rPr>
          <w:rFonts w:hint="eastAsia" w:ascii="仿宋" w:hAnsi="仿宋" w:eastAsia="仿宋" w:cs="仿宋"/>
          <w:color w:val="auto"/>
          <w:sz w:val="24"/>
          <w:szCs w:val="24"/>
          <w:highlight w:val="none"/>
          <w:lang w:eastAsia="zh-CN"/>
        </w:rPr>
      </w:pPr>
      <w:bookmarkStart w:id="114" w:name="_Toc13845"/>
      <w:bookmarkStart w:id="115" w:name="_Toc23067"/>
      <w:bookmarkStart w:id="116" w:name="_Toc27653"/>
      <w:bookmarkStart w:id="117" w:name="_Toc32618"/>
      <w:bookmarkStart w:id="118" w:name="_Toc15787"/>
      <w:bookmarkStart w:id="119" w:name="_Toc31069"/>
      <w:bookmarkStart w:id="120" w:name="_Toc2781"/>
      <w:bookmarkStart w:id="121" w:name="_Toc9315"/>
      <w:r>
        <w:rPr>
          <w:rFonts w:hint="eastAsia" w:ascii="仿宋" w:hAnsi="仿宋" w:eastAsia="仿宋" w:cs="仿宋"/>
          <w:color w:val="auto"/>
          <w:sz w:val="24"/>
          <w:szCs w:val="24"/>
          <w:highlight w:val="none"/>
        </w:rPr>
        <w:t>中小企业声明函</w:t>
      </w:r>
      <w:bookmarkEnd w:id="114"/>
      <w:bookmarkEnd w:id="115"/>
      <w:bookmarkEnd w:id="116"/>
      <w:bookmarkEnd w:id="117"/>
      <w:bookmarkEnd w:id="118"/>
      <w:bookmarkEnd w:id="119"/>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w:t>
      </w:r>
      <w:bookmarkEnd w:id="120"/>
      <w:bookmarkEnd w:id="121"/>
    </w:p>
    <w:p>
      <w:pPr>
        <w:keepNext w:val="0"/>
        <w:keepLines w:val="0"/>
        <w:pageBreakBefore w:val="0"/>
        <w:widowControl/>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auto"/>
          <w:sz w:val="21"/>
          <w:szCs w:val="20"/>
          <w:highlight w:val="none"/>
          <w:lang w:val="en-US" w:eastAsia="zh-CN"/>
        </w:rPr>
      </w:pPr>
      <w:r>
        <w:rPr>
          <w:rFonts w:hint="eastAsia" w:ascii="仿宋" w:hAnsi="仿宋" w:eastAsia="仿宋" w:cs="仿宋"/>
          <w:color w:val="auto"/>
          <w:sz w:val="21"/>
          <w:szCs w:val="20"/>
          <w:highlight w:val="none"/>
          <w:lang w:val="en-US" w:eastAsia="zh-CN"/>
        </w:rPr>
        <w:t>本公司（联合体）郑重声明，根据《政府采购促进中小企业发展管理办法》（财库﹝2020﹞46号）的规定，本公司（联合体）参加</w:t>
      </w:r>
      <w:r>
        <w:rPr>
          <w:rFonts w:hint="eastAsia" w:ascii="仿宋" w:hAnsi="仿宋" w:eastAsia="仿宋" w:cs="仿宋"/>
          <w:color w:val="auto"/>
          <w:sz w:val="21"/>
          <w:szCs w:val="20"/>
          <w:highlight w:val="none"/>
          <w:u w:val="single"/>
          <w:lang w:val="en-US" w:eastAsia="zh-CN"/>
        </w:rPr>
        <w:t>（单位名称）</w:t>
      </w:r>
      <w:r>
        <w:rPr>
          <w:rFonts w:hint="eastAsia" w:ascii="仿宋" w:hAnsi="仿宋" w:eastAsia="仿宋" w:cs="仿宋"/>
          <w:color w:val="auto"/>
          <w:sz w:val="21"/>
          <w:szCs w:val="20"/>
          <w:highlight w:val="none"/>
          <w:lang w:val="en-US" w:eastAsia="zh-CN"/>
        </w:rPr>
        <w:t>的</w:t>
      </w:r>
      <w:r>
        <w:rPr>
          <w:rFonts w:hint="eastAsia" w:ascii="仿宋" w:hAnsi="仿宋" w:eastAsia="仿宋" w:cs="仿宋"/>
          <w:color w:val="auto"/>
          <w:sz w:val="21"/>
          <w:szCs w:val="20"/>
          <w:highlight w:val="none"/>
          <w:u w:val="single"/>
          <w:lang w:val="en-US" w:eastAsia="zh-CN"/>
        </w:rPr>
        <w:t>（项目名称）</w:t>
      </w:r>
      <w:r>
        <w:rPr>
          <w:rFonts w:hint="eastAsia" w:ascii="仿宋" w:hAnsi="仿宋" w:eastAsia="仿宋" w:cs="仿宋"/>
          <w:color w:val="auto"/>
          <w:sz w:val="21"/>
          <w:szCs w:val="20"/>
          <w:highlight w:val="none"/>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auto"/>
          <w:sz w:val="21"/>
          <w:szCs w:val="20"/>
          <w:highlight w:val="none"/>
          <w:lang w:val="en-US" w:eastAsia="zh-CN"/>
        </w:rPr>
      </w:pPr>
      <w:r>
        <w:rPr>
          <w:rFonts w:hint="eastAsia" w:ascii="仿宋" w:hAnsi="仿宋" w:eastAsia="仿宋" w:cs="仿宋"/>
          <w:color w:val="auto"/>
          <w:sz w:val="21"/>
          <w:szCs w:val="20"/>
          <w:highlight w:val="none"/>
          <w:lang w:val="en-US" w:eastAsia="zh-CN"/>
        </w:rPr>
        <w:t>1.</w:t>
      </w:r>
      <w:r>
        <w:rPr>
          <w:rFonts w:hint="eastAsia" w:ascii="仿宋" w:hAnsi="仿宋" w:eastAsia="仿宋" w:cs="仿宋"/>
          <w:color w:val="auto"/>
          <w:sz w:val="21"/>
          <w:szCs w:val="20"/>
          <w:highlight w:val="none"/>
          <w:u w:val="single"/>
          <w:lang w:val="en-US" w:eastAsia="zh-CN"/>
        </w:rPr>
        <w:t>（标的名称）</w:t>
      </w:r>
      <w:r>
        <w:rPr>
          <w:rFonts w:hint="eastAsia" w:ascii="仿宋" w:hAnsi="仿宋" w:eastAsia="仿宋" w:cs="仿宋"/>
          <w:color w:val="auto"/>
          <w:sz w:val="21"/>
          <w:szCs w:val="20"/>
          <w:highlight w:val="none"/>
          <w:lang w:val="en-US" w:eastAsia="zh-CN"/>
        </w:rPr>
        <w:t>，属于</w:t>
      </w:r>
      <w:r>
        <w:rPr>
          <w:rFonts w:hint="eastAsia" w:ascii="仿宋" w:hAnsi="仿宋" w:eastAsia="仿宋" w:cs="仿宋"/>
          <w:color w:val="auto"/>
          <w:sz w:val="21"/>
          <w:szCs w:val="20"/>
          <w:highlight w:val="none"/>
          <w:u w:val="single"/>
          <w:lang w:val="en-US" w:eastAsia="zh-CN"/>
        </w:rPr>
        <w:t>（采购文件中明确的所属行业）</w:t>
      </w:r>
      <w:r>
        <w:rPr>
          <w:rFonts w:hint="eastAsia" w:ascii="仿宋" w:hAnsi="仿宋" w:eastAsia="仿宋" w:cs="仿宋"/>
          <w:color w:val="auto"/>
          <w:sz w:val="21"/>
          <w:szCs w:val="20"/>
          <w:highlight w:val="none"/>
          <w:lang w:val="en-US" w:eastAsia="zh-CN"/>
        </w:rPr>
        <w:t>；承建（承接）企业为</w:t>
      </w:r>
      <w:r>
        <w:rPr>
          <w:rFonts w:hint="eastAsia" w:ascii="仿宋" w:hAnsi="仿宋" w:eastAsia="仿宋" w:cs="仿宋"/>
          <w:color w:val="auto"/>
          <w:sz w:val="21"/>
          <w:szCs w:val="20"/>
          <w:highlight w:val="none"/>
          <w:u w:val="single"/>
          <w:lang w:val="en-US" w:eastAsia="zh-CN"/>
        </w:rPr>
        <w:t>（企业名称）</w:t>
      </w:r>
      <w:r>
        <w:rPr>
          <w:rFonts w:hint="eastAsia" w:ascii="仿宋" w:hAnsi="仿宋" w:eastAsia="仿宋" w:cs="仿宋"/>
          <w:color w:val="auto"/>
          <w:sz w:val="21"/>
          <w:szCs w:val="20"/>
          <w:highlight w:val="none"/>
          <w:lang w:val="en-US" w:eastAsia="zh-CN"/>
        </w:rPr>
        <w:t>，从业人员</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人，营业收入为</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万元，资产总额为</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万元，属于</w:t>
      </w:r>
      <w:r>
        <w:rPr>
          <w:rFonts w:hint="eastAsia" w:ascii="仿宋" w:hAnsi="仿宋" w:eastAsia="仿宋" w:cs="仿宋"/>
          <w:color w:val="auto"/>
          <w:sz w:val="21"/>
          <w:szCs w:val="20"/>
          <w:highlight w:val="none"/>
          <w:u w:val="single"/>
          <w:lang w:val="en-US" w:eastAsia="zh-CN"/>
        </w:rPr>
        <w:t>（中型企业、小型企业、微型企业）</w:t>
      </w:r>
      <w:r>
        <w:rPr>
          <w:rFonts w:hint="eastAsia" w:ascii="仿宋" w:hAnsi="仿宋" w:eastAsia="仿宋" w:cs="仿宋"/>
          <w:color w:val="auto"/>
          <w:sz w:val="21"/>
          <w:szCs w:val="20"/>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auto"/>
          <w:sz w:val="21"/>
          <w:szCs w:val="20"/>
          <w:highlight w:val="none"/>
          <w:lang w:val="en-US" w:eastAsia="zh-CN"/>
        </w:rPr>
      </w:pPr>
      <w:r>
        <w:rPr>
          <w:rFonts w:hint="eastAsia" w:ascii="仿宋" w:hAnsi="仿宋" w:eastAsia="仿宋" w:cs="仿宋"/>
          <w:color w:val="auto"/>
          <w:sz w:val="21"/>
          <w:szCs w:val="20"/>
          <w:highlight w:val="none"/>
          <w:lang w:val="en-US" w:eastAsia="zh-CN"/>
        </w:rPr>
        <w:t>2.</w:t>
      </w:r>
      <w:r>
        <w:rPr>
          <w:rFonts w:hint="eastAsia" w:ascii="仿宋" w:hAnsi="仿宋" w:eastAsia="仿宋" w:cs="仿宋"/>
          <w:color w:val="auto"/>
          <w:sz w:val="21"/>
          <w:szCs w:val="20"/>
          <w:highlight w:val="none"/>
          <w:u w:val="single"/>
          <w:lang w:val="en-US" w:eastAsia="zh-CN"/>
        </w:rPr>
        <w:t>（标的名称）</w:t>
      </w:r>
      <w:r>
        <w:rPr>
          <w:rFonts w:hint="eastAsia" w:ascii="仿宋" w:hAnsi="仿宋" w:eastAsia="仿宋" w:cs="仿宋"/>
          <w:color w:val="auto"/>
          <w:sz w:val="21"/>
          <w:szCs w:val="20"/>
          <w:highlight w:val="none"/>
          <w:lang w:val="en-US" w:eastAsia="zh-CN"/>
        </w:rPr>
        <w:t>，属于</w:t>
      </w:r>
      <w:r>
        <w:rPr>
          <w:rFonts w:hint="eastAsia" w:ascii="仿宋" w:hAnsi="仿宋" w:eastAsia="仿宋" w:cs="仿宋"/>
          <w:color w:val="auto"/>
          <w:sz w:val="21"/>
          <w:szCs w:val="20"/>
          <w:highlight w:val="none"/>
          <w:u w:val="single"/>
          <w:lang w:val="en-US" w:eastAsia="zh-CN"/>
        </w:rPr>
        <w:t>（采购文件中明确的所属行业）</w:t>
      </w:r>
      <w:r>
        <w:rPr>
          <w:rFonts w:hint="eastAsia" w:ascii="仿宋" w:hAnsi="仿宋" w:eastAsia="仿宋" w:cs="仿宋"/>
          <w:color w:val="auto"/>
          <w:sz w:val="21"/>
          <w:szCs w:val="20"/>
          <w:highlight w:val="none"/>
          <w:lang w:val="en-US" w:eastAsia="zh-CN"/>
        </w:rPr>
        <w:t>；承建（承接）企业为</w:t>
      </w:r>
      <w:r>
        <w:rPr>
          <w:rFonts w:hint="eastAsia" w:ascii="仿宋" w:hAnsi="仿宋" w:eastAsia="仿宋" w:cs="仿宋"/>
          <w:color w:val="auto"/>
          <w:sz w:val="21"/>
          <w:szCs w:val="20"/>
          <w:highlight w:val="none"/>
          <w:u w:val="single"/>
          <w:lang w:val="en-US" w:eastAsia="zh-CN"/>
        </w:rPr>
        <w:t>（企业名称）</w:t>
      </w:r>
      <w:r>
        <w:rPr>
          <w:rFonts w:hint="eastAsia" w:ascii="仿宋" w:hAnsi="仿宋" w:eastAsia="仿宋" w:cs="仿宋"/>
          <w:color w:val="auto"/>
          <w:sz w:val="21"/>
          <w:szCs w:val="20"/>
          <w:highlight w:val="none"/>
          <w:lang w:val="en-US" w:eastAsia="zh-CN"/>
        </w:rPr>
        <w:t>，从业人员</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人，营业收入为</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万元，资产总额为</w:t>
      </w:r>
      <w:r>
        <w:rPr>
          <w:rFonts w:hint="eastAsia" w:ascii="仿宋" w:hAnsi="仿宋" w:eastAsia="仿宋" w:cs="仿宋"/>
          <w:color w:val="auto"/>
          <w:sz w:val="21"/>
          <w:szCs w:val="20"/>
          <w:highlight w:val="none"/>
          <w:u w:val="single"/>
          <w:lang w:val="en-US" w:eastAsia="zh-CN"/>
        </w:rPr>
        <w:t xml:space="preserve">     </w:t>
      </w:r>
      <w:r>
        <w:rPr>
          <w:rFonts w:hint="eastAsia" w:ascii="仿宋" w:hAnsi="仿宋" w:eastAsia="仿宋" w:cs="仿宋"/>
          <w:color w:val="auto"/>
          <w:sz w:val="21"/>
          <w:szCs w:val="20"/>
          <w:highlight w:val="none"/>
          <w:lang w:val="en-US" w:eastAsia="zh-CN"/>
        </w:rPr>
        <w:t xml:space="preserve"> 万元，属于</w:t>
      </w:r>
      <w:r>
        <w:rPr>
          <w:rFonts w:hint="eastAsia" w:ascii="仿宋" w:hAnsi="仿宋" w:eastAsia="仿宋" w:cs="仿宋"/>
          <w:color w:val="auto"/>
          <w:sz w:val="21"/>
          <w:szCs w:val="20"/>
          <w:highlight w:val="none"/>
          <w:u w:val="single"/>
          <w:lang w:val="en-US" w:eastAsia="zh-CN"/>
        </w:rPr>
        <w:t>（中型企业、小型企业、微型企业）</w:t>
      </w:r>
      <w:r>
        <w:rPr>
          <w:rFonts w:hint="eastAsia" w:ascii="仿宋" w:hAnsi="仿宋" w:eastAsia="仿宋" w:cs="仿宋"/>
          <w:color w:val="auto"/>
          <w:sz w:val="21"/>
          <w:szCs w:val="20"/>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仿宋" w:hAnsi="仿宋" w:eastAsia="仿宋" w:cs="仿宋"/>
          <w:color w:val="auto"/>
          <w:sz w:val="21"/>
          <w:szCs w:val="20"/>
          <w:highlight w:val="none"/>
          <w:lang w:val="en-US" w:eastAsia="zh-CN"/>
        </w:rPr>
      </w:pPr>
      <w:r>
        <w:rPr>
          <w:rFonts w:hint="eastAsia" w:ascii="仿宋" w:hAnsi="仿宋" w:eastAsia="仿宋" w:cs="仿宋"/>
          <w:color w:val="auto"/>
          <w:sz w:val="21"/>
          <w:szCs w:val="20"/>
          <w:highlight w:val="none"/>
          <w:lang w:val="en-US" w:eastAsia="zh-CN"/>
        </w:rPr>
        <w:t>……</w:t>
      </w:r>
    </w:p>
    <w:p>
      <w:pPr>
        <w:pStyle w:val="2"/>
        <w:keepNext w:val="0"/>
        <w:keepLines w:val="0"/>
        <w:pageBreakBefore w:val="0"/>
        <w:kinsoku/>
        <w:wordWrap/>
        <w:overflowPunct/>
        <w:topLinePunct w:val="0"/>
        <w:autoSpaceDE/>
        <w:autoSpaceDN/>
        <w:bidi w:val="0"/>
        <w:adjustRightInd/>
        <w:snapToGrid/>
        <w:spacing w:before="108" w:line="360" w:lineRule="auto"/>
        <w:ind w:left="0" w:leftChars="0" w:right="417" w:firstLine="420" w:firstLineChars="200"/>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以上企业，不属于大企业的分支机构，不存在控股股东为大企业的情形，也不存在与大企业的负责人为同一人的情形。</w:t>
      </w:r>
    </w:p>
    <w:p>
      <w:pPr>
        <w:pStyle w:val="2"/>
        <w:keepNext w:val="0"/>
        <w:keepLines w:val="0"/>
        <w:pageBreakBefore w:val="0"/>
        <w:kinsoku/>
        <w:wordWrap/>
        <w:overflowPunct/>
        <w:topLinePunct w:val="0"/>
        <w:autoSpaceDE/>
        <w:autoSpaceDN/>
        <w:bidi w:val="0"/>
        <w:adjustRightInd/>
        <w:snapToGrid/>
        <w:spacing w:line="360" w:lineRule="auto"/>
        <w:ind w:right="375"/>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5670" w:firstLineChars="27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企业名称（电子签章）：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5670" w:firstLineChars="2700"/>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SA"/>
        </w:rPr>
        <w:t>日期：</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符合中小企业划分标准（见工业和信息化部国家统计局国家发展和改革委员会财政部《关于印发中小企业划型标准规定的通知》（工信部联企业〔2011〕300号)）；</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本办法所称中小企业划分标准，是指国务院有关部门根据企业从业人员、营业收入、资产总额等指标制定的中小企业划型标准。</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3.注：从业人员、营业收入、资产总额填报上一年度数据，无上一年度数据的新成立企业可不填报。</w:t>
      </w:r>
    </w:p>
    <w:p>
      <w:pPr>
        <w:spacing w:line="360" w:lineRule="auto"/>
        <w:jc w:val="center"/>
        <w:rPr>
          <w:rFonts w:hint="eastAsia" w:ascii="仿宋" w:hAnsi="仿宋" w:eastAsia="仿宋" w:cs="仿宋"/>
          <w:b/>
          <w:bCs/>
          <w:sz w:val="28"/>
          <w:szCs w:val="28"/>
          <w:highlight w:val="none"/>
        </w:rPr>
      </w:pPr>
      <w:bookmarkStart w:id="122" w:name="_Toc27749"/>
      <w:bookmarkStart w:id="123" w:name="_Toc30700"/>
    </w:p>
    <w:p>
      <w:pPr>
        <w:spacing w:line="360" w:lineRule="auto"/>
        <w:jc w:val="center"/>
        <w:rPr>
          <w:rFonts w:hint="eastAsia" w:ascii="仿宋" w:hAnsi="仿宋" w:eastAsia="仿宋" w:cs="仿宋"/>
          <w:b/>
          <w:bCs/>
          <w:sz w:val="28"/>
          <w:szCs w:val="28"/>
          <w:highlight w:val="none"/>
        </w:rPr>
      </w:pPr>
    </w:p>
    <w:p>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大中小微型企业划分标准</w:t>
      </w:r>
      <w:bookmarkEnd w:id="122"/>
      <w:bookmarkEnd w:id="123"/>
    </w:p>
    <w:tbl>
      <w:tblPr>
        <w:tblStyle w:val="19"/>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b/>
                <w:bCs/>
                <w:sz w:val="18"/>
                <w:szCs w:val="18"/>
                <w:highlight w:val="none"/>
              </w:rPr>
            </w:pPr>
            <w:r>
              <w:rPr>
                <w:rFonts w:hint="eastAsia" w:ascii="仿宋" w:hAnsi="仿宋" w:eastAsia="仿宋" w:cs="仿宋"/>
                <w:b/>
                <w:bCs/>
                <w:sz w:val="18"/>
                <w:szCs w:val="18"/>
                <w:highlight w:val="none"/>
              </w:rPr>
              <w:t>行业名称</w:t>
            </w:r>
          </w:p>
        </w:tc>
        <w:tc>
          <w:tcPr>
            <w:tcW w:w="136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sz w:val="18"/>
                <w:szCs w:val="18"/>
                <w:highlight w:val="none"/>
              </w:rPr>
            </w:pPr>
            <w:r>
              <w:rPr>
                <w:rFonts w:hint="eastAsia" w:ascii="仿宋" w:hAnsi="仿宋" w:eastAsia="仿宋" w:cs="仿宋"/>
                <w:b/>
                <w:bCs/>
                <w:sz w:val="18"/>
                <w:szCs w:val="18"/>
                <w:highlight w:val="none"/>
              </w:rPr>
              <w:t>指标名称</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sz w:val="18"/>
                <w:szCs w:val="18"/>
                <w:highlight w:val="none"/>
              </w:rPr>
            </w:pPr>
            <w:r>
              <w:rPr>
                <w:rFonts w:hint="eastAsia" w:ascii="仿宋" w:hAnsi="仿宋" w:eastAsia="仿宋" w:cs="仿宋"/>
                <w:b/>
                <w:bCs/>
                <w:sz w:val="18"/>
                <w:szCs w:val="18"/>
                <w:highlight w:val="none"/>
              </w:rPr>
              <w:t>计量</w:t>
            </w:r>
          </w:p>
          <w:p>
            <w:pPr>
              <w:widowControl/>
              <w:jc w:val="center"/>
              <w:rPr>
                <w:rFonts w:hint="eastAsia" w:ascii="仿宋" w:hAnsi="仿宋" w:eastAsia="仿宋" w:cs="仿宋"/>
                <w:b/>
                <w:bCs/>
                <w:sz w:val="18"/>
                <w:szCs w:val="18"/>
                <w:highlight w:val="none"/>
              </w:rPr>
            </w:pPr>
            <w:r>
              <w:rPr>
                <w:rFonts w:hint="eastAsia" w:ascii="仿宋" w:hAnsi="仿宋" w:eastAsia="仿宋" w:cs="仿宋"/>
                <w:b/>
                <w:bCs/>
                <w:sz w:val="18"/>
                <w:szCs w:val="18"/>
                <w:highlight w:val="none"/>
              </w:rPr>
              <w:t>单位</w:t>
            </w:r>
          </w:p>
        </w:tc>
        <w:tc>
          <w:tcPr>
            <w:tcW w:w="112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sz w:val="18"/>
                <w:szCs w:val="18"/>
                <w:highlight w:val="none"/>
              </w:rPr>
            </w:pPr>
            <w:r>
              <w:rPr>
                <w:rFonts w:hint="eastAsia" w:ascii="仿宋" w:hAnsi="仿宋" w:eastAsia="仿宋" w:cs="仿宋"/>
                <w:b/>
                <w:bCs/>
                <w:sz w:val="18"/>
                <w:szCs w:val="18"/>
                <w:highlight w:val="none"/>
              </w:rPr>
              <w:t>大型</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sz w:val="18"/>
                <w:szCs w:val="18"/>
                <w:highlight w:val="none"/>
              </w:rPr>
            </w:pPr>
            <w:r>
              <w:rPr>
                <w:rFonts w:hint="eastAsia" w:ascii="仿宋" w:hAnsi="仿宋" w:eastAsia="仿宋" w:cs="仿宋"/>
                <w:b/>
                <w:bCs/>
                <w:sz w:val="18"/>
                <w:szCs w:val="18"/>
                <w:highlight w:val="none"/>
              </w:rPr>
              <w:t>中型</w:t>
            </w:r>
          </w:p>
        </w:tc>
        <w:tc>
          <w:tcPr>
            <w:tcW w:w="142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sz w:val="18"/>
                <w:szCs w:val="18"/>
                <w:highlight w:val="none"/>
              </w:rPr>
            </w:pPr>
            <w:r>
              <w:rPr>
                <w:rFonts w:hint="eastAsia" w:ascii="仿宋" w:hAnsi="仿宋" w:eastAsia="仿宋" w:cs="仿宋"/>
                <w:b/>
                <w:bCs/>
                <w:sz w:val="18"/>
                <w:szCs w:val="18"/>
                <w:highlight w:val="none"/>
              </w:rPr>
              <w:t>小型</w:t>
            </w:r>
          </w:p>
        </w:tc>
        <w:tc>
          <w:tcPr>
            <w:tcW w:w="992" w:type="dxa"/>
            <w:tcBorders>
              <w:top w:val="single" w:color="auto" w:sz="4" w:space="0"/>
              <w:left w:val="nil"/>
              <w:bottom w:val="single" w:color="auto" w:sz="4" w:space="0"/>
              <w:right w:val="nil"/>
            </w:tcBorders>
            <w:vAlign w:val="center"/>
          </w:tcPr>
          <w:p>
            <w:pPr>
              <w:widowControl/>
              <w:jc w:val="center"/>
              <w:rPr>
                <w:rFonts w:hint="eastAsia" w:ascii="仿宋" w:hAnsi="仿宋" w:eastAsia="仿宋" w:cs="仿宋"/>
                <w:b/>
                <w:bCs/>
                <w:sz w:val="18"/>
                <w:szCs w:val="18"/>
                <w:highlight w:val="none"/>
              </w:rPr>
            </w:pPr>
            <w:r>
              <w:rPr>
                <w:rFonts w:hint="eastAsia" w:ascii="仿宋" w:hAnsi="仿宋" w:eastAsia="仿宋" w:cs="仿宋"/>
                <w:b/>
                <w:bCs/>
                <w:sz w:val="18"/>
                <w:szCs w:val="18"/>
                <w:highlight w:val="none"/>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农、林、牧、渔业</w:t>
            </w:r>
          </w:p>
        </w:tc>
        <w:tc>
          <w:tcPr>
            <w:tcW w:w="136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Y≥20000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50≤Y＜500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工业 *</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X≥1000</w:t>
            </w:r>
          </w:p>
        </w:tc>
        <w:tc>
          <w:tcPr>
            <w:tcW w:w="1701"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300≤X＜1000</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20≤X＜300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Y≥40000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2000≤Y＜40000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300≤Y＜2000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建筑业</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Y≥80000</w:t>
            </w:r>
          </w:p>
        </w:tc>
        <w:tc>
          <w:tcPr>
            <w:tcW w:w="1701"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6000≤Y＜80000</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300≤Y＜6000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资产总额(Z)</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Z≥80000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5000≤Z＜80000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300≤Z＜5000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批发业</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X≥200</w:t>
            </w:r>
          </w:p>
        </w:tc>
        <w:tc>
          <w:tcPr>
            <w:tcW w:w="1701"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20≤X＜200</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5≤X＜20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Y≥40000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5000≤Y＜40000</w:t>
            </w:r>
          </w:p>
        </w:tc>
        <w:tc>
          <w:tcPr>
            <w:tcW w:w="1426" w:type="dxa"/>
            <w:tcBorders>
              <w:top w:val="nil"/>
              <w:left w:val="nil"/>
              <w:bottom w:val="single" w:color="auto" w:sz="4" w:space="0"/>
              <w:right w:val="single" w:color="auto" w:sz="4" w:space="0"/>
            </w:tcBorders>
            <w:vAlign w:val="center"/>
          </w:tcPr>
          <w:p>
            <w:pPr>
              <w:widowControl/>
              <w:ind w:left="-1" w:leftChars="-1"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1000≤Y＜5000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零售业</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X≥300</w:t>
            </w:r>
          </w:p>
        </w:tc>
        <w:tc>
          <w:tcPr>
            <w:tcW w:w="1701"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50≤X＜300</w:t>
            </w:r>
          </w:p>
        </w:tc>
        <w:tc>
          <w:tcPr>
            <w:tcW w:w="1426" w:type="dxa"/>
            <w:tcBorders>
              <w:top w:val="nil"/>
              <w:left w:val="nil"/>
              <w:bottom w:val="nil"/>
              <w:right w:val="single" w:color="auto" w:sz="4" w:space="0"/>
            </w:tcBorders>
            <w:vAlign w:val="center"/>
          </w:tcPr>
          <w:p>
            <w:pPr>
              <w:widowControl/>
              <w:ind w:left="-1" w:leftChars="-1"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10≤X＜50 </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Y≥20000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500≤Y＜20000</w:t>
            </w:r>
          </w:p>
        </w:tc>
        <w:tc>
          <w:tcPr>
            <w:tcW w:w="1426" w:type="dxa"/>
            <w:tcBorders>
              <w:top w:val="nil"/>
              <w:left w:val="nil"/>
              <w:bottom w:val="single" w:color="auto" w:sz="4" w:space="0"/>
              <w:right w:val="single" w:color="auto" w:sz="4" w:space="0"/>
            </w:tcBorders>
            <w:vAlign w:val="center"/>
          </w:tcPr>
          <w:p>
            <w:pPr>
              <w:widowControl/>
              <w:ind w:left="-1" w:leftChars="-1" w:hanging="1"/>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100≤Y＜500 </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交通运输业 *</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X≥1000</w:t>
            </w:r>
          </w:p>
        </w:tc>
        <w:tc>
          <w:tcPr>
            <w:tcW w:w="1701"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300≤X＜1000</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20≤X＜300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Y≥30000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3000≤Y＜30000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200≤Y＜3000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仓储业*</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X≥200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100≤X＜200</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20≤X＜100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Y≥30000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1000≤Y＜30000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100≤Y＜1000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邮政业</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X≥1000</w:t>
            </w:r>
          </w:p>
        </w:tc>
        <w:tc>
          <w:tcPr>
            <w:tcW w:w="1701"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300≤X＜1000</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20≤X＜300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Y≥30000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2000≤Y＜30000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100≤Y＜2000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住宿业</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X≥300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100≤X＜300 </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10≤X＜100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2000≤Y＜10000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100≤Y＜2000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餐饮业</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X≥300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100≤X＜300 </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10≤X＜100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2000≤Y＜10000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100≤Y＜2000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信息传输业 *</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X≥2000</w:t>
            </w:r>
          </w:p>
        </w:tc>
        <w:tc>
          <w:tcPr>
            <w:tcW w:w="1701"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100≤X＜2000</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10≤X＜100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1000≤Y＜100000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100≤Y＜1000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 w:hAnsi="仿宋" w:eastAsia="仿宋" w:cs="仿宋"/>
                <w:spacing w:val="-12"/>
                <w:sz w:val="18"/>
                <w:szCs w:val="18"/>
                <w:highlight w:val="none"/>
              </w:rPr>
            </w:pPr>
            <w:r>
              <w:rPr>
                <w:rFonts w:hint="eastAsia" w:ascii="仿宋" w:hAnsi="仿宋" w:eastAsia="仿宋" w:cs="仿宋"/>
                <w:spacing w:val="-12"/>
                <w:sz w:val="18"/>
                <w:szCs w:val="18"/>
                <w:highlight w:val="none"/>
              </w:rPr>
              <w:t>软件和信息技术服</w:t>
            </w:r>
            <w:r>
              <w:rPr>
                <w:rFonts w:hint="eastAsia" w:ascii="仿宋" w:hAnsi="仿宋" w:eastAsia="仿宋" w:cs="仿宋"/>
                <w:sz w:val="18"/>
                <w:szCs w:val="18"/>
                <w:highlight w:val="none"/>
              </w:rPr>
              <w:t>务业</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X≥300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100≤X＜300 </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10≤X＜100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pPr>
              <w:widowControl/>
              <w:rPr>
                <w:rFonts w:hint="eastAsia" w:ascii="仿宋" w:hAnsi="仿宋" w:eastAsia="仿宋" w:cs="仿宋"/>
                <w:spacing w:val="-12"/>
                <w:sz w:val="18"/>
                <w:szCs w:val="18"/>
                <w:highlight w:val="none"/>
              </w:rPr>
            </w:pPr>
          </w:p>
        </w:tc>
        <w:tc>
          <w:tcPr>
            <w:tcW w:w="136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1000≤Y＜10000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50≤Y＜1000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房地产开发经营</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Y≥200000</w:t>
            </w:r>
          </w:p>
        </w:tc>
        <w:tc>
          <w:tcPr>
            <w:tcW w:w="1701"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1000≤Y＜200000</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100≤Y＜1000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资产总额(Z)</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Z≥10000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5000≤Z＜10000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2000≤Z＜5000   </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物业管理</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X≥1000</w:t>
            </w:r>
          </w:p>
        </w:tc>
        <w:tc>
          <w:tcPr>
            <w:tcW w:w="1701"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300≤X＜1000</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100≤X＜300 </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营业收入(Y)</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Y≥5000</w:t>
            </w:r>
          </w:p>
        </w:tc>
        <w:tc>
          <w:tcPr>
            <w:tcW w:w="1701" w:type="dxa"/>
            <w:tcBorders>
              <w:top w:val="nil"/>
              <w:left w:val="nil"/>
              <w:bottom w:val="single" w:color="auto" w:sz="4" w:space="0"/>
              <w:right w:val="single" w:color="auto" w:sz="4" w:space="0"/>
            </w:tcBorders>
            <w:vAlign w:val="center"/>
          </w:tcPr>
          <w:p>
            <w:pPr>
              <w:widowControl/>
              <w:ind w:left="1" w:leftChars="-51" w:hanging="108" w:hangingChars="6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1000≤Y＜5000 </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500≤Y＜1000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租赁和商务服务业</w:t>
            </w:r>
          </w:p>
        </w:tc>
        <w:tc>
          <w:tcPr>
            <w:tcW w:w="136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X≥300</w:t>
            </w:r>
          </w:p>
        </w:tc>
        <w:tc>
          <w:tcPr>
            <w:tcW w:w="1701" w:type="dxa"/>
            <w:tcBorders>
              <w:top w:val="nil"/>
              <w:left w:val="nil"/>
              <w:bottom w:val="nil"/>
              <w:right w:val="single" w:color="auto" w:sz="4" w:space="0"/>
            </w:tcBorders>
            <w:vAlign w:val="center"/>
          </w:tcPr>
          <w:p>
            <w:pPr>
              <w:widowControl/>
              <w:ind w:left="1" w:leftChars="-51" w:hanging="108" w:hangingChars="6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100≤X＜300 </w:t>
            </w:r>
          </w:p>
        </w:tc>
        <w:tc>
          <w:tcPr>
            <w:tcW w:w="1426" w:type="dxa"/>
            <w:tcBorders>
              <w:top w:val="nil"/>
              <w:left w:val="nil"/>
              <w:bottom w:val="nil"/>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10≤X＜100</w:t>
            </w:r>
          </w:p>
        </w:tc>
        <w:tc>
          <w:tcPr>
            <w:tcW w:w="992" w:type="dxa"/>
            <w:tcBorders>
              <w:top w:val="nil"/>
              <w:left w:val="nil"/>
              <w:bottom w:val="nil"/>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pPr>
              <w:widowControl/>
              <w:rPr>
                <w:rFonts w:hint="eastAsia" w:ascii="仿宋" w:hAnsi="仿宋" w:eastAsia="仿宋" w:cs="仿宋"/>
                <w:sz w:val="18"/>
                <w:szCs w:val="18"/>
                <w:highlight w:val="none"/>
              </w:rPr>
            </w:pPr>
          </w:p>
        </w:tc>
        <w:tc>
          <w:tcPr>
            <w:tcW w:w="1369"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资产总额(Z)</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万元</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Z≥120000</w:t>
            </w:r>
          </w:p>
        </w:tc>
        <w:tc>
          <w:tcPr>
            <w:tcW w:w="1701"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8000≤Z＜120000</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100≤Z＜8000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pPr>
              <w:widowControl/>
              <w:spacing w:line="240" w:lineRule="exact"/>
              <w:rPr>
                <w:rFonts w:hint="eastAsia" w:ascii="仿宋" w:hAnsi="仿宋" w:eastAsia="仿宋" w:cs="仿宋"/>
                <w:sz w:val="18"/>
                <w:szCs w:val="18"/>
                <w:highlight w:val="none"/>
              </w:rPr>
            </w:pPr>
            <w:r>
              <w:rPr>
                <w:rFonts w:hint="eastAsia" w:ascii="仿宋" w:hAnsi="仿宋" w:eastAsia="仿宋" w:cs="仿宋"/>
                <w:sz w:val="18"/>
                <w:szCs w:val="18"/>
                <w:highlight w:val="none"/>
              </w:rPr>
              <w:t>其他未列明行业 *</w:t>
            </w:r>
          </w:p>
        </w:tc>
        <w:tc>
          <w:tcPr>
            <w:tcW w:w="136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从业人员(X)</w:t>
            </w:r>
          </w:p>
        </w:tc>
        <w:tc>
          <w:tcPr>
            <w:tcW w:w="709"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X≥300</w:t>
            </w:r>
          </w:p>
        </w:tc>
        <w:tc>
          <w:tcPr>
            <w:tcW w:w="1701" w:type="dxa"/>
            <w:tcBorders>
              <w:top w:val="nil"/>
              <w:left w:val="nil"/>
              <w:bottom w:val="single" w:color="auto" w:sz="4" w:space="0"/>
              <w:right w:val="single" w:color="auto" w:sz="4" w:space="0"/>
            </w:tcBorders>
            <w:vAlign w:val="center"/>
          </w:tcPr>
          <w:p>
            <w:pPr>
              <w:widowControl/>
              <w:ind w:left="1" w:leftChars="-51" w:hanging="108" w:hangingChars="60"/>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100≤X＜300 </w:t>
            </w:r>
          </w:p>
        </w:tc>
        <w:tc>
          <w:tcPr>
            <w:tcW w:w="14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 xml:space="preserve"> 10≤X＜100</w:t>
            </w:r>
          </w:p>
        </w:tc>
        <w:tc>
          <w:tcPr>
            <w:tcW w:w="992" w:type="dxa"/>
            <w:tcBorders>
              <w:top w:val="nil"/>
              <w:left w:val="nil"/>
              <w:bottom w:val="single" w:color="auto" w:sz="4" w:space="0"/>
              <w:right w:val="nil"/>
            </w:tcBorders>
            <w:vAlign w:val="center"/>
          </w:tcPr>
          <w:p>
            <w:pPr>
              <w:widowControl/>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X＜10</w:t>
            </w:r>
          </w:p>
        </w:tc>
      </w:tr>
    </w:tbl>
    <w:p>
      <w:pPr>
        <w:adjustRightInd w:val="0"/>
        <w:snapToGrid w:val="0"/>
        <w:spacing w:line="360" w:lineRule="auto"/>
        <w:ind w:right="105" w:rightChars="50"/>
        <w:rPr>
          <w:rFonts w:hint="eastAsia" w:ascii="仿宋" w:hAnsi="仿宋" w:eastAsia="仿宋" w:cs="仿宋"/>
          <w:szCs w:val="21"/>
          <w:highlight w:val="none"/>
        </w:rPr>
      </w:pPr>
      <w:r>
        <w:rPr>
          <w:rFonts w:hint="eastAsia" w:ascii="仿宋" w:hAnsi="仿宋" w:eastAsia="仿宋" w:cs="仿宋"/>
          <w:szCs w:val="21"/>
          <w:highlight w:val="none"/>
        </w:rPr>
        <w:t>说明：</w:t>
      </w:r>
    </w:p>
    <w:p>
      <w:pPr>
        <w:adjustRightInd w:val="0"/>
        <w:snapToGrid w:val="0"/>
        <w:spacing w:line="360" w:lineRule="auto"/>
        <w:ind w:right="105" w:rightChars="50" w:firstLine="420" w:firstLineChars="200"/>
        <w:rPr>
          <w:rFonts w:hint="eastAsia" w:ascii="仿宋" w:hAnsi="仿宋" w:eastAsia="仿宋" w:cs="仿宋"/>
          <w:szCs w:val="21"/>
          <w:highlight w:val="none"/>
        </w:rPr>
      </w:pPr>
      <w:r>
        <w:rPr>
          <w:rFonts w:hint="eastAsia" w:ascii="仿宋" w:hAnsi="仿宋" w:eastAsia="仿宋" w:cs="仿宋"/>
          <w:szCs w:val="21"/>
          <w:highlight w:val="none"/>
        </w:rPr>
        <w:t>1.大型、中型和小型企业须同时满足所列指标的下限，否则下划一档；微型企业只须满足所列指标中的一项即可。</w:t>
      </w:r>
    </w:p>
    <w:p>
      <w:pPr>
        <w:adjustRightInd w:val="0"/>
        <w:snapToGrid w:val="0"/>
        <w:spacing w:line="360" w:lineRule="auto"/>
        <w:ind w:right="105" w:rightChars="50" w:firstLine="420" w:firstLineChars="200"/>
        <w:rPr>
          <w:rFonts w:hint="eastAsia" w:ascii="仿宋" w:hAnsi="仿宋" w:eastAsia="仿宋" w:cs="仿宋"/>
          <w:szCs w:val="21"/>
          <w:highlight w:val="none"/>
        </w:rPr>
      </w:pPr>
      <w:r>
        <w:rPr>
          <w:rFonts w:hint="eastAsia" w:ascii="仿宋" w:hAnsi="仿宋" w:eastAsia="仿宋" w:cs="仿宋"/>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adjustRightInd w:val="0"/>
        <w:snapToGrid w:val="0"/>
        <w:spacing w:line="360" w:lineRule="auto"/>
        <w:ind w:right="105" w:rightChars="50"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1"/>
        <w:ind w:left="0" w:leftChars="0" w:firstLine="0" w:firstLineChars="0"/>
        <w:rPr>
          <w:rFonts w:hint="eastAsia" w:ascii="仿宋" w:hAnsi="仿宋" w:eastAsia="仿宋" w:cs="仿宋"/>
          <w:highlight w:val="none"/>
          <w:lang w:val="en-US" w:eastAsia="zh-CN"/>
        </w:rPr>
      </w:pPr>
    </w:p>
    <w:p>
      <w:pPr>
        <w:pStyle w:val="2"/>
        <w:spacing w:line="360" w:lineRule="auto"/>
        <w:ind w:left="12" w:right="146" w:hanging="12" w:hangingChars="5"/>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1"/>
          <w:szCs w:val="21"/>
          <w:highlight w:val="none"/>
          <w:lang w:val="en-US" w:eastAsia="zh-CN" w:bidi="ar-SA"/>
        </w:rPr>
        <w:t>残疾人福利性单位声明函</w:t>
      </w:r>
    </w:p>
    <w:p>
      <w:pPr>
        <w:pStyle w:val="2"/>
        <w:spacing w:line="360" w:lineRule="auto"/>
        <w:ind w:left="0" w:right="147" w:firstLine="420" w:firstLineChars="20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1"/>
          <w:szCs w:val="21"/>
          <w:highlight w:val="none"/>
          <w:u w:val="single"/>
          <w:lang w:val="en-US" w:eastAsia="zh-CN" w:bidi="ar-SA"/>
        </w:rPr>
        <w:t>（采购单位名称）</w:t>
      </w:r>
      <w:r>
        <w:rPr>
          <w:rFonts w:hint="eastAsia" w:ascii="仿宋" w:hAnsi="仿宋" w:eastAsia="仿宋" w:cs="仿宋"/>
          <w:color w:val="auto"/>
          <w:sz w:val="21"/>
          <w:szCs w:val="21"/>
          <w:highlight w:val="none"/>
          <w:lang w:val="en-US" w:eastAsia="zh-CN" w:bidi="ar-SA"/>
        </w:rPr>
        <w:t>的</w:t>
      </w:r>
      <w:r>
        <w:rPr>
          <w:rFonts w:hint="eastAsia" w:ascii="仿宋" w:hAnsi="仿宋" w:eastAsia="仿宋" w:cs="仿宋"/>
          <w:color w:val="auto"/>
          <w:sz w:val="21"/>
          <w:szCs w:val="21"/>
          <w:highlight w:val="none"/>
          <w:u w:val="single"/>
          <w:lang w:val="en-US" w:eastAsia="zh-CN" w:bidi="ar-SA"/>
        </w:rPr>
        <w:t>（采购项目名称）</w:t>
      </w:r>
      <w:r>
        <w:rPr>
          <w:rFonts w:hint="eastAsia" w:ascii="仿宋" w:hAnsi="仿宋" w:eastAsia="仿宋" w:cs="仿宋"/>
          <w:color w:val="auto"/>
          <w:sz w:val="21"/>
          <w:szCs w:val="21"/>
          <w:highlight w:val="none"/>
          <w:lang w:val="en-US" w:eastAsia="zh-CN" w:bidi="ar-SA"/>
        </w:rPr>
        <w:t>项目采购活动提供本单位制造的货物（由本单位承担工程/提供服务），或者提供其他残疾人福利性单位制造的货物（不包括使用非残疾人福利性单位注册商标的货物）。</w:t>
      </w:r>
    </w:p>
    <w:p>
      <w:pPr>
        <w:pStyle w:val="2"/>
        <w:spacing w:line="360" w:lineRule="auto"/>
        <w:ind w:left="0" w:right="147" w:firstLine="420" w:firstLineChars="200"/>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本单位对上述声明的真实性负责。如有虚假，将依法承担相应责任。</w:t>
      </w:r>
    </w:p>
    <w:p>
      <w:pPr>
        <w:wordWrap/>
        <w:snapToGrid/>
        <w:spacing w:line="360" w:lineRule="auto"/>
        <w:ind w:left="0" w:leftChars="0" w:right="0" w:firstLine="420" w:firstLineChars="20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（电子签章）：</w:t>
      </w:r>
    </w:p>
    <w:p>
      <w:pPr>
        <w:wordWrap/>
        <w:snapToGrid/>
        <w:spacing w:line="360" w:lineRule="auto"/>
        <w:ind w:left="0" w:leftChars="0" w:right="0" w:firstLine="210" w:firstLineChars="10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公司法定代表人（电子签章或签字）：</w:t>
      </w:r>
    </w:p>
    <w:p>
      <w:pPr>
        <w:wordWrap/>
        <w:snapToGrid/>
        <w:spacing w:line="360" w:lineRule="auto"/>
        <w:ind w:left="0" w:leftChars="0" w:right="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法人授权代表（电子签章或签字）：</w:t>
      </w:r>
    </w:p>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年   月   日</w:t>
      </w:r>
    </w:p>
    <w:p>
      <w:pPr>
        <w:widowControl/>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（提醒：如果投标人</w:t>
      </w:r>
      <w:r>
        <w:rPr>
          <w:rFonts w:hint="eastAsia" w:ascii="仿宋" w:hAnsi="仿宋" w:eastAsia="仿宋" w:cs="仿宋"/>
          <w:b/>
          <w:color w:val="auto"/>
          <w:spacing w:val="10"/>
          <w:kern w:val="0"/>
          <w:sz w:val="21"/>
          <w:szCs w:val="21"/>
          <w:highlight w:val="none"/>
        </w:rPr>
        <w:t>不是残疾人福利性单位</w:t>
      </w:r>
      <w:r>
        <w:rPr>
          <w:rFonts w:hint="eastAsia" w:ascii="仿宋" w:hAnsi="仿宋" w:eastAsia="仿宋" w:cs="仿宋"/>
          <w:b/>
          <w:color w:val="auto"/>
          <w:sz w:val="21"/>
          <w:szCs w:val="21"/>
          <w:highlight w:val="none"/>
        </w:rPr>
        <w:t>，则不需要提供《残疾人福利性单位声明函》。否则，因此导致虚假投标的后果由</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自行承担。）</w:t>
      </w:r>
    </w:p>
    <w:p>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《财政部民政部中国残疾人联合会关于促进残疾人就业政府采购政策的通知》（财库2017〔141〕号）的规定：</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享受政府采购支持政策的残疾人福利性单位应当同时满足以下条件：</w:t>
      </w:r>
    </w:p>
    <w:p>
      <w:pPr>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（1）安置的残疾人占本单位在职职工人数的比例不低于25%（含25%），并且安置的残疾人人数不少于10人（含10人）；</w:t>
      </w:r>
    </w:p>
    <w:p>
      <w:pPr>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（2）依法与安置的每位残疾人签订了一年以上（含一年）的劳动合同或服务协议；</w:t>
      </w:r>
    </w:p>
    <w:p>
      <w:pPr>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（3）为安置的每位残疾人按月足额缴纳了基本养老保险、基本医疗保险、失业保险、工伤保险和生育保险等社会保险费；</w:t>
      </w:r>
    </w:p>
    <w:p>
      <w:pPr>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（4）通过银行等金融机构向安置的每位残疾人，按月支付了不低于单位所在区县适用的经省级人民政府批准的月最低工资标准的工资；</w:t>
      </w:r>
    </w:p>
    <w:p>
      <w:pPr>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（5）提供本单位制造的货物、承担的工程或者服务（以下简称产品），或者提供其他残疾人福利性单位制造的货物（不包括使用非残疾人福利性单位注册商标的货物）。</w:t>
      </w:r>
    </w:p>
    <w:p>
      <w:pPr>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 </w:t>
      </w:r>
      <w:r>
        <w:rPr>
          <w:rFonts w:hint="eastAsia" w:ascii="仿宋" w:hAnsi="仿宋" w:eastAsia="仿宋" w:cs="仿宋"/>
          <w:color w:val="auto"/>
          <w:sz w:val="21"/>
          <w:szCs w:val="21"/>
          <w:highlight w:val="none"/>
          <w:lang w:val="en-US" w:eastAsia="zh-CN"/>
        </w:rPr>
        <w:t>中标</w:t>
      </w:r>
      <w:r>
        <w:rPr>
          <w:rFonts w:hint="eastAsia" w:ascii="仿宋" w:hAnsi="仿宋" w:eastAsia="仿宋" w:cs="仿宋"/>
          <w:color w:val="auto"/>
          <w:sz w:val="21"/>
          <w:szCs w:val="21"/>
          <w:highlight w:val="none"/>
        </w:rPr>
        <w:t>人为残疾人福利性单位的，采购人或者其委托的采购代理机构应当随</w:t>
      </w:r>
      <w:r>
        <w:rPr>
          <w:rFonts w:hint="eastAsia" w:ascii="仿宋" w:hAnsi="仿宋" w:eastAsia="仿宋" w:cs="仿宋"/>
          <w:color w:val="auto"/>
          <w:sz w:val="21"/>
          <w:szCs w:val="21"/>
          <w:highlight w:val="none"/>
          <w:lang w:val="en-US" w:eastAsia="zh-CN"/>
        </w:rPr>
        <w:t>中标</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中标</w:t>
      </w:r>
      <w:r>
        <w:rPr>
          <w:rFonts w:hint="eastAsia" w:ascii="仿宋" w:hAnsi="仿宋" w:eastAsia="仿宋" w:cs="仿宋"/>
          <w:color w:val="auto"/>
          <w:sz w:val="21"/>
          <w:szCs w:val="21"/>
          <w:highlight w:val="none"/>
        </w:rPr>
        <w:t>结果同时公告其《残疾人福利性单位声明函》，接受社会监督。</w:t>
      </w:r>
    </w:p>
    <w:p>
      <w:pPr>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注明：若供应商为非残疾人福利企业，本声明函无需填写（附原稿）</w:t>
      </w:r>
    </w:p>
    <w:p>
      <w:pPr>
        <w:spacing w:line="398" w:lineRule="auto"/>
        <w:rPr>
          <w:rFonts w:hint="eastAsia" w:ascii="仿宋" w:hAnsi="仿宋" w:eastAsia="仿宋" w:cs="仿宋"/>
          <w:sz w:val="21"/>
          <w:highlight w:val="none"/>
        </w:rPr>
      </w:pPr>
    </w:p>
    <w:p>
      <w:pPr>
        <w:pStyle w:val="16"/>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监狱企业声明函</w:t>
      </w:r>
    </w:p>
    <w:p>
      <w:pPr>
        <w:spacing w:before="199" w:line="220" w:lineRule="auto"/>
        <w:jc w:val="center"/>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(属于监狱企业的填写</w:t>
      </w:r>
      <w:r>
        <w:rPr>
          <w:rFonts w:hint="eastAsia" w:ascii="仿宋" w:hAnsi="仿宋" w:eastAsia="仿宋" w:cs="仿宋"/>
          <w:sz w:val="21"/>
          <w:szCs w:val="21"/>
          <w:highlight w:val="none"/>
        </w:rPr>
        <w:t>，不属于的删除此附件)</w:t>
      </w:r>
    </w:p>
    <w:p>
      <w:pPr>
        <w:spacing w:line="458" w:lineRule="auto"/>
        <w:rPr>
          <w:rFonts w:hint="eastAsia" w:ascii="仿宋" w:hAnsi="仿宋" w:eastAsia="仿宋" w:cs="仿宋"/>
          <w:sz w:val="21"/>
          <w:szCs w:val="21"/>
          <w:highlight w:val="none"/>
        </w:rPr>
      </w:pPr>
    </w:p>
    <w:p>
      <w:pPr>
        <w:spacing w:before="68" w:line="220" w:lineRule="auto"/>
        <w:ind w:left="3608"/>
        <w:rPr>
          <w:rFonts w:hint="eastAsia" w:ascii="仿宋" w:hAnsi="仿宋" w:eastAsia="仿宋" w:cs="仿宋"/>
          <w:spacing w:val="-1"/>
          <w:sz w:val="21"/>
          <w:szCs w:val="21"/>
          <w:highlight w:val="none"/>
        </w:rPr>
      </w:pPr>
      <w:r>
        <w:rPr>
          <w:rFonts w:hint="eastAsia" w:ascii="仿宋" w:hAnsi="仿宋" w:eastAsia="仿宋" w:cs="仿宋"/>
          <w:spacing w:val="-2"/>
          <w:sz w:val="21"/>
          <w:szCs w:val="21"/>
          <w:highlight w:val="none"/>
        </w:rPr>
        <w:t>格</w:t>
      </w:r>
      <w:r>
        <w:rPr>
          <w:rFonts w:hint="eastAsia" w:ascii="仿宋" w:hAnsi="仿宋" w:eastAsia="仿宋" w:cs="仿宋"/>
          <w:spacing w:val="-1"/>
          <w:sz w:val="21"/>
          <w:szCs w:val="21"/>
          <w:highlight w:val="none"/>
        </w:rPr>
        <w:t>式自拟</w:t>
      </w:r>
    </w:p>
    <w:p>
      <w:pPr>
        <w:rPr>
          <w:rFonts w:hint="eastAsia" w:ascii="仿宋" w:hAnsi="仿宋" w:eastAsia="仿宋" w:cs="仿宋"/>
          <w:sz w:val="28"/>
          <w:szCs w:val="28"/>
          <w:highlight w:val="none"/>
          <w:lang w:val="en-US" w:eastAsia="zh-CN"/>
        </w:rPr>
      </w:pPr>
    </w:p>
    <w:p>
      <w:pPr>
        <w:pStyle w:val="21"/>
        <w:keepNext w:val="0"/>
        <w:keepLines w:val="0"/>
        <w:pageBreakBefore w:val="0"/>
        <w:widowControl w:val="0"/>
        <w:wordWrap/>
        <w:topLinePunct w:val="0"/>
        <w:bidi w:val="0"/>
        <w:snapToGrid/>
        <w:spacing w:line="360" w:lineRule="auto"/>
        <w:ind w:left="0" w:leftChars="0" w:firstLine="0" w:firstLineChars="0"/>
        <w:rPr>
          <w:rFonts w:hint="eastAsia" w:ascii="仿宋" w:hAnsi="仿宋" w:eastAsia="仿宋" w:cs="仿宋"/>
          <w:highlight w:val="none"/>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壮..">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88"/>
      <w:rPr>
        <w:rFonts w:eastAsia="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88"/>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hint="default" w:ascii="Times New Roman" w:eastAsia="Times New Roman" w:cs="Times New Roman"/>
        <w:sz w:val="20"/>
        <w:szCs w:val="20"/>
      </w:rPr>
    </w:pPr>
    <w:r>
      <w:rPr>
        <w:rFonts w:hint="default" w:ascii="Times New Roman" w:eastAsia="Times New Roman" w:cs="Times New Roman"/>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4FB3E"/>
    <w:multiLevelType w:val="singleLevel"/>
    <w:tmpl w:val="8364FB3E"/>
    <w:lvl w:ilvl="0" w:tentative="0">
      <w:start w:val="1"/>
      <w:numFmt w:val="chineseCounting"/>
      <w:suff w:val="space"/>
      <w:lvlText w:val="第%1章"/>
      <w:lvlJc w:val="left"/>
      <w:rPr>
        <w:rFonts w:hint="eastAsia"/>
      </w:rPr>
    </w:lvl>
  </w:abstractNum>
  <w:abstractNum w:abstractNumId="1">
    <w:nsid w:val="B0E19490"/>
    <w:multiLevelType w:val="singleLevel"/>
    <w:tmpl w:val="B0E19490"/>
    <w:lvl w:ilvl="0" w:tentative="0">
      <w:start w:val="4"/>
      <w:numFmt w:val="chineseCounting"/>
      <w:suff w:val="space"/>
      <w:lvlText w:val="第%1章"/>
      <w:lvlJc w:val="left"/>
      <w:rPr>
        <w:rFonts w:hint="eastAsia"/>
      </w:rPr>
    </w:lvl>
  </w:abstractNum>
  <w:abstractNum w:abstractNumId="2">
    <w:nsid w:val="BA8F3EAF"/>
    <w:multiLevelType w:val="singleLevel"/>
    <w:tmpl w:val="BA8F3EAF"/>
    <w:lvl w:ilvl="0" w:tentative="0">
      <w:start w:val="2"/>
      <w:numFmt w:val="chineseCounting"/>
      <w:suff w:val="nothing"/>
      <w:lvlText w:val="%1、"/>
      <w:lvlJc w:val="left"/>
      <w:rPr>
        <w:rFonts w:hint="eastAsia"/>
      </w:rPr>
    </w:lvl>
  </w:abstractNum>
  <w:abstractNum w:abstractNumId="3">
    <w:nsid w:val="FFFFFFFB"/>
    <w:multiLevelType w:val="multilevel"/>
    <w:tmpl w:val="FFFFFFFB"/>
    <w:lvl w:ilvl="0" w:tentative="0">
      <w:start w:val="1"/>
      <w:numFmt w:val="chineseCountingThousand"/>
      <w:lvlText w:val="%1."/>
      <w:legacy w:legacy="1" w:legacySpace="113" w:legacyIndent="425"/>
      <w:lvlJc w:val="left"/>
      <w:pPr>
        <w:ind w:left="1842" w:hanging="425"/>
      </w:pPr>
    </w:lvl>
    <w:lvl w:ilvl="1" w:tentative="0">
      <w:start w:val="1"/>
      <w:numFmt w:val="decimal"/>
      <w:pStyle w:val="4"/>
      <w:lvlText w:val="%2."/>
      <w:legacy w:legacy="1" w:legacySpace="0" w:legacyIndent="425"/>
      <w:lvlJc w:val="left"/>
      <w:pPr>
        <w:ind w:left="3785" w:hanging="425"/>
      </w:pPr>
    </w:lvl>
    <w:lvl w:ilvl="2" w:tentative="0">
      <w:start w:val="1"/>
      <w:numFmt w:val="none"/>
      <w:suff w:val="nothing"/>
      <w:lvlText w:val=""/>
      <w:lvlJc w:val="left"/>
      <w:pPr>
        <w:ind w:left="2268" w:hanging="425"/>
      </w:pPr>
    </w:lvl>
    <w:lvl w:ilvl="3" w:tentative="0">
      <w:start w:val="1"/>
      <w:numFmt w:val="lowerLetter"/>
      <w:lvlText w:val="%4)"/>
      <w:legacy w:legacy="1" w:legacySpace="0" w:legacyIndent="425"/>
      <w:lvlJc w:val="left"/>
      <w:pPr>
        <w:ind w:left="3117" w:hanging="425"/>
      </w:pPr>
    </w:lvl>
    <w:lvl w:ilvl="4" w:tentative="0">
      <w:start w:val="1"/>
      <w:numFmt w:val="decimal"/>
      <w:lvlText w:val="(%5)"/>
      <w:legacy w:legacy="1" w:legacySpace="0" w:legacyIndent="425"/>
      <w:lvlJc w:val="left"/>
      <w:pPr>
        <w:ind w:left="3542" w:hanging="425"/>
      </w:pPr>
    </w:lvl>
    <w:lvl w:ilvl="5" w:tentative="0">
      <w:start w:val="1"/>
      <w:numFmt w:val="lowerLetter"/>
      <w:lvlText w:val="(%6)"/>
      <w:legacy w:legacy="1" w:legacySpace="0" w:legacyIndent="425"/>
      <w:lvlJc w:val="left"/>
      <w:pPr>
        <w:ind w:left="3967" w:hanging="425"/>
      </w:pPr>
    </w:lvl>
    <w:lvl w:ilvl="6" w:tentative="0">
      <w:start w:val="1"/>
      <w:numFmt w:val="lowerRoman"/>
      <w:lvlText w:val="(%7)"/>
      <w:legacy w:legacy="1" w:legacySpace="0" w:legacyIndent="425"/>
      <w:lvlJc w:val="left"/>
      <w:pPr>
        <w:ind w:left="4392" w:hanging="425"/>
      </w:pPr>
    </w:lvl>
    <w:lvl w:ilvl="7" w:tentative="0">
      <w:start w:val="1"/>
      <w:numFmt w:val="lowerLetter"/>
      <w:lvlText w:val="(%8)"/>
      <w:legacy w:legacy="1" w:legacySpace="0" w:legacyIndent="425"/>
      <w:lvlJc w:val="left"/>
      <w:pPr>
        <w:ind w:left="4817" w:hanging="425"/>
      </w:pPr>
    </w:lvl>
    <w:lvl w:ilvl="8" w:tentative="0">
      <w:start w:val="1"/>
      <w:numFmt w:val="lowerRoman"/>
      <w:lvlText w:val="(%9)"/>
      <w:legacy w:legacy="1" w:legacySpace="0" w:legacyIndent="425"/>
      <w:lvlJc w:val="left"/>
      <w:pPr>
        <w:ind w:left="5242" w:hanging="425"/>
      </w:pPr>
    </w:lvl>
  </w:abstractNum>
  <w:abstractNum w:abstractNumId="4">
    <w:nsid w:val="00000406"/>
    <w:multiLevelType w:val="multilevel"/>
    <w:tmpl w:val="00000406"/>
    <w:lvl w:ilvl="0" w:tentative="0">
      <w:start w:val="1"/>
      <w:numFmt w:val="decimal"/>
      <w:lvlText w:val="%1."/>
      <w:lvlJc w:val="left"/>
      <w:pPr>
        <w:ind w:left="419" w:hanging="317"/>
      </w:pPr>
      <w:rPr>
        <w:rFonts w:hint="eastAsia" w:ascii="宋体" w:hAnsi="Times New Roman" w:eastAsia="宋体" w:cs="宋体"/>
        <w:b/>
        <w:w w:val="98"/>
        <w:sz w:val="21"/>
        <w:szCs w:val="21"/>
        <w:u w:val="none" w:color="auto"/>
      </w:rPr>
    </w:lvl>
    <w:lvl w:ilvl="1" w:tentative="0">
      <w:start w:val="1"/>
      <w:numFmt w:val="decimal"/>
      <w:lvlText w:val="%1.%2"/>
      <w:lvlJc w:val="left"/>
      <w:pPr>
        <w:ind w:left="522" w:hanging="420"/>
      </w:pPr>
      <w:rPr>
        <w:rFonts w:hint="default" w:cs="Times New Roman"/>
        <w:w w:val="99"/>
        <w:u w:val="none" w:color="auto"/>
      </w:rPr>
    </w:lvl>
    <w:lvl w:ilvl="2" w:tentative="0">
      <w:start w:val="1"/>
      <w:numFmt w:val="decimal"/>
      <w:lvlText w:val="%1.%2.%3"/>
      <w:lvlJc w:val="left"/>
      <w:pPr>
        <w:ind w:left="102" w:hanging="420"/>
      </w:pPr>
      <w:rPr>
        <w:rFonts w:hint="eastAsia" w:ascii="宋体" w:hAnsi="Times New Roman" w:eastAsia="宋体" w:cs="宋体"/>
        <w:spacing w:val="-2"/>
        <w:w w:val="99"/>
        <w:sz w:val="21"/>
        <w:szCs w:val="21"/>
        <w:u w:val="none" w:color="auto"/>
      </w:rPr>
    </w:lvl>
    <w:lvl w:ilvl="3" w:tentative="0">
      <w:start w:val="0"/>
      <w:numFmt w:val="bullet"/>
      <w:lvlText w:val="•"/>
      <w:lvlJc w:val="left"/>
      <w:pPr>
        <w:ind w:left="520" w:hanging="420"/>
      </w:pPr>
      <w:rPr>
        <w:rFonts w:hint="default"/>
        <w:u w:val="none" w:color="auto"/>
      </w:rPr>
    </w:lvl>
    <w:lvl w:ilvl="4" w:tentative="0">
      <w:start w:val="0"/>
      <w:numFmt w:val="bullet"/>
      <w:lvlText w:val="•"/>
      <w:lvlJc w:val="left"/>
      <w:pPr>
        <w:ind w:left="1040" w:hanging="420"/>
      </w:pPr>
      <w:rPr>
        <w:rFonts w:hint="default"/>
        <w:u w:val="none" w:color="auto"/>
      </w:rPr>
    </w:lvl>
    <w:lvl w:ilvl="5" w:tentative="0">
      <w:start w:val="0"/>
      <w:numFmt w:val="bullet"/>
      <w:lvlText w:val="•"/>
      <w:lvlJc w:val="left"/>
      <w:pPr>
        <w:ind w:left="1100" w:hanging="420"/>
      </w:pPr>
      <w:rPr>
        <w:rFonts w:hint="default"/>
        <w:u w:val="none" w:color="auto"/>
      </w:rPr>
    </w:lvl>
    <w:lvl w:ilvl="6" w:tentative="0">
      <w:start w:val="0"/>
      <w:numFmt w:val="bullet"/>
      <w:lvlText w:val="•"/>
      <w:lvlJc w:val="left"/>
      <w:pPr>
        <w:ind w:left="1160" w:hanging="420"/>
      </w:pPr>
      <w:rPr>
        <w:rFonts w:hint="default"/>
        <w:u w:val="none" w:color="auto"/>
      </w:rPr>
    </w:lvl>
    <w:lvl w:ilvl="7" w:tentative="0">
      <w:start w:val="0"/>
      <w:numFmt w:val="bullet"/>
      <w:lvlText w:val="•"/>
      <w:lvlJc w:val="left"/>
      <w:pPr>
        <w:ind w:left="3386" w:hanging="420"/>
      </w:pPr>
      <w:rPr>
        <w:rFonts w:hint="default"/>
        <w:u w:val="none" w:color="auto"/>
      </w:rPr>
    </w:lvl>
    <w:lvl w:ilvl="8" w:tentative="0">
      <w:start w:val="0"/>
      <w:numFmt w:val="bullet"/>
      <w:lvlText w:val="•"/>
      <w:lvlJc w:val="left"/>
      <w:pPr>
        <w:ind w:left="5613" w:hanging="420"/>
      </w:pPr>
      <w:rPr>
        <w:rFonts w:hint="default"/>
        <w:u w:val="none" w:color="auto"/>
      </w:rPr>
    </w:lvl>
  </w:abstractNum>
  <w:abstractNum w:abstractNumId="5">
    <w:nsid w:val="00000407"/>
    <w:multiLevelType w:val="multilevel"/>
    <w:tmpl w:val="00000407"/>
    <w:lvl w:ilvl="0" w:tentative="0">
      <w:start w:val="1"/>
      <w:numFmt w:val="decimal"/>
      <w:lvlText w:val="（%1）"/>
      <w:lvlJc w:val="left"/>
      <w:pPr>
        <w:ind w:left="1046" w:hanging="525"/>
      </w:pPr>
      <w:rPr>
        <w:rFonts w:hint="eastAsia" w:ascii="宋体" w:hAnsi="Times New Roman" w:eastAsia="宋体" w:cs="宋体"/>
        <w:spacing w:val="-2"/>
        <w:w w:val="99"/>
        <w:sz w:val="19"/>
        <w:szCs w:val="19"/>
        <w:u w:val="none" w:color="auto"/>
      </w:rPr>
    </w:lvl>
    <w:lvl w:ilvl="1" w:tentative="0">
      <w:start w:val="0"/>
      <w:numFmt w:val="bullet"/>
      <w:lvlText w:val="•"/>
      <w:lvlJc w:val="left"/>
      <w:pPr>
        <w:ind w:left="1942" w:hanging="525"/>
      </w:pPr>
      <w:rPr>
        <w:rFonts w:hint="default"/>
        <w:u w:val="none" w:color="auto"/>
      </w:rPr>
    </w:lvl>
    <w:lvl w:ilvl="2" w:tentative="0">
      <w:start w:val="0"/>
      <w:numFmt w:val="bullet"/>
      <w:lvlText w:val="•"/>
      <w:lvlJc w:val="left"/>
      <w:pPr>
        <w:ind w:left="2845" w:hanging="525"/>
      </w:pPr>
      <w:rPr>
        <w:rFonts w:hint="default"/>
        <w:u w:val="none" w:color="auto"/>
      </w:rPr>
    </w:lvl>
    <w:lvl w:ilvl="3" w:tentative="0">
      <w:start w:val="0"/>
      <w:numFmt w:val="bullet"/>
      <w:lvlText w:val="•"/>
      <w:lvlJc w:val="left"/>
      <w:pPr>
        <w:ind w:left="3747" w:hanging="525"/>
      </w:pPr>
      <w:rPr>
        <w:rFonts w:hint="default"/>
        <w:u w:val="none" w:color="auto"/>
      </w:rPr>
    </w:lvl>
    <w:lvl w:ilvl="4" w:tentative="0">
      <w:start w:val="0"/>
      <w:numFmt w:val="bullet"/>
      <w:lvlText w:val="•"/>
      <w:lvlJc w:val="left"/>
      <w:pPr>
        <w:ind w:left="4650" w:hanging="525"/>
      </w:pPr>
      <w:rPr>
        <w:rFonts w:hint="default"/>
        <w:u w:val="none" w:color="auto"/>
      </w:rPr>
    </w:lvl>
    <w:lvl w:ilvl="5" w:tentative="0">
      <w:start w:val="0"/>
      <w:numFmt w:val="bullet"/>
      <w:lvlText w:val="•"/>
      <w:lvlJc w:val="left"/>
      <w:pPr>
        <w:ind w:left="5553" w:hanging="525"/>
      </w:pPr>
      <w:rPr>
        <w:rFonts w:hint="default"/>
        <w:u w:val="none" w:color="auto"/>
      </w:rPr>
    </w:lvl>
    <w:lvl w:ilvl="6" w:tentative="0">
      <w:start w:val="0"/>
      <w:numFmt w:val="bullet"/>
      <w:lvlText w:val="•"/>
      <w:lvlJc w:val="left"/>
      <w:pPr>
        <w:ind w:left="6455" w:hanging="525"/>
      </w:pPr>
      <w:rPr>
        <w:rFonts w:hint="default"/>
        <w:u w:val="none" w:color="auto"/>
      </w:rPr>
    </w:lvl>
    <w:lvl w:ilvl="7" w:tentative="0">
      <w:start w:val="0"/>
      <w:numFmt w:val="bullet"/>
      <w:lvlText w:val="•"/>
      <w:lvlJc w:val="left"/>
      <w:pPr>
        <w:ind w:left="7358" w:hanging="525"/>
      </w:pPr>
      <w:rPr>
        <w:rFonts w:hint="default"/>
        <w:u w:val="none" w:color="auto"/>
      </w:rPr>
    </w:lvl>
    <w:lvl w:ilvl="8" w:tentative="0">
      <w:start w:val="0"/>
      <w:numFmt w:val="bullet"/>
      <w:lvlText w:val="•"/>
      <w:lvlJc w:val="left"/>
      <w:pPr>
        <w:ind w:left="8260" w:hanging="525"/>
      </w:pPr>
      <w:rPr>
        <w:rFonts w:hint="default"/>
        <w:u w:val="none" w:color="auto"/>
      </w:rPr>
    </w:lvl>
  </w:abstractNum>
  <w:abstractNum w:abstractNumId="6">
    <w:nsid w:val="00000408"/>
    <w:multiLevelType w:val="multilevel"/>
    <w:tmpl w:val="00000408"/>
    <w:lvl w:ilvl="0" w:tentative="0">
      <w:start w:val="1"/>
      <w:numFmt w:val="decimal"/>
      <w:lvlText w:val="（%1）"/>
      <w:lvlJc w:val="left"/>
      <w:pPr>
        <w:ind w:left="1052" w:hanging="526"/>
      </w:pPr>
      <w:rPr>
        <w:rFonts w:hint="eastAsia" w:ascii="宋体" w:hAnsi="Times New Roman" w:eastAsia="宋体" w:cs="宋体"/>
        <w:spacing w:val="-1"/>
        <w:w w:val="99"/>
        <w:sz w:val="19"/>
        <w:szCs w:val="19"/>
        <w:u w:val="none" w:color="auto"/>
      </w:rPr>
    </w:lvl>
    <w:lvl w:ilvl="1" w:tentative="0">
      <w:start w:val="0"/>
      <w:numFmt w:val="bullet"/>
      <w:lvlText w:val="•"/>
      <w:lvlJc w:val="left"/>
      <w:pPr>
        <w:ind w:left="1960" w:hanging="526"/>
      </w:pPr>
      <w:rPr>
        <w:rFonts w:hint="default"/>
        <w:u w:val="none" w:color="auto"/>
      </w:rPr>
    </w:lvl>
    <w:lvl w:ilvl="2" w:tentative="0">
      <w:start w:val="0"/>
      <w:numFmt w:val="bullet"/>
      <w:lvlText w:val="•"/>
      <w:lvlJc w:val="left"/>
      <w:pPr>
        <w:ind w:left="2861" w:hanging="526"/>
      </w:pPr>
      <w:rPr>
        <w:rFonts w:hint="default"/>
        <w:u w:val="none" w:color="auto"/>
      </w:rPr>
    </w:lvl>
    <w:lvl w:ilvl="3" w:tentative="0">
      <w:start w:val="0"/>
      <w:numFmt w:val="bullet"/>
      <w:lvlText w:val="•"/>
      <w:lvlJc w:val="left"/>
      <w:pPr>
        <w:ind w:left="3761" w:hanging="526"/>
      </w:pPr>
      <w:rPr>
        <w:rFonts w:hint="default"/>
        <w:u w:val="none" w:color="auto"/>
      </w:rPr>
    </w:lvl>
    <w:lvl w:ilvl="4" w:tentative="0">
      <w:start w:val="0"/>
      <w:numFmt w:val="bullet"/>
      <w:lvlText w:val="•"/>
      <w:lvlJc w:val="left"/>
      <w:pPr>
        <w:ind w:left="4662" w:hanging="526"/>
      </w:pPr>
      <w:rPr>
        <w:rFonts w:hint="default"/>
        <w:u w:val="none" w:color="auto"/>
      </w:rPr>
    </w:lvl>
    <w:lvl w:ilvl="5" w:tentative="0">
      <w:start w:val="0"/>
      <w:numFmt w:val="bullet"/>
      <w:lvlText w:val="•"/>
      <w:lvlJc w:val="left"/>
      <w:pPr>
        <w:ind w:left="5563" w:hanging="526"/>
      </w:pPr>
      <w:rPr>
        <w:rFonts w:hint="default"/>
        <w:u w:val="none" w:color="auto"/>
      </w:rPr>
    </w:lvl>
    <w:lvl w:ilvl="6" w:tentative="0">
      <w:start w:val="0"/>
      <w:numFmt w:val="bullet"/>
      <w:lvlText w:val="•"/>
      <w:lvlJc w:val="left"/>
      <w:pPr>
        <w:ind w:left="6463" w:hanging="526"/>
      </w:pPr>
      <w:rPr>
        <w:rFonts w:hint="default"/>
        <w:u w:val="none" w:color="auto"/>
      </w:rPr>
    </w:lvl>
    <w:lvl w:ilvl="7" w:tentative="0">
      <w:start w:val="0"/>
      <w:numFmt w:val="bullet"/>
      <w:lvlText w:val="•"/>
      <w:lvlJc w:val="left"/>
      <w:pPr>
        <w:ind w:left="7364" w:hanging="526"/>
      </w:pPr>
      <w:rPr>
        <w:rFonts w:hint="default"/>
        <w:u w:val="none" w:color="auto"/>
      </w:rPr>
    </w:lvl>
    <w:lvl w:ilvl="8" w:tentative="0">
      <w:start w:val="0"/>
      <w:numFmt w:val="bullet"/>
      <w:lvlText w:val="•"/>
      <w:lvlJc w:val="left"/>
      <w:pPr>
        <w:ind w:left="8264" w:hanging="526"/>
      </w:pPr>
      <w:rPr>
        <w:rFonts w:hint="default"/>
        <w:u w:val="none" w:color="auto"/>
      </w:rPr>
    </w:lvl>
  </w:abstractNum>
  <w:abstractNum w:abstractNumId="7">
    <w:nsid w:val="00000409"/>
    <w:multiLevelType w:val="multilevel"/>
    <w:tmpl w:val="00000409"/>
    <w:lvl w:ilvl="0" w:tentative="0">
      <w:start w:val="1"/>
      <w:numFmt w:val="decimal"/>
      <w:lvlText w:val="（%1）"/>
      <w:lvlJc w:val="left"/>
      <w:pPr>
        <w:ind w:left="102" w:hanging="525"/>
      </w:pPr>
      <w:rPr>
        <w:rFonts w:hint="eastAsia" w:ascii="宋体" w:hAnsi="Times New Roman" w:eastAsia="宋体" w:cs="宋体"/>
        <w:spacing w:val="-5"/>
        <w:w w:val="99"/>
        <w:sz w:val="19"/>
        <w:szCs w:val="19"/>
        <w:u w:val="none" w:color="auto"/>
      </w:rPr>
    </w:lvl>
    <w:lvl w:ilvl="1" w:tentative="0">
      <w:start w:val="0"/>
      <w:numFmt w:val="bullet"/>
      <w:lvlText w:val="•"/>
      <w:lvlJc w:val="left"/>
      <w:pPr>
        <w:ind w:left="1096" w:hanging="525"/>
      </w:pPr>
      <w:rPr>
        <w:rFonts w:hint="default"/>
        <w:u w:val="none" w:color="auto"/>
      </w:rPr>
    </w:lvl>
    <w:lvl w:ilvl="2" w:tentative="0">
      <w:start w:val="0"/>
      <w:numFmt w:val="bullet"/>
      <w:lvlText w:val="•"/>
      <w:lvlJc w:val="left"/>
      <w:pPr>
        <w:ind w:left="2093" w:hanging="525"/>
      </w:pPr>
      <w:rPr>
        <w:rFonts w:hint="default"/>
        <w:u w:val="none" w:color="auto"/>
      </w:rPr>
    </w:lvl>
    <w:lvl w:ilvl="3" w:tentative="0">
      <w:start w:val="0"/>
      <w:numFmt w:val="bullet"/>
      <w:lvlText w:val="•"/>
      <w:lvlJc w:val="left"/>
      <w:pPr>
        <w:ind w:left="3089" w:hanging="525"/>
      </w:pPr>
      <w:rPr>
        <w:rFonts w:hint="default"/>
        <w:u w:val="none" w:color="auto"/>
      </w:rPr>
    </w:lvl>
    <w:lvl w:ilvl="4" w:tentative="0">
      <w:start w:val="0"/>
      <w:numFmt w:val="bullet"/>
      <w:lvlText w:val="•"/>
      <w:lvlJc w:val="left"/>
      <w:pPr>
        <w:ind w:left="4086" w:hanging="525"/>
      </w:pPr>
      <w:rPr>
        <w:rFonts w:hint="default"/>
        <w:u w:val="none" w:color="auto"/>
      </w:rPr>
    </w:lvl>
    <w:lvl w:ilvl="5" w:tentative="0">
      <w:start w:val="0"/>
      <w:numFmt w:val="bullet"/>
      <w:lvlText w:val="•"/>
      <w:lvlJc w:val="left"/>
      <w:pPr>
        <w:ind w:left="5083" w:hanging="525"/>
      </w:pPr>
      <w:rPr>
        <w:rFonts w:hint="default"/>
        <w:u w:val="none" w:color="auto"/>
      </w:rPr>
    </w:lvl>
    <w:lvl w:ilvl="6" w:tentative="0">
      <w:start w:val="0"/>
      <w:numFmt w:val="bullet"/>
      <w:lvlText w:val="•"/>
      <w:lvlJc w:val="left"/>
      <w:pPr>
        <w:ind w:left="6079" w:hanging="525"/>
      </w:pPr>
      <w:rPr>
        <w:rFonts w:hint="default"/>
        <w:u w:val="none" w:color="auto"/>
      </w:rPr>
    </w:lvl>
    <w:lvl w:ilvl="7" w:tentative="0">
      <w:start w:val="0"/>
      <w:numFmt w:val="bullet"/>
      <w:lvlText w:val="•"/>
      <w:lvlJc w:val="left"/>
      <w:pPr>
        <w:ind w:left="7076" w:hanging="525"/>
      </w:pPr>
      <w:rPr>
        <w:rFonts w:hint="default"/>
        <w:u w:val="none" w:color="auto"/>
      </w:rPr>
    </w:lvl>
    <w:lvl w:ilvl="8" w:tentative="0">
      <w:start w:val="0"/>
      <w:numFmt w:val="bullet"/>
      <w:lvlText w:val="•"/>
      <w:lvlJc w:val="left"/>
      <w:pPr>
        <w:ind w:left="8072" w:hanging="525"/>
      </w:pPr>
      <w:rPr>
        <w:rFonts w:hint="default"/>
        <w:u w:val="none" w:color="auto"/>
      </w:rPr>
    </w:lvl>
  </w:abstractNum>
  <w:abstractNum w:abstractNumId="8">
    <w:nsid w:val="0000040A"/>
    <w:multiLevelType w:val="multilevel"/>
    <w:tmpl w:val="0000040A"/>
    <w:lvl w:ilvl="0" w:tentative="0">
      <w:start w:val="1"/>
      <w:numFmt w:val="decimal"/>
      <w:lvlText w:val="（%1）"/>
      <w:lvlJc w:val="left"/>
      <w:pPr>
        <w:ind w:left="986" w:hanging="525"/>
      </w:pPr>
      <w:rPr>
        <w:rFonts w:hint="eastAsia" w:ascii="宋体" w:hAnsi="Times New Roman" w:eastAsia="宋体" w:cs="宋体"/>
        <w:spacing w:val="-1"/>
        <w:w w:val="99"/>
        <w:szCs w:val="20"/>
        <w:u w:val="none" w:color="auto"/>
      </w:rPr>
    </w:lvl>
    <w:lvl w:ilvl="1" w:tentative="0">
      <w:start w:val="0"/>
      <w:numFmt w:val="bullet"/>
      <w:lvlText w:val="•"/>
      <w:lvlJc w:val="left"/>
      <w:pPr>
        <w:ind w:left="1888" w:hanging="525"/>
      </w:pPr>
      <w:rPr>
        <w:rFonts w:hint="default"/>
        <w:u w:val="none" w:color="auto"/>
      </w:rPr>
    </w:lvl>
    <w:lvl w:ilvl="2" w:tentative="0">
      <w:start w:val="0"/>
      <w:numFmt w:val="bullet"/>
      <w:lvlText w:val="•"/>
      <w:lvlJc w:val="left"/>
      <w:pPr>
        <w:ind w:left="2797" w:hanging="525"/>
      </w:pPr>
      <w:rPr>
        <w:rFonts w:hint="default"/>
        <w:u w:val="none" w:color="auto"/>
      </w:rPr>
    </w:lvl>
    <w:lvl w:ilvl="3" w:tentative="0">
      <w:start w:val="0"/>
      <w:numFmt w:val="bullet"/>
      <w:lvlText w:val="•"/>
      <w:lvlJc w:val="left"/>
      <w:pPr>
        <w:ind w:left="3705" w:hanging="525"/>
      </w:pPr>
      <w:rPr>
        <w:rFonts w:hint="default"/>
        <w:u w:val="none" w:color="auto"/>
      </w:rPr>
    </w:lvl>
    <w:lvl w:ilvl="4" w:tentative="0">
      <w:start w:val="0"/>
      <w:numFmt w:val="bullet"/>
      <w:lvlText w:val="•"/>
      <w:lvlJc w:val="left"/>
      <w:pPr>
        <w:ind w:left="4614" w:hanging="525"/>
      </w:pPr>
      <w:rPr>
        <w:rFonts w:hint="default"/>
        <w:u w:val="none" w:color="auto"/>
      </w:rPr>
    </w:lvl>
    <w:lvl w:ilvl="5" w:tentative="0">
      <w:start w:val="0"/>
      <w:numFmt w:val="bullet"/>
      <w:lvlText w:val="•"/>
      <w:lvlJc w:val="left"/>
      <w:pPr>
        <w:ind w:left="5523" w:hanging="525"/>
      </w:pPr>
      <w:rPr>
        <w:rFonts w:hint="default"/>
        <w:u w:val="none" w:color="auto"/>
      </w:rPr>
    </w:lvl>
    <w:lvl w:ilvl="6" w:tentative="0">
      <w:start w:val="0"/>
      <w:numFmt w:val="bullet"/>
      <w:lvlText w:val="•"/>
      <w:lvlJc w:val="left"/>
      <w:pPr>
        <w:ind w:left="6431" w:hanging="525"/>
      </w:pPr>
      <w:rPr>
        <w:rFonts w:hint="default"/>
        <w:u w:val="none" w:color="auto"/>
      </w:rPr>
    </w:lvl>
    <w:lvl w:ilvl="7" w:tentative="0">
      <w:start w:val="0"/>
      <w:numFmt w:val="bullet"/>
      <w:lvlText w:val="•"/>
      <w:lvlJc w:val="left"/>
      <w:pPr>
        <w:ind w:left="7340" w:hanging="525"/>
      </w:pPr>
      <w:rPr>
        <w:rFonts w:hint="default"/>
        <w:u w:val="none" w:color="auto"/>
      </w:rPr>
    </w:lvl>
    <w:lvl w:ilvl="8" w:tentative="0">
      <w:start w:val="0"/>
      <w:numFmt w:val="bullet"/>
      <w:lvlText w:val="•"/>
      <w:lvlJc w:val="left"/>
      <w:pPr>
        <w:ind w:left="8248" w:hanging="525"/>
      </w:pPr>
      <w:rPr>
        <w:rFonts w:hint="default"/>
        <w:u w:val="none" w:color="auto"/>
      </w:rPr>
    </w:lvl>
  </w:abstractNum>
  <w:abstractNum w:abstractNumId="9">
    <w:nsid w:val="174DCB53"/>
    <w:multiLevelType w:val="singleLevel"/>
    <w:tmpl w:val="174DCB53"/>
    <w:lvl w:ilvl="0" w:tentative="0">
      <w:start w:val="2"/>
      <w:numFmt w:val="decimal"/>
      <w:lvlText w:val="%1."/>
      <w:lvlJc w:val="left"/>
      <w:pPr>
        <w:tabs>
          <w:tab w:val="left" w:pos="312"/>
        </w:tabs>
      </w:pPr>
    </w:lvl>
  </w:abstractNum>
  <w:abstractNum w:abstractNumId="10">
    <w:nsid w:val="1DA216F0"/>
    <w:multiLevelType w:val="multilevel"/>
    <w:tmpl w:val="1DA216F0"/>
    <w:lvl w:ilvl="0" w:tentative="0">
      <w:start w:val="1"/>
      <w:numFmt w:val="chineseCountingThousand"/>
      <w:pStyle w:val="15"/>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1ED3C5D4"/>
    <w:multiLevelType w:val="multilevel"/>
    <w:tmpl w:val="1ED3C5D4"/>
    <w:lvl w:ilvl="0" w:tentative="0">
      <w:start w:val="1"/>
      <w:numFmt w:val="decimal"/>
      <w:lvlText w:val="%1."/>
      <w:lvlJc w:val="left"/>
      <w:pPr>
        <w:ind w:left="425" w:hanging="425"/>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2">
    <w:nsid w:val="5A981A7D"/>
    <w:multiLevelType w:val="singleLevel"/>
    <w:tmpl w:val="5A981A7D"/>
    <w:lvl w:ilvl="0" w:tentative="0">
      <w:start w:val="5"/>
      <w:numFmt w:val="decimal"/>
      <w:suff w:val="nothing"/>
      <w:lvlText w:val="%1、"/>
      <w:lvlJc w:val="left"/>
    </w:lvl>
  </w:abstractNum>
  <w:num w:numId="1">
    <w:abstractNumId w:val="3"/>
  </w:num>
  <w:num w:numId="2">
    <w:abstractNumId w:val="10"/>
  </w:num>
  <w:num w:numId="3">
    <w:abstractNumId w:val="0"/>
  </w:num>
  <w:num w:numId="4">
    <w:abstractNumId w:val="11"/>
  </w:num>
  <w:num w:numId="5">
    <w:abstractNumId w:val="4"/>
  </w:num>
  <w:num w:numId="6">
    <w:abstractNumId w:val="5"/>
  </w:num>
  <w:num w:numId="7">
    <w:abstractNumId w:val="6"/>
  </w:num>
  <w:num w:numId="8">
    <w:abstractNumId w:val="7"/>
  </w:num>
  <w:num w:numId="9">
    <w:abstractNumId w:val="8"/>
  </w:num>
  <w:num w:numId="10">
    <w:abstractNumId w:val="1"/>
  </w:num>
  <w:num w:numId="11">
    <w:abstractNumId w:val="2"/>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ZWQxNDQyMDczY2JmMGViYTUwYzJhYTUyZmVjMzkifQ=="/>
  </w:docVars>
  <w:rsids>
    <w:rsidRoot w:val="2EC26877"/>
    <w:rsid w:val="095A63A1"/>
    <w:rsid w:val="15393174"/>
    <w:rsid w:val="177D6D06"/>
    <w:rsid w:val="18007468"/>
    <w:rsid w:val="18AD4FBB"/>
    <w:rsid w:val="224274F3"/>
    <w:rsid w:val="2264405B"/>
    <w:rsid w:val="23021F82"/>
    <w:rsid w:val="243F2BE0"/>
    <w:rsid w:val="2EC26877"/>
    <w:rsid w:val="32987598"/>
    <w:rsid w:val="3DBC4AEA"/>
    <w:rsid w:val="3E082D75"/>
    <w:rsid w:val="40EB0936"/>
    <w:rsid w:val="44303FF3"/>
    <w:rsid w:val="4483390E"/>
    <w:rsid w:val="45715877"/>
    <w:rsid w:val="45B93A12"/>
    <w:rsid w:val="498A37E7"/>
    <w:rsid w:val="4C9A07FE"/>
    <w:rsid w:val="5416206F"/>
    <w:rsid w:val="577B0237"/>
    <w:rsid w:val="5D613CAF"/>
    <w:rsid w:val="64892A3F"/>
    <w:rsid w:val="64DB68FE"/>
    <w:rsid w:val="66231220"/>
    <w:rsid w:val="773A1731"/>
    <w:rsid w:val="77C47C24"/>
    <w:rsid w:val="7A6D67B9"/>
    <w:rsid w:val="7C04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sz w:val="21"/>
      <w:lang w:val="en-US" w:eastAsia="zh-CN" w:bidi="ar-SA"/>
    </w:rPr>
  </w:style>
  <w:style w:type="paragraph" w:styleId="3">
    <w:name w:val="heading 1"/>
    <w:basedOn w:val="1"/>
    <w:next w:val="1"/>
    <w:link w:val="30"/>
    <w:autoRedefine/>
    <w:qFormat/>
    <w:uiPriority w:val="0"/>
    <w:pPr>
      <w:keepNext/>
      <w:keepLines/>
      <w:jc w:val="center"/>
      <w:outlineLvl w:val="0"/>
    </w:pPr>
    <w:rPr>
      <w:b/>
      <w:color w:val="auto"/>
      <w:sz w:val="36"/>
    </w:rPr>
  </w:style>
  <w:style w:type="paragraph" w:styleId="4">
    <w:name w:val="heading 2"/>
    <w:basedOn w:val="1"/>
    <w:next w:val="1"/>
    <w:link w:val="29"/>
    <w:autoRedefine/>
    <w:qFormat/>
    <w:uiPriority w:val="0"/>
    <w:pPr>
      <w:keepNext/>
      <w:keepLines/>
      <w:numPr>
        <w:ilvl w:val="1"/>
        <w:numId w:val="1"/>
      </w:numPr>
      <w:adjustRightInd w:val="0"/>
      <w:spacing w:before="160" w:after="160" w:line="240" w:lineRule="auto"/>
      <w:jc w:val="center"/>
      <w:textAlignment w:val="baseline"/>
      <w:outlineLvl w:val="1"/>
    </w:pPr>
    <w:rPr>
      <w:rFonts w:ascii="黑体" w:hAnsi="Arial" w:eastAsia="华文楷体"/>
      <w:b/>
      <w:kern w:val="0"/>
      <w:sz w:val="32"/>
      <w:szCs w:val="20"/>
    </w:rPr>
  </w:style>
  <w:style w:type="paragraph" w:styleId="5">
    <w:name w:val="heading 3"/>
    <w:basedOn w:val="1"/>
    <w:next w:val="1"/>
    <w:link w:val="32"/>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7"/>
    <w:basedOn w:val="1"/>
    <w:next w:val="1"/>
    <w:autoRedefine/>
    <w:unhideWhenUsed/>
    <w:qFormat/>
    <w:uiPriority w:val="1"/>
    <w:pPr>
      <w:ind w:left="442"/>
      <w:outlineLvl w:val="6"/>
    </w:pPr>
    <w:rPr>
      <w:rFonts w:hint="eastAsia"/>
      <w:b/>
      <w:sz w:val="21"/>
      <w:szCs w:val="21"/>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left"/>
    </w:pPr>
    <w:rPr>
      <w:rFonts w:ascii="楷体_GB2312" w:hAnsi="楷体_GB2312" w:eastAsia="楷体"/>
      <w:sz w:val="28"/>
    </w:rPr>
  </w:style>
  <w:style w:type="paragraph" w:styleId="7">
    <w:name w:val="Body Text Indent"/>
    <w:basedOn w:val="1"/>
    <w:next w:val="1"/>
    <w:autoRedefine/>
    <w:qFormat/>
    <w:uiPriority w:val="0"/>
    <w:pPr>
      <w:ind w:left="960"/>
      <w:jc w:val="left"/>
    </w:pPr>
    <w:rPr>
      <w:rFonts w:ascii="楷体_GB2312" w:hAnsi="楷体_GB2312" w:eastAsia="楷体"/>
      <w:sz w:val="28"/>
    </w:rPr>
  </w:style>
  <w:style w:type="paragraph" w:styleId="8">
    <w:name w:val="toc 3"/>
    <w:basedOn w:val="1"/>
    <w:next w:val="1"/>
    <w:autoRedefine/>
    <w:qFormat/>
    <w:uiPriority w:val="0"/>
    <w:pPr>
      <w:ind w:left="840" w:leftChars="400"/>
    </w:p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unhideWhenUsed/>
    <w:qFormat/>
    <w:uiPriority w:val="99"/>
    <w:pPr>
      <w:tabs>
        <w:tab w:val="center" w:pos="4153"/>
        <w:tab w:val="right" w:pos="8306"/>
      </w:tabs>
      <w:snapToGrid w:val="0"/>
      <w:jc w:val="left"/>
    </w:pPr>
    <w:rPr>
      <w:kern w:val="0"/>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pPr>
      <w:tabs>
        <w:tab w:val="right" w:leader="dot" w:pos="9061"/>
      </w:tabs>
      <w:spacing w:line="440" w:lineRule="exact"/>
      <w:jc w:val="center"/>
    </w:pPr>
    <w:rPr>
      <w:rFonts w:eastAsia="黑体"/>
      <w:b/>
      <w:bCs/>
      <w:sz w:val="24"/>
    </w:rPr>
  </w:style>
  <w:style w:type="paragraph" w:styleId="13">
    <w:name w:val="toc 2"/>
    <w:basedOn w:val="1"/>
    <w:next w:val="1"/>
    <w:autoRedefine/>
    <w:qFormat/>
    <w:uiPriority w:val="0"/>
    <w:pPr>
      <w:ind w:left="420" w:leftChars="200"/>
    </w:pPr>
  </w:style>
  <w:style w:type="paragraph" w:styleId="14">
    <w:name w:val="toc 9"/>
    <w:basedOn w:val="1"/>
    <w:next w:val="1"/>
    <w:autoRedefine/>
    <w:unhideWhenUsed/>
    <w:qFormat/>
    <w:uiPriority w:val="0"/>
    <w:pPr>
      <w:ind w:left="3360" w:leftChars="1600"/>
    </w:pPr>
    <w:rPr>
      <w:rFonts w:ascii="Calibri" w:hAnsi="Calibri"/>
      <w:szCs w:val="22"/>
    </w:rPr>
  </w:style>
  <w:style w:type="paragraph" w:styleId="15">
    <w:name w:val="Body Text 2"/>
    <w:basedOn w:val="1"/>
    <w:autoRedefine/>
    <w:qFormat/>
    <w:uiPriority w:val="0"/>
    <w:pPr>
      <w:numPr>
        <w:ilvl w:val="0"/>
        <w:numId w:val="2"/>
      </w:numPr>
      <w:spacing w:beforeLines="50" w:line="336" w:lineRule="auto"/>
      <w:ind w:left="0" w:firstLine="0"/>
      <w:jc w:val="both"/>
    </w:pPr>
    <w:rPr>
      <w:rFonts w:ascii="Times New Roman" w:hAnsi="Times New Roman" w:eastAsia="黑体" w:cs="Times New Roman"/>
      <w:kern w:val="2"/>
      <w:sz w:val="21"/>
      <w:szCs w:val="24"/>
      <w:lang w:val="en-GB" w:eastAsia="zh-CN" w:bidi="ar-SA"/>
    </w:rPr>
  </w:style>
  <w:style w:type="paragraph" w:styleId="16">
    <w:name w:val="Normal (Web)"/>
    <w:basedOn w:val="1"/>
    <w:autoRedefine/>
    <w:qFormat/>
    <w:uiPriority w:val="99"/>
    <w:pPr>
      <w:widowControl/>
      <w:spacing w:before="100" w:beforeAutospacing="1" w:after="100" w:afterAutospacing="1" w:line="240" w:lineRule="auto"/>
      <w:jc w:val="left"/>
    </w:pPr>
    <w:rPr>
      <w:rFonts w:ascii="宋体" w:hAnsi="宋体" w:cs="宋体"/>
      <w:kern w:val="0"/>
      <w:sz w:val="24"/>
    </w:rPr>
  </w:style>
  <w:style w:type="paragraph" w:styleId="17">
    <w:name w:val="Body Text First Indent"/>
    <w:basedOn w:val="2"/>
    <w:next w:val="1"/>
    <w:autoRedefine/>
    <w:qFormat/>
    <w:uiPriority w:val="0"/>
    <w:pPr>
      <w:spacing w:after="120"/>
      <w:ind w:firstLine="420"/>
      <w:jc w:val="both"/>
    </w:pPr>
    <w:rPr>
      <w:rFonts w:ascii="Times New Roman" w:hAnsi="Times New Roman"/>
      <w:kern w:val="1"/>
      <w:sz w:val="32"/>
    </w:rPr>
  </w:style>
  <w:style w:type="paragraph" w:styleId="18">
    <w:name w:val="Body Text First Indent 2"/>
    <w:basedOn w:val="7"/>
    <w:next w:val="1"/>
    <w:autoRedefine/>
    <w:qFormat/>
    <w:uiPriority w:val="0"/>
    <w:pPr>
      <w:spacing w:after="120"/>
      <w:ind w:left="420" w:firstLine="210"/>
      <w:jc w:val="both"/>
    </w:pPr>
    <w:rPr>
      <w:kern w:val="1"/>
      <w:sz w:val="32"/>
    </w:rPr>
  </w:style>
  <w:style w:type="paragraph" w:customStyle="1" w:styleId="21">
    <w:name w:val="BodyText1I"/>
    <w:basedOn w:val="22"/>
    <w:autoRedefine/>
    <w:qFormat/>
    <w:uiPriority w:val="0"/>
    <w:pPr>
      <w:ind w:firstLine="420" w:firstLineChars="100"/>
    </w:pPr>
    <w:rPr>
      <w:spacing w:val="8"/>
    </w:rPr>
  </w:style>
  <w:style w:type="paragraph" w:customStyle="1" w:styleId="22">
    <w:name w:val="BodyText"/>
    <w:basedOn w:val="1"/>
    <w:autoRedefine/>
    <w:qFormat/>
    <w:uiPriority w:val="0"/>
    <w:pPr>
      <w:spacing w:after="120"/>
      <w:textAlignment w:val="baseline"/>
    </w:pPr>
  </w:style>
  <w:style w:type="paragraph" w:customStyle="1" w:styleId="23">
    <w:name w:val="无间隔1"/>
    <w:basedOn w:val="1"/>
    <w:next w:val="24"/>
    <w:autoRedefine/>
    <w:qFormat/>
    <w:uiPriority w:val="1"/>
    <w:pPr>
      <w:spacing w:line="400" w:lineRule="exact"/>
    </w:pPr>
    <w:rPr>
      <w:sz w:val="24"/>
    </w:rPr>
  </w:style>
  <w:style w:type="paragraph" w:customStyle="1" w:styleId="24">
    <w:name w:val="TOC Heading1"/>
    <w:next w:val="1"/>
    <w:autoRedefine/>
    <w:qFormat/>
    <w:uiPriority w:val="0"/>
    <w:pPr>
      <w:wordWrap w:val="0"/>
    </w:pPr>
    <w:rPr>
      <w:rFonts w:ascii="Calibri" w:hAnsi="Calibri" w:eastAsia="宋体" w:cs="Times New Roman"/>
      <w:sz w:val="32"/>
      <w:szCs w:val="22"/>
      <w:lang w:val="en-US" w:eastAsia="zh-CN" w:bidi="ar-SA"/>
    </w:rPr>
  </w:style>
  <w:style w:type="paragraph" w:customStyle="1" w:styleId="25">
    <w:name w:val="Default"/>
    <w:next w:val="1"/>
    <w:autoRedefine/>
    <w:qFormat/>
    <w:uiPriority w:val="0"/>
    <w:pPr>
      <w:widowControl w:val="0"/>
      <w:ind w:left="360" w:hanging="360"/>
    </w:pPr>
    <w:rPr>
      <w:rFonts w:ascii="宋体..壮.." w:hAnsi="宋体..壮.." w:eastAsia="宋体" w:cs="Times New Roman"/>
      <w:color w:val="000000"/>
      <w:sz w:val="24"/>
      <w:szCs w:val="24"/>
      <w:lang w:val="en-US" w:eastAsia="zh-CN"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Paragraph"/>
    <w:basedOn w:val="1"/>
    <w:autoRedefine/>
    <w:unhideWhenUsed/>
    <w:qFormat/>
    <w:uiPriority w:val="1"/>
    <w:rPr>
      <w:rFonts w:hint="eastAsia"/>
      <w:sz w:val="24"/>
      <w:szCs w:val="24"/>
    </w:rPr>
  </w:style>
  <w:style w:type="paragraph" w:styleId="28">
    <w:name w:val="List Paragraph"/>
    <w:basedOn w:val="1"/>
    <w:autoRedefine/>
    <w:unhideWhenUsed/>
    <w:qFormat/>
    <w:uiPriority w:val="1"/>
    <w:pPr>
      <w:ind w:left="522" w:firstLine="420"/>
    </w:pPr>
    <w:rPr>
      <w:rFonts w:hint="eastAsia"/>
      <w:sz w:val="24"/>
      <w:szCs w:val="24"/>
    </w:rPr>
  </w:style>
  <w:style w:type="character" w:customStyle="1" w:styleId="29">
    <w:name w:val="标题 2 Char"/>
    <w:link w:val="4"/>
    <w:autoRedefine/>
    <w:qFormat/>
    <w:uiPriority w:val="0"/>
    <w:rPr>
      <w:rFonts w:ascii="黑体" w:hAnsi="Arial" w:eastAsia="华文楷体"/>
      <w:b/>
      <w:kern w:val="0"/>
      <w:sz w:val="32"/>
      <w:szCs w:val="20"/>
    </w:rPr>
  </w:style>
  <w:style w:type="character" w:customStyle="1" w:styleId="30">
    <w:name w:val="标题 1 Char"/>
    <w:link w:val="3"/>
    <w:autoRedefine/>
    <w:qFormat/>
    <w:uiPriority w:val="0"/>
    <w:rPr>
      <w:b/>
      <w:color w:val="auto"/>
      <w:sz w:val="36"/>
    </w:rPr>
  </w:style>
  <w:style w:type="paragraph" w:customStyle="1" w:styleId="31">
    <w:name w:val="No Spacing"/>
    <w:basedOn w:val="1"/>
    <w:autoRedefine/>
    <w:qFormat/>
    <w:uiPriority w:val="1"/>
    <w:pPr>
      <w:spacing w:after="0" w:line="400" w:lineRule="exact"/>
    </w:pPr>
    <w:rPr>
      <w:rFonts w:eastAsia="宋体"/>
      <w:sz w:val="24"/>
    </w:rPr>
  </w:style>
  <w:style w:type="character" w:customStyle="1" w:styleId="32">
    <w:name w:val="标题 3 Char"/>
    <w:link w:val="5"/>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20123</Words>
  <Characters>21909</Characters>
  <Lines>0</Lines>
  <Paragraphs>0</Paragraphs>
  <TotalTime>50</TotalTime>
  <ScaleCrop>false</ScaleCrop>
  <LinksUpToDate>false</LinksUpToDate>
  <CharactersWithSpaces>23228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2023-10-12T02:01:00Z</dcterms:created>
  <dc:creator>琳</dc:creator>
  <cp:lastModifiedBy>琳</cp:lastModifiedBy>
  <cp:lastPrinted>2024-01-11T10:26:00Z</cp:lastPrinted>
  <dcterms:modified xsi:type="dcterms:W3CDTF">2024-01-12T03:14:10Z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EE597E4AC07C405FBDB74ECDBA1A792E_11</vt:lpwstr>
  </property>
</Properties>
</file>