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highlight w:val="none"/>
          <w:shd w:val="clear" w:fill="auto"/>
        </w:rPr>
      </w:pPr>
      <w:r>
        <w:rPr>
          <w:rFonts w:ascii="宋体" w:hAnsi="宋体" w:eastAsia="宋体" w:cs="宋体"/>
          <w:b/>
          <w:color w:val="auto"/>
          <w:spacing w:val="36"/>
          <w:position w:val="0"/>
          <w:sz w:val="52"/>
          <w:highlight w:val="none"/>
          <w:shd w:val="clear" w:fill="auto"/>
        </w:rPr>
        <w:t>周口市公共资源交易中心</w:t>
      </w:r>
    </w:p>
    <w:p>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highlight w:val="none"/>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r>
        <w:rPr>
          <w:rFonts w:ascii="宋体" w:hAnsi="宋体" w:eastAsia="宋体" w:cs="宋体"/>
          <w:b/>
          <w:color w:val="auto"/>
          <w:spacing w:val="0"/>
          <w:position w:val="0"/>
          <w:sz w:val="52"/>
          <w:highlight w:val="none"/>
          <w:shd w:val="clear" w:fill="auto"/>
        </w:rPr>
        <w:t>竞争性磋商文件</w:t>
      </w:r>
    </w:p>
    <w:p>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highlight w:val="none"/>
          <w:shd w:val="clear" w:fill="auto"/>
        </w:rPr>
      </w:pPr>
    </w:p>
    <w:p>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highlight w:val="none"/>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highlight w:val="none"/>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p>
    <w:p>
      <w:pPr>
        <w:tabs>
          <w:tab w:val="left" w:pos="315"/>
          <w:tab w:val="left" w:pos="8820"/>
        </w:tabs>
        <w:spacing w:before="0" w:after="0" w:line="600" w:lineRule="auto"/>
        <w:ind w:left="1606" w:right="267" w:hanging="1606" w:hangingChars="500"/>
        <w:jc w:val="left"/>
        <w:rPr>
          <w:rFonts w:ascii="宋体" w:hAnsi="宋体" w:eastAsia="宋体" w:cs="宋体"/>
          <w:b/>
          <w:color w:val="auto"/>
          <w:spacing w:val="0"/>
          <w:position w:val="0"/>
          <w:sz w:val="32"/>
          <w:szCs w:val="32"/>
          <w:highlight w:val="none"/>
          <w:shd w:val="clear" w:fill="auto"/>
        </w:rPr>
      </w:pPr>
      <w:r>
        <w:rPr>
          <w:rFonts w:ascii="宋体" w:hAnsi="宋体" w:eastAsia="宋体" w:cs="宋体"/>
          <w:b/>
          <w:color w:val="auto"/>
          <w:spacing w:val="0"/>
          <w:position w:val="0"/>
          <w:sz w:val="32"/>
          <w:szCs w:val="32"/>
          <w:highlight w:val="none"/>
          <w:shd w:val="clear" w:fill="auto"/>
        </w:rPr>
        <w:t>项目名称:</w:t>
      </w:r>
      <w:r>
        <w:rPr>
          <w:rFonts w:hint="eastAsia" w:ascii="宋体" w:hAnsi="宋体" w:eastAsia="宋体" w:cs="宋体"/>
          <w:b/>
          <w:color w:val="auto"/>
          <w:spacing w:val="0"/>
          <w:position w:val="0"/>
          <w:sz w:val="32"/>
          <w:szCs w:val="32"/>
          <w:highlight w:val="none"/>
          <w:shd w:val="clear" w:fill="auto"/>
          <w:lang w:eastAsia="zh-CN"/>
        </w:rPr>
        <w:t>郸城县第二高级中学心理辅导中心项目</w:t>
      </w:r>
      <w:r>
        <w:rPr>
          <w:rFonts w:ascii="宋体" w:hAnsi="宋体" w:eastAsia="宋体" w:cs="宋体"/>
          <w:color w:val="auto"/>
          <w:spacing w:val="0"/>
          <w:position w:val="0"/>
          <w:sz w:val="32"/>
          <w:szCs w:val="32"/>
          <w:highlight w:val="none"/>
          <w:shd w:val="clear" w:fill="auto"/>
        </w:rPr>
        <w:t xml:space="preserve"> </w:t>
      </w:r>
      <w:r>
        <w:rPr>
          <w:rFonts w:hint="eastAsia" w:ascii="宋体" w:hAnsi="宋体" w:eastAsia="宋体" w:cs="宋体"/>
          <w:b/>
          <w:color w:val="auto"/>
          <w:spacing w:val="0"/>
          <w:position w:val="0"/>
          <w:sz w:val="32"/>
          <w:szCs w:val="32"/>
          <w:highlight w:val="none"/>
          <w:shd w:val="clear" w:fill="auto"/>
          <w:lang w:val="en-US" w:eastAsia="zh-CN"/>
        </w:rPr>
        <w:t xml:space="preserve"> </w:t>
      </w:r>
    </w:p>
    <w:p>
      <w:pPr>
        <w:tabs>
          <w:tab w:val="left" w:pos="315"/>
          <w:tab w:val="left" w:pos="8820"/>
        </w:tabs>
        <w:spacing w:before="0" w:after="0" w:line="600" w:lineRule="auto"/>
        <w:ind w:left="1606" w:right="267" w:hanging="1606" w:hangingChars="500"/>
        <w:jc w:val="left"/>
        <w:rPr>
          <w:rFonts w:hint="default" w:ascii="宋体" w:hAnsi="宋体" w:eastAsia="宋体" w:cs="宋体"/>
          <w:b/>
          <w:color w:val="auto"/>
          <w:spacing w:val="0"/>
          <w:position w:val="0"/>
          <w:sz w:val="32"/>
          <w:szCs w:val="32"/>
          <w:highlight w:val="none"/>
          <w:shd w:val="clear" w:fill="auto"/>
          <w:lang w:val="en-US" w:eastAsia="zh-CN"/>
        </w:rPr>
      </w:pPr>
      <w:r>
        <w:rPr>
          <w:rFonts w:hint="eastAsia" w:ascii="宋体" w:hAnsi="宋体" w:eastAsia="宋体" w:cs="宋体"/>
          <w:b/>
          <w:color w:val="auto"/>
          <w:spacing w:val="0"/>
          <w:position w:val="0"/>
          <w:sz w:val="32"/>
          <w:szCs w:val="32"/>
          <w:highlight w:val="none"/>
          <w:shd w:val="clear" w:fill="auto"/>
          <w:lang w:eastAsia="zh-CN"/>
        </w:rPr>
        <w:t>项目编号</w:t>
      </w:r>
      <w:r>
        <w:rPr>
          <w:rFonts w:hint="eastAsia" w:ascii="宋体" w:hAnsi="宋体" w:eastAsia="宋体" w:cs="宋体"/>
          <w:b/>
          <w:color w:val="auto"/>
          <w:spacing w:val="0"/>
          <w:position w:val="0"/>
          <w:sz w:val="32"/>
          <w:szCs w:val="32"/>
          <w:highlight w:val="none"/>
          <w:shd w:val="clear" w:fill="auto"/>
          <w:lang w:val="en-US" w:eastAsia="zh-CN"/>
        </w:rPr>
        <w:t xml:space="preserve">:2024-01-17 </w:t>
      </w:r>
    </w:p>
    <w:p>
      <w:pPr>
        <w:spacing w:before="0" w:after="120" w:line="240" w:lineRule="auto"/>
        <w:ind w:left="0" w:right="0" w:firstLine="0"/>
        <w:jc w:val="both"/>
        <w:rPr>
          <w:rFonts w:ascii="微软简标宋" w:hAnsi="微软简标宋" w:eastAsia="微软简标宋" w:cs="微软简标宋"/>
          <w:b/>
          <w:color w:val="auto"/>
          <w:spacing w:val="0"/>
          <w:position w:val="0"/>
          <w:sz w:val="52"/>
          <w:highlight w:val="none"/>
          <w:shd w:val="clear" w:fill="auto"/>
        </w:rPr>
      </w:pPr>
    </w:p>
    <w:p>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pPr>
        <w:tabs>
          <w:tab w:val="left" w:pos="315"/>
          <w:tab w:val="left" w:pos="8820"/>
        </w:tabs>
        <w:spacing w:before="0" w:after="0" w:line="600" w:lineRule="auto"/>
        <w:ind w:left="0" w:right="267" w:firstLine="0"/>
        <w:jc w:val="center"/>
        <w:rPr>
          <w:rFonts w:hint="eastAsia" w:ascii="宋体" w:hAnsi="宋体" w:eastAsia="宋体" w:cs="宋体"/>
          <w:b/>
          <w:color w:val="auto"/>
          <w:spacing w:val="0"/>
          <w:position w:val="0"/>
          <w:sz w:val="44"/>
          <w:highlight w:val="none"/>
          <w:shd w:val="clear" w:fill="auto"/>
          <w:lang w:val="en-US" w:eastAsia="zh-CN"/>
        </w:rPr>
      </w:pPr>
      <w:r>
        <w:rPr>
          <w:rFonts w:hint="eastAsia" w:ascii="宋体" w:hAnsi="宋体" w:eastAsia="宋体" w:cs="宋体"/>
          <w:b/>
          <w:color w:val="auto"/>
          <w:spacing w:val="0"/>
          <w:position w:val="0"/>
          <w:sz w:val="44"/>
          <w:highlight w:val="none"/>
          <w:shd w:val="clear" w:fill="auto"/>
          <w:lang w:val="en-US" w:eastAsia="zh-CN"/>
        </w:rPr>
        <w:t>2024年 1 月</w:t>
      </w: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560" w:lineRule="auto"/>
        <w:ind w:left="0" w:right="0" w:firstLine="0"/>
        <w:jc w:val="center"/>
        <w:rPr>
          <w:rFonts w:ascii="宋体" w:hAnsi="宋体" w:eastAsia="宋体" w:cs="宋体"/>
          <w:b/>
          <w:color w:val="auto"/>
          <w:spacing w:val="0"/>
          <w:position w:val="0"/>
          <w:sz w:val="32"/>
          <w:highlight w:val="none"/>
          <w:shd w:val="clear" w:fill="auto"/>
        </w:rPr>
      </w:pPr>
    </w:p>
    <w:p>
      <w:pPr>
        <w:spacing w:before="0" w:after="0" w:line="560" w:lineRule="auto"/>
        <w:ind w:left="0" w:right="0" w:firstLine="0"/>
        <w:jc w:val="center"/>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目     录</w:t>
      </w:r>
    </w:p>
    <w:p>
      <w:pPr>
        <w:spacing w:before="0" w:after="0" w:line="24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第一章  竞争性磋商邀请函 .........................3</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第二章  供应商须知 ...............................6</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第三章  采购需求.................................24</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第四章  响应性文件内容及格式.....................25</w:t>
      </w:r>
    </w:p>
    <w:p>
      <w:pPr>
        <w:spacing w:before="0" w:after="0" w:line="800" w:lineRule="auto"/>
        <w:ind w:left="0" w:right="0" w:firstLine="0"/>
        <w:jc w:val="both"/>
        <w:rPr>
          <w:rFonts w:hint="eastAsia" w:ascii="宋体" w:hAnsi="宋体" w:eastAsia="宋体" w:cs="宋体"/>
          <w:b/>
          <w:color w:val="auto"/>
          <w:spacing w:val="0"/>
          <w:position w:val="0"/>
          <w:sz w:val="32"/>
          <w:highlight w:val="none"/>
          <w:shd w:val="clear" w:fill="auto"/>
          <w:lang w:eastAsia="zh-CN"/>
        </w:rPr>
      </w:pPr>
      <w:r>
        <w:rPr>
          <w:rFonts w:ascii="宋体" w:hAnsi="宋体" w:eastAsia="宋体" w:cs="宋体"/>
          <w:b/>
          <w:color w:val="auto"/>
          <w:spacing w:val="0"/>
          <w:position w:val="0"/>
          <w:sz w:val="32"/>
          <w:highlight w:val="none"/>
          <w:shd w:val="clear" w:fill="auto"/>
        </w:rPr>
        <w:t>第五章  合同主要条款 合同签订指引、供应商履约验收指引4</w:t>
      </w:r>
      <w:r>
        <w:rPr>
          <w:rFonts w:hint="eastAsia" w:ascii="宋体" w:hAnsi="宋体" w:eastAsia="宋体" w:cs="宋体"/>
          <w:b/>
          <w:color w:val="auto"/>
          <w:spacing w:val="0"/>
          <w:position w:val="0"/>
          <w:sz w:val="32"/>
          <w:highlight w:val="none"/>
          <w:shd w:val="clear" w:fill="auto"/>
          <w:lang w:val="en-US" w:eastAsia="zh-CN"/>
        </w:rPr>
        <w:t>0</w:t>
      </w: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pPr>
        <w:spacing w:before="0" w:after="0" w:line="800" w:lineRule="auto"/>
        <w:ind w:left="0" w:right="0" w:firstLine="2249"/>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420"/>
        <w:jc w:val="left"/>
        <w:rPr>
          <w:rFonts w:ascii="仿宋_GB2312" w:hAnsi="仿宋_GB2312" w:eastAsia="仿宋_GB2312" w:cs="仿宋_GB2312"/>
          <w:b/>
          <w:color w:val="auto"/>
          <w:spacing w:val="0"/>
          <w:position w:val="0"/>
          <w:sz w:val="32"/>
          <w:highlight w:val="none"/>
          <w:shd w:val="clear" w:fill="auto"/>
        </w:rPr>
      </w:pPr>
      <w:r>
        <w:rPr>
          <w:rFonts w:ascii="仿宋_GB2312" w:hAnsi="仿宋_GB2312" w:eastAsia="仿宋_GB2312" w:cs="仿宋_GB2312"/>
          <w:b/>
          <w:color w:val="auto"/>
          <w:spacing w:val="0"/>
          <w:position w:val="0"/>
          <w:sz w:val="32"/>
          <w:highlight w:val="none"/>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32"/>
          <w:highlight w:val="none"/>
          <w:shd w:val="clear" w:fill="auto"/>
        </w:rPr>
        <w:sectPr>
          <w:footerReference r:id="rId3" w:type="default"/>
          <w:pgSz w:w="11906" w:h="16838"/>
          <w:cols w:space="720" w:num="1"/>
          <w:docGrid w:type="lines" w:linePitch="312" w:charSpace="0"/>
        </w:sectPr>
      </w:pPr>
    </w:p>
    <w:p>
      <w:pPr>
        <w:spacing w:before="0" w:after="0" w:line="240" w:lineRule="auto"/>
        <w:ind w:left="0" w:right="0" w:firstLine="0"/>
        <w:jc w:val="center"/>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第一章    竞争性磋商邀请函</w:t>
      </w:r>
    </w:p>
    <w:p>
      <w:pPr>
        <w:spacing w:before="0" w:after="0" w:line="24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项目概况</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hint="eastAsia" w:ascii="Times New Roman" w:hAnsi="Times New Roman" w:eastAsia="Times New Roman" w:cs="Times New Roman"/>
          <w:color w:val="auto"/>
          <w:spacing w:val="0"/>
          <w:position w:val="0"/>
          <w:sz w:val="24"/>
          <w:highlight w:val="none"/>
          <w:u w:val="single"/>
          <w:shd w:val="clear" w:fill="auto"/>
          <w:lang w:val="en-US" w:eastAsia="zh-CN"/>
        </w:rPr>
        <w:t xml:space="preserve">  郸城县第二高级中学心理辅导中心项目</w:t>
      </w:r>
      <w:r>
        <w:rPr>
          <w:rFonts w:ascii="Times New Roman" w:hAnsi="Times New Roman" w:eastAsia="Times New Roman" w:cs="Times New Roman"/>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项目的潜在供应商应在周口市公共资源交易中心网获取采购文件，并于</w:t>
      </w:r>
      <w:r>
        <w:rPr>
          <w:rFonts w:hint="eastAsia" w:asciiTheme="minorEastAsia" w:hAnsiTheme="minorEastAsia" w:eastAsiaTheme="minorEastAsia" w:cstheme="minorEastAsia"/>
          <w:color w:val="auto"/>
          <w:spacing w:val="0"/>
          <w:position w:val="0"/>
          <w:sz w:val="24"/>
          <w:highlight w:val="none"/>
          <w:u w:val="single"/>
          <w:shd w:val="clear" w:fill="auto"/>
          <w:lang w:val="en-US" w:eastAsia="zh-CN"/>
        </w:rPr>
        <w:t>202</w:t>
      </w:r>
      <w:r>
        <w:rPr>
          <w:rFonts w:hint="eastAsia" w:asciiTheme="minorEastAsia" w:hAnsiTheme="minorEastAsia" w:cstheme="minorEastAsia"/>
          <w:color w:val="auto"/>
          <w:spacing w:val="0"/>
          <w:position w:val="0"/>
          <w:sz w:val="24"/>
          <w:highlight w:val="none"/>
          <w:u w:val="single"/>
          <w:shd w:val="clear" w:fill="auto"/>
          <w:lang w:val="en-US" w:eastAsia="zh-CN"/>
        </w:rPr>
        <w:t>4</w:t>
      </w:r>
      <w:r>
        <w:rPr>
          <w:rFonts w:hint="eastAsia" w:asciiTheme="minorEastAsia" w:hAnsiTheme="minorEastAsia" w:eastAsiaTheme="minorEastAsia" w:cstheme="minorEastAsia"/>
          <w:color w:val="auto"/>
          <w:spacing w:val="0"/>
          <w:position w:val="0"/>
          <w:sz w:val="24"/>
          <w:highlight w:val="none"/>
          <w:u w:val="single"/>
          <w:shd w:val="clear" w:fill="auto"/>
        </w:rPr>
        <w:t>年</w:t>
      </w:r>
      <w:r>
        <w:rPr>
          <w:rFonts w:hint="eastAsia" w:asciiTheme="minorEastAsia" w:hAnsiTheme="minorEastAsia" w:cstheme="minorEastAsia"/>
          <w:color w:val="auto"/>
          <w:spacing w:val="0"/>
          <w:position w:val="0"/>
          <w:sz w:val="24"/>
          <w:highlight w:val="none"/>
          <w:u w:val="single"/>
          <w:shd w:val="clear" w:fill="auto"/>
          <w:lang w:val="en-US" w:eastAsia="zh-CN"/>
        </w:rPr>
        <w:t>1</w:t>
      </w:r>
      <w:r>
        <w:rPr>
          <w:rFonts w:hint="eastAsia" w:asciiTheme="minorEastAsia" w:hAnsiTheme="minorEastAsia" w:eastAsiaTheme="minorEastAsia" w:cstheme="minorEastAsia"/>
          <w:color w:val="auto"/>
          <w:spacing w:val="0"/>
          <w:position w:val="0"/>
          <w:sz w:val="24"/>
          <w:highlight w:val="none"/>
          <w:u w:val="single"/>
          <w:shd w:val="clear" w:fill="auto"/>
        </w:rPr>
        <w:t>月</w:t>
      </w:r>
      <w:r>
        <w:rPr>
          <w:rFonts w:hint="eastAsia" w:asciiTheme="minorEastAsia" w:hAnsiTheme="minorEastAsia" w:cstheme="minorEastAsia"/>
          <w:color w:val="auto"/>
          <w:spacing w:val="0"/>
          <w:position w:val="0"/>
          <w:sz w:val="24"/>
          <w:highlight w:val="none"/>
          <w:u w:val="single"/>
          <w:shd w:val="clear" w:fill="auto"/>
          <w:lang w:val="en-US" w:eastAsia="zh-CN"/>
        </w:rPr>
        <w:t xml:space="preserve"> 22</w:t>
      </w:r>
      <w:r>
        <w:rPr>
          <w:rFonts w:hint="eastAsia" w:asciiTheme="minorEastAsia" w:hAnsiTheme="minorEastAsia" w:eastAsiaTheme="minorEastAsia" w:cstheme="minorEastAsia"/>
          <w:color w:val="auto"/>
          <w:spacing w:val="0"/>
          <w:position w:val="0"/>
          <w:sz w:val="24"/>
          <w:highlight w:val="none"/>
          <w:u w:val="single"/>
          <w:shd w:val="clear" w:fill="auto"/>
        </w:rPr>
        <w:t>日</w:t>
      </w:r>
      <w:r>
        <w:rPr>
          <w:rFonts w:hint="eastAsia" w:asciiTheme="minorEastAsia" w:hAnsiTheme="minorEastAsia" w:cstheme="minorEastAsia"/>
          <w:color w:val="auto"/>
          <w:spacing w:val="0"/>
          <w:position w:val="0"/>
          <w:sz w:val="24"/>
          <w:highlight w:val="none"/>
          <w:u w:val="single"/>
          <w:shd w:val="clear" w:fill="auto"/>
          <w:lang w:val="en-US" w:eastAsia="zh-CN"/>
        </w:rPr>
        <w:t>10</w:t>
      </w:r>
      <w:r>
        <w:rPr>
          <w:rFonts w:hint="eastAsia" w:asciiTheme="minorEastAsia" w:hAnsiTheme="minorEastAsia" w:eastAsiaTheme="minorEastAsia" w:cstheme="minorEastAsia"/>
          <w:color w:val="auto"/>
          <w:spacing w:val="0"/>
          <w:position w:val="0"/>
          <w:sz w:val="24"/>
          <w:highlight w:val="none"/>
          <w:u w:val="single"/>
          <w:shd w:val="clear" w:fill="auto"/>
        </w:rPr>
        <w:t>点</w:t>
      </w:r>
      <w:r>
        <w:rPr>
          <w:rFonts w:hint="eastAsia" w:asciiTheme="minorEastAsia" w:hAnsiTheme="minorEastAsia" w:cstheme="minorEastAsia"/>
          <w:color w:val="auto"/>
          <w:spacing w:val="0"/>
          <w:position w:val="0"/>
          <w:sz w:val="24"/>
          <w:highlight w:val="none"/>
          <w:u w:val="single"/>
          <w:shd w:val="clear" w:fill="auto"/>
          <w:lang w:val="en-US" w:eastAsia="zh-CN"/>
        </w:rPr>
        <w:t>00</w:t>
      </w:r>
      <w:r>
        <w:rPr>
          <w:rFonts w:hint="eastAsia" w:asciiTheme="minorEastAsia" w:hAnsiTheme="minorEastAsia" w:eastAsiaTheme="minorEastAsia" w:cstheme="minorEastAsia"/>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（北京时间）前提交响应文件。</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一、项目基本情况</w:t>
      </w:r>
    </w:p>
    <w:p>
      <w:pPr>
        <w:spacing w:before="0" w:after="0" w:line="360" w:lineRule="auto"/>
        <w:ind w:left="0" w:right="0" w:firstLine="480"/>
        <w:jc w:val="both"/>
        <w:rPr>
          <w:rFonts w:hint="default" w:ascii="宋体" w:hAnsi="宋体" w:eastAsia="宋体" w:cs="宋体"/>
          <w:color w:val="auto"/>
          <w:spacing w:val="0"/>
          <w:position w:val="0"/>
          <w:sz w:val="24"/>
          <w:highlight w:val="none"/>
          <w:shd w:val="clear" w:fill="auto"/>
          <w:lang w:val="en-US"/>
        </w:rPr>
      </w:pPr>
      <w:r>
        <w:rPr>
          <w:rFonts w:ascii="宋体" w:hAnsi="宋体" w:eastAsia="宋体" w:cs="宋体"/>
          <w:color w:val="auto"/>
          <w:spacing w:val="0"/>
          <w:position w:val="0"/>
          <w:sz w:val="24"/>
          <w:highlight w:val="none"/>
          <w:shd w:val="clear" w:fill="auto"/>
        </w:rPr>
        <w:t>项目编号：</w:t>
      </w:r>
      <w:r>
        <w:rPr>
          <w:rFonts w:hint="eastAsia" w:ascii="宋体" w:hAnsi="宋体" w:eastAsia="宋体" w:cs="宋体"/>
          <w:color w:val="auto"/>
          <w:spacing w:val="0"/>
          <w:position w:val="0"/>
          <w:sz w:val="24"/>
          <w:highlight w:val="none"/>
          <w:shd w:val="clear" w:fill="auto"/>
          <w:lang w:val="en-US" w:eastAsia="zh-CN"/>
        </w:rPr>
        <w:t>2023-01-17</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项目名称：</w:t>
      </w:r>
      <w:r>
        <w:rPr>
          <w:rFonts w:hint="eastAsia" w:ascii="宋体" w:hAnsi="宋体" w:eastAsia="宋体" w:cs="宋体"/>
          <w:color w:val="auto"/>
          <w:spacing w:val="0"/>
          <w:position w:val="0"/>
          <w:sz w:val="24"/>
          <w:highlight w:val="none"/>
          <w:shd w:val="clear" w:fill="auto"/>
          <w:lang w:val="en-US" w:eastAsia="zh-CN"/>
        </w:rPr>
        <w:t>郸城县第二高级中学心理辅导中心项目</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采购方式：竞争性磋商</w:t>
      </w:r>
    </w:p>
    <w:p>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预算金额：</w:t>
      </w:r>
      <w:r>
        <w:rPr>
          <w:rFonts w:hint="eastAsia" w:ascii="宋体" w:hAnsi="宋体" w:eastAsia="宋体" w:cs="宋体"/>
          <w:color w:val="auto"/>
          <w:spacing w:val="0"/>
          <w:position w:val="0"/>
          <w:sz w:val="24"/>
          <w:highlight w:val="none"/>
          <w:shd w:val="clear" w:fill="auto"/>
          <w:lang w:val="en-US" w:eastAsia="zh-CN"/>
        </w:rPr>
        <w:t>46.74万元</w:t>
      </w:r>
    </w:p>
    <w:p>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最高限价：</w:t>
      </w:r>
      <w:r>
        <w:rPr>
          <w:rFonts w:hint="eastAsia" w:ascii="宋体" w:hAnsi="宋体" w:eastAsia="宋体" w:cs="宋体"/>
          <w:color w:val="auto"/>
          <w:spacing w:val="0"/>
          <w:position w:val="0"/>
          <w:sz w:val="24"/>
          <w:highlight w:val="none"/>
          <w:shd w:val="clear" w:fill="auto"/>
          <w:lang w:val="en-US" w:eastAsia="zh-CN"/>
        </w:rPr>
        <w:t>46.74万元</w:t>
      </w:r>
    </w:p>
    <w:p>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包划分：</w:t>
      </w: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个包</w:t>
      </w:r>
    </w:p>
    <w:tbl>
      <w:tblPr>
        <w:tblStyle w:val="15"/>
        <w:tblW w:w="8938" w:type="dxa"/>
        <w:tblInd w:w="0" w:type="dxa"/>
        <w:tblLayout w:type="autofit"/>
        <w:tblCellMar>
          <w:top w:w="0" w:type="dxa"/>
          <w:left w:w="10" w:type="dxa"/>
          <w:bottom w:w="0" w:type="dxa"/>
          <w:right w:w="10" w:type="dxa"/>
        </w:tblCellMar>
      </w:tblPr>
      <w:tblGrid>
        <w:gridCol w:w="1497"/>
        <w:gridCol w:w="5204"/>
        <w:gridCol w:w="2237"/>
      </w:tblGrid>
      <w:tr>
        <w:tblPrEx>
          <w:tblCellMar>
            <w:top w:w="0" w:type="dxa"/>
            <w:left w:w="10" w:type="dxa"/>
            <w:bottom w:w="0" w:type="dxa"/>
            <w:right w:w="10" w:type="dxa"/>
          </w:tblCellMar>
        </w:tblPrEx>
        <w:trPr>
          <w:trHeight w:val="451" w:hRule="atLeast"/>
        </w:trPr>
        <w:tc>
          <w:tcPr>
            <w:tcW w:w="149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包号</w:t>
            </w:r>
          </w:p>
        </w:tc>
        <w:tc>
          <w:tcPr>
            <w:tcW w:w="520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包名称</w:t>
            </w:r>
          </w:p>
        </w:tc>
        <w:tc>
          <w:tcPr>
            <w:tcW w:w="223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包最高限价</w:t>
            </w:r>
          </w:p>
          <w:p>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shd w:val="clear" w:fill="FFFFFF"/>
                <w:lang w:eastAsia="zh-CN"/>
              </w:rPr>
              <w:t>（</w:t>
            </w:r>
            <w:r>
              <w:rPr>
                <w:rFonts w:ascii="宋体" w:hAnsi="宋体" w:eastAsia="宋体" w:cs="宋体"/>
                <w:color w:val="auto"/>
                <w:spacing w:val="0"/>
                <w:position w:val="0"/>
                <w:sz w:val="24"/>
                <w:highlight w:val="none"/>
                <w:shd w:val="clear" w:fill="FFFFFF"/>
              </w:rPr>
              <w:t>万元</w:t>
            </w:r>
            <w:r>
              <w:rPr>
                <w:rFonts w:hint="eastAsia" w:ascii="宋体" w:hAnsi="宋体" w:eastAsia="宋体" w:cs="宋体"/>
                <w:color w:val="auto"/>
                <w:spacing w:val="0"/>
                <w:position w:val="0"/>
                <w:sz w:val="24"/>
                <w:highlight w:val="none"/>
                <w:shd w:val="clear" w:fill="FFFFFF"/>
                <w:lang w:eastAsia="zh-CN"/>
              </w:rPr>
              <w:t>）</w:t>
            </w:r>
          </w:p>
        </w:tc>
      </w:tr>
      <w:tr>
        <w:tblPrEx>
          <w:tblCellMar>
            <w:top w:w="0" w:type="dxa"/>
            <w:left w:w="10" w:type="dxa"/>
            <w:bottom w:w="0" w:type="dxa"/>
            <w:right w:w="10" w:type="dxa"/>
          </w:tblCellMar>
        </w:tblPrEx>
        <w:trPr>
          <w:trHeight w:val="1179" w:hRule="atLeast"/>
        </w:trPr>
        <w:tc>
          <w:tcPr>
            <w:tcW w:w="149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1</w:t>
            </w:r>
          </w:p>
        </w:tc>
        <w:tc>
          <w:tcPr>
            <w:tcW w:w="5204"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hint="default" w:ascii="宋体" w:hAnsi="宋体" w:eastAsia="宋体" w:cs="宋体"/>
                <w:color w:val="auto"/>
                <w:spacing w:val="0"/>
                <w:position w:val="0"/>
                <w:sz w:val="24"/>
                <w:highlight w:val="none"/>
                <w:shd w:val="clear" w:fill="FFFFFF"/>
                <w:lang w:val="en-US"/>
              </w:rPr>
            </w:pPr>
            <w:r>
              <w:rPr>
                <w:rFonts w:hint="eastAsia" w:ascii="宋体" w:hAnsi="宋体" w:eastAsia="宋体" w:cs="宋体"/>
                <w:color w:val="auto"/>
                <w:spacing w:val="0"/>
                <w:position w:val="0"/>
                <w:sz w:val="24"/>
                <w:highlight w:val="none"/>
                <w:shd w:val="clear" w:fill="FFFFFF"/>
                <w:lang w:val="en-US" w:eastAsia="zh-CN"/>
              </w:rPr>
              <w:t xml:space="preserve"> 郸城县第二高级中学心理辅导中心项目</w:t>
            </w:r>
          </w:p>
        </w:tc>
        <w:tc>
          <w:tcPr>
            <w:tcW w:w="223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pPr>
              <w:widowControl w:val="0"/>
              <w:spacing w:before="0" w:after="0" w:line="360" w:lineRule="auto"/>
              <w:ind w:left="0" w:right="0" w:firstLine="0"/>
              <w:jc w:val="center"/>
              <w:rPr>
                <w:rFonts w:hint="default" w:ascii="宋体" w:hAnsi="宋体" w:eastAsia="宋体" w:cs="宋体"/>
                <w:color w:val="auto"/>
                <w:spacing w:val="0"/>
                <w:position w:val="0"/>
                <w:sz w:val="24"/>
                <w:highlight w:val="none"/>
                <w:shd w:val="clear" w:fill="FFFFFF"/>
                <w:lang w:val="en-US" w:eastAsia="zh-CN"/>
              </w:rPr>
            </w:pPr>
            <w:r>
              <w:rPr>
                <w:rFonts w:hint="eastAsia" w:ascii="宋体" w:hAnsi="宋体" w:eastAsia="宋体" w:cs="宋体"/>
                <w:color w:val="auto"/>
                <w:spacing w:val="0"/>
                <w:position w:val="0"/>
                <w:sz w:val="24"/>
                <w:highlight w:val="none"/>
                <w:shd w:val="clear" w:fill="FFFFFF"/>
                <w:lang w:val="en-US" w:eastAsia="zh-CN"/>
              </w:rPr>
              <w:t>46.74</w:t>
            </w:r>
          </w:p>
        </w:tc>
      </w:tr>
    </w:tbl>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采购需求：</w:t>
      </w:r>
      <w:r>
        <w:rPr>
          <w:rFonts w:hint="eastAsia" w:ascii="宋体" w:hAnsi="宋体" w:eastAsia="宋体" w:cs="宋体"/>
          <w:color w:val="auto"/>
          <w:spacing w:val="0"/>
          <w:position w:val="0"/>
          <w:sz w:val="24"/>
          <w:highlight w:val="none"/>
          <w:shd w:val="clear" w:fill="auto"/>
          <w:lang w:val="en-US" w:eastAsia="zh-CN"/>
        </w:rPr>
        <w:t>心理咨询室硬件及配套</w:t>
      </w:r>
      <w:r>
        <w:rPr>
          <w:rFonts w:hint="eastAsia" w:ascii="宋体" w:hAnsi="宋体" w:eastAsia="宋体" w:cs="宋体"/>
          <w:color w:val="auto"/>
          <w:spacing w:val="0"/>
          <w:position w:val="0"/>
          <w:sz w:val="24"/>
          <w:highlight w:val="none"/>
          <w:shd w:val="clear" w:fill="auto"/>
        </w:rPr>
        <w:t>；</w:t>
      </w:r>
    </w:p>
    <w:p>
      <w:pPr>
        <w:spacing w:before="0" w:after="0" w:line="360" w:lineRule="auto"/>
        <w:ind w:left="0" w:right="0" w:firstLine="480"/>
        <w:jc w:val="both"/>
        <w:rPr>
          <w:rFonts w:hint="eastAsia" w:ascii="Times New Roman" w:hAnsi="Times New Roman" w:eastAsia="宋体" w:cs="Times New Roman"/>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供货期：合同签订后7日历天内交货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否</w:t>
      </w:r>
    </w:p>
    <w:p>
      <w:pPr>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本项目是否为只面向中小企业采购：</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pacing w:val="0"/>
          <w:position w:val="0"/>
          <w:sz w:val="24"/>
          <w:highlight w:val="none"/>
          <w:shd w:val="clear" w:fill="auto"/>
          <w:lang w:val="en-US" w:eastAsia="zh-CN"/>
        </w:rPr>
        <w:t>。</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二、申请人的资格要求：</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满足《中华人民共和国政府采购法》第二十二条规定；</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）具有独立承担民事责任的能力；</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）具有良好的商业信誉和健全的财务会计制度；</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）具有履行合同所必需的设备和专业技术能力；</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4</w:t>
      </w:r>
      <w:r>
        <w:rPr>
          <w:rFonts w:ascii="宋体" w:hAnsi="宋体" w:eastAsia="宋体" w:cs="宋体"/>
          <w:color w:val="auto"/>
          <w:spacing w:val="0"/>
          <w:position w:val="0"/>
          <w:sz w:val="24"/>
          <w:highlight w:val="none"/>
          <w:shd w:val="clear" w:fill="auto"/>
        </w:rPr>
        <w:t>）有依法缴纳税收和社会保障资金的良好记录；</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5</w:t>
      </w:r>
      <w:r>
        <w:rPr>
          <w:rFonts w:ascii="宋体" w:hAnsi="宋体" w:eastAsia="宋体" w:cs="宋体"/>
          <w:color w:val="auto"/>
          <w:spacing w:val="0"/>
          <w:position w:val="0"/>
          <w:sz w:val="24"/>
          <w:highlight w:val="none"/>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6</w:t>
      </w:r>
      <w:r>
        <w:rPr>
          <w:rFonts w:ascii="宋体" w:hAnsi="宋体" w:eastAsia="宋体" w:cs="宋体"/>
          <w:color w:val="auto"/>
          <w:spacing w:val="0"/>
          <w:position w:val="0"/>
          <w:sz w:val="24"/>
          <w:highlight w:val="none"/>
          <w:shd w:val="clear" w:fill="auto"/>
        </w:rPr>
        <w:t>）法律、行政法规规定的其他条件。</w:t>
      </w:r>
      <w:r>
        <w:rPr>
          <w:rFonts w:ascii="Times New Roman" w:hAnsi="Times New Roman" w:eastAsia="Times New Roman" w:cs="Times New Roman"/>
          <w:color w:val="auto"/>
          <w:spacing w:val="0"/>
          <w:position w:val="0"/>
          <w:sz w:val="24"/>
          <w:highlight w:val="none"/>
          <w:shd w:val="clear" w:fill="auto"/>
        </w:rPr>
        <w:t xml:space="preserve"> </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highlight w:val="none"/>
          <w:shd w:val="clear" w:fill="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rPr>
      </w:pP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本项目的特定资格要求：</w:t>
      </w:r>
      <w:r>
        <w:rPr>
          <w:rFonts w:hint="eastAsia" w:ascii="宋体" w:hAnsi="宋体" w:eastAsia="宋体" w:cs="宋体"/>
          <w:i w:val="0"/>
          <w:iCs w:val="0"/>
          <w:color w:val="auto"/>
          <w:sz w:val="24"/>
          <w:szCs w:val="24"/>
          <w:highlight w:val="none"/>
        </w:rPr>
        <w:t>（1）</w:t>
      </w:r>
      <w:r>
        <w:rPr>
          <w:rFonts w:hint="eastAsia" w:ascii="宋体" w:hAnsi="宋体" w:cs="宋体"/>
          <w:color w:val="auto"/>
          <w:sz w:val="24"/>
          <w:highlight w:val="none"/>
        </w:rPr>
        <w:t>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HYPERLINK "http://www.creditchina.gov.cn/"</w:instrText>
      </w:r>
      <w:r>
        <w:rPr>
          <w:color w:val="auto"/>
          <w:highlight w:val="none"/>
        </w:rPr>
        <w:fldChar w:fldCharType="separate"/>
      </w:r>
      <w:r>
        <w:rPr>
          <w:rFonts w:hint="eastAsia" w:ascii="宋体" w:hAnsi="宋体" w:cs="宋体"/>
          <w:color w:val="auto"/>
          <w:sz w:val="24"/>
          <w:highlight w:val="none"/>
        </w:rPr>
        <w:t>www.creditchina.gov.cn</w:t>
      </w:r>
      <w:r>
        <w:rPr>
          <w:rFonts w:ascii="宋体" w:hAnsi="宋体" w:cs="宋体"/>
          <w:color w:val="auto"/>
          <w:sz w:val="24"/>
          <w:highlight w:val="none"/>
        </w:rPr>
        <w:fldChar w:fldCharType="end"/>
      </w:r>
      <w:r>
        <w:rPr>
          <w:rFonts w:hint="eastAsia" w:ascii="宋体" w:hAnsi="宋体" w:cs="宋体"/>
          <w:color w:val="auto"/>
          <w:sz w:val="24"/>
          <w:highlight w:val="none"/>
        </w:rPr>
        <w:t>）的“重大税收违法失信主体”、“失信被执行人”和“中国政府采购”网站(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)的“政府采购严重违法失信行为记录名单”的供应商，将拒绝其参加政府采购活动；在标书中附加盖公章的供应商</w:t>
      </w:r>
      <w:r>
        <w:rPr>
          <w:rFonts w:hint="eastAsia" w:ascii="宋体" w:hAnsi="宋体" w:cs="宋体"/>
          <w:color w:val="auto"/>
          <w:sz w:val="24"/>
          <w:highlight w:val="none"/>
          <w:lang w:eastAsia="zh-CN"/>
        </w:rPr>
        <w:t>和企业法定代表人</w:t>
      </w:r>
      <w:r>
        <w:rPr>
          <w:rFonts w:hint="eastAsia" w:ascii="宋体" w:hAnsi="宋体" w:cs="宋体"/>
          <w:color w:val="auto"/>
          <w:sz w:val="24"/>
          <w:highlight w:val="none"/>
        </w:rPr>
        <w:t>网页查询扫描件，查询日期为公告发布之日起至投标截止之日止。</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三、获取采购文件</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时间</w:t>
      </w:r>
      <w:r>
        <w:rPr>
          <w:rFonts w:hint="eastAsia" w:asciiTheme="minorEastAsia" w:hAnsiTheme="minorEastAsia" w:eastAsiaTheme="minorEastAsia" w:cstheme="minorEastAsia"/>
          <w:color w:val="auto"/>
          <w:spacing w:val="0"/>
          <w:position w:val="0"/>
          <w:sz w:val="24"/>
          <w:highlight w:val="none"/>
          <w:shd w:val="clear" w:fill="auto"/>
        </w:rPr>
        <w:t>：</w:t>
      </w:r>
      <w:r>
        <w:rPr>
          <w:rFonts w:hint="eastAsia" w:asciiTheme="minorEastAsia" w:hAnsiTheme="minorEastAsia" w:eastAsiaTheme="minorEastAsia" w:cstheme="minorEastAsia"/>
          <w:color w:val="auto"/>
          <w:spacing w:val="0"/>
          <w:position w:val="0"/>
          <w:sz w:val="24"/>
          <w:highlight w:val="none"/>
          <w:u w:val="single"/>
          <w:shd w:val="clear" w:fill="auto"/>
          <w:lang w:val="en-US" w:eastAsia="zh-CN"/>
        </w:rPr>
        <w:t>202</w:t>
      </w:r>
      <w:r>
        <w:rPr>
          <w:rFonts w:hint="eastAsia" w:asciiTheme="minorEastAsia" w:hAnsiTheme="minorEastAsia" w:cstheme="minorEastAsia"/>
          <w:color w:val="auto"/>
          <w:spacing w:val="0"/>
          <w:position w:val="0"/>
          <w:sz w:val="24"/>
          <w:highlight w:val="none"/>
          <w:u w:val="single"/>
          <w:shd w:val="clear" w:fill="auto"/>
          <w:lang w:val="en-US" w:eastAsia="zh-CN"/>
        </w:rPr>
        <w:t>4</w:t>
      </w:r>
      <w:r>
        <w:rPr>
          <w:rFonts w:hint="eastAsia" w:asciiTheme="minorEastAsia" w:hAnsiTheme="minorEastAsia" w:eastAsiaTheme="minorEastAsia" w:cstheme="minorEastAsia"/>
          <w:color w:val="auto"/>
          <w:spacing w:val="0"/>
          <w:position w:val="0"/>
          <w:sz w:val="24"/>
          <w:highlight w:val="none"/>
          <w:u w:val="single"/>
          <w:shd w:val="clear" w:fill="auto"/>
        </w:rPr>
        <w:t>年</w:t>
      </w:r>
      <w:r>
        <w:rPr>
          <w:rFonts w:hint="eastAsia" w:asciiTheme="minorEastAsia" w:hAnsiTheme="minorEastAsia" w:cstheme="minorEastAsia"/>
          <w:color w:val="auto"/>
          <w:spacing w:val="0"/>
          <w:position w:val="0"/>
          <w:sz w:val="24"/>
          <w:highlight w:val="none"/>
          <w:u w:val="single"/>
          <w:shd w:val="clear" w:fill="auto"/>
          <w:lang w:val="en-US" w:eastAsia="zh-CN"/>
        </w:rPr>
        <w:t>1</w:t>
      </w:r>
      <w:r>
        <w:rPr>
          <w:rFonts w:hint="eastAsia" w:asciiTheme="minorEastAsia" w:hAnsiTheme="minorEastAsia" w:eastAsiaTheme="minorEastAsia" w:cstheme="minorEastAsia"/>
          <w:color w:val="auto"/>
          <w:spacing w:val="0"/>
          <w:position w:val="0"/>
          <w:sz w:val="24"/>
          <w:highlight w:val="none"/>
          <w:u w:val="single"/>
          <w:shd w:val="clear" w:fill="auto"/>
        </w:rPr>
        <w:t>月</w:t>
      </w:r>
      <w:r>
        <w:rPr>
          <w:rFonts w:hint="eastAsia" w:asciiTheme="minorEastAsia" w:hAnsiTheme="minorEastAsia" w:cstheme="minorEastAsia"/>
          <w:color w:val="auto"/>
          <w:spacing w:val="0"/>
          <w:position w:val="0"/>
          <w:sz w:val="24"/>
          <w:highlight w:val="none"/>
          <w:u w:val="single"/>
          <w:shd w:val="clear" w:fill="auto"/>
          <w:lang w:val="en-US" w:eastAsia="zh-CN"/>
        </w:rPr>
        <w:t>11</w:t>
      </w:r>
      <w:r>
        <w:rPr>
          <w:rFonts w:hint="eastAsia" w:asciiTheme="minorEastAsia" w:hAnsiTheme="minorEastAsia" w:eastAsiaTheme="minorEastAsia" w:cstheme="minorEastAsia"/>
          <w:color w:val="auto"/>
          <w:spacing w:val="0"/>
          <w:position w:val="0"/>
          <w:sz w:val="24"/>
          <w:highlight w:val="none"/>
          <w:u w:val="single"/>
          <w:shd w:val="clear" w:fill="auto"/>
        </w:rPr>
        <w:t>日</w:t>
      </w:r>
      <w:r>
        <w:rPr>
          <w:rFonts w:hint="eastAsia" w:asciiTheme="minorEastAsia" w:hAnsiTheme="minorEastAsia" w:eastAsiaTheme="minorEastAsia" w:cstheme="minorEastAsia"/>
          <w:color w:val="auto"/>
          <w:spacing w:val="0"/>
          <w:position w:val="0"/>
          <w:sz w:val="24"/>
          <w:highlight w:val="none"/>
          <w:shd w:val="clear" w:fill="auto"/>
        </w:rPr>
        <w:t>至</w:t>
      </w:r>
      <w:r>
        <w:rPr>
          <w:rFonts w:hint="eastAsia" w:asciiTheme="minorEastAsia" w:hAnsiTheme="minorEastAsia" w:eastAsiaTheme="minorEastAsia" w:cstheme="minorEastAsia"/>
          <w:color w:val="auto"/>
          <w:spacing w:val="0"/>
          <w:position w:val="0"/>
          <w:sz w:val="24"/>
          <w:highlight w:val="none"/>
          <w:u w:val="single"/>
          <w:shd w:val="clear" w:fill="auto"/>
          <w:lang w:val="en-US" w:eastAsia="zh-CN"/>
        </w:rPr>
        <w:t>202</w:t>
      </w:r>
      <w:r>
        <w:rPr>
          <w:rFonts w:hint="eastAsia" w:asciiTheme="minorEastAsia" w:hAnsiTheme="minorEastAsia" w:cstheme="minorEastAsia"/>
          <w:color w:val="auto"/>
          <w:spacing w:val="0"/>
          <w:position w:val="0"/>
          <w:sz w:val="24"/>
          <w:highlight w:val="none"/>
          <w:u w:val="single"/>
          <w:shd w:val="clear" w:fill="auto"/>
          <w:lang w:val="en-US" w:eastAsia="zh-CN"/>
        </w:rPr>
        <w:t>4</w:t>
      </w:r>
      <w:r>
        <w:rPr>
          <w:rFonts w:hint="eastAsia" w:asciiTheme="minorEastAsia" w:hAnsiTheme="minorEastAsia" w:eastAsiaTheme="minorEastAsia" w:cstheme="minorEastAsia"/>
          <w:color w:val="auto"/>
          <w:spacing w:val="0"/>
          <w:position w:val="0"/>
          <w:sz w:val="24"/>
          <w:highlight w:val="none"/>
          <w:u w:val="single"/>
          <w:shd w:val="clear" w:fill="auto"/>
        </w:rPr>
        <w:t>年</w:t>
      </w:r>
      <w:r>
        <w:rPr>
          <w:rFonts w:hint="eastAsia" w:asciiTheme="minorEastAsia" w:hAnsiTheme="minorEastAsia" w:cstheme="minorEastAsia"/>
          <w:color w:val="auto"/>
          <w:spacing w:val="0"/>
          <w:position w:val="0"/>
          <w:sz w:val="24"/>
          <w:highlight w:val="none"/>
          <w:u w:val="single"/>
          <w:shd w:val="clear" w:fill="auto"/>
          <w:lang w:val="en-US" w:eastAsia="zh-CN"/>
        </w:rPr>
        <w:t>1</w:t>
      </w:r>
      <w:r>
        <w:rPr>
          <w:rFonts w:hint="eastAsia" w:asciiTheme="minorEastAsia" w:hAnsiTheme="minorEastAsia" w:eastAsiaTheme="minorEastAsia" w:cstheme="minorEastAsia"/>
          <w:color w:val="auto"/>
          <w:spacing w:val="0"/>
          <w:position w:val="0"/>
          <w:sz w:val="24"/>
          <w:highlight w:val="none"/>
          <w:u w:val="single"/>
          <w:shd w:val="clear" w:fill="auto"/>
        </w:rPr>
        <w:t>月</w:t>
      </w:r>
      <w:r>
        <w:rPr>
          <w:rFonts w:hint="eastAsia" w:asciiTheme="minorEastAsia" w:hAnsiTheme="minorEastAsia" w:cstheme="minorEastAsia"/>
          <w:color w:val="auto"/>
          <w:spacing w:val="0"/>
          <w:position w:val="0"/>
          <w:sz w:val="24"/>
          <w:highlight w:val="none"/>
          <w:u w:val="single"/>
          <w:shd w:val="clear" w:fill="auto"/>
          <w:lang w:val="en-US" w:eastAsia="zh-CN"/>
        </w:rPr>
        <w:t>18</w:t>
      </w:r>
      <w:r>
        <w:rPr>
          <w:rFonts w:hint="eastAsia" w:asciiTheme="minorEastAsia" w:hAnsiTheme="minorEastAsia" w:eastAsiaTheme="minorEastAsia" w:cstheme="minorEastAsia"/>
          <w:color w:val="auto"/>
          <w:spacing w:val="0"/>
          <w:position w:val="0"/>
          <w:sz w:val="24"/>
          <w:highlight w:val="none"/>
          <w:u w:val="single"/>
          <w:shd w:val="clear" w:fill="auto"/>
        </w:rPr>
        <w:t>日</w:t>
      </w:r>
      <w:r>
        <w:rPr>
          <w:rFonts w:hint="eastAsia" w:asciiTheme="minorEastAsia" w:hAnsiTheme="minorEastAsia" w:eastAsiaTheme="minorEastAsia" w:cstheme="minorEastAsia"/>
          <w:color w:val="auto"/>
          <w:spacing w:val="0"/>
          <w:position w:val="0"/>
          <w:sz w:val="24"/>
          <w:highlight w:val="none"/>
          <w:shd w:val="clear" w:fill="auto"/>
        </w:rPr>
        <w:t>（北京时间，法定节假日除外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地点：周口市公共资源交易中心网（http://jyzx.zhoukou.gov.cn）</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方式：供应商请在网站自主注册后下载采购文件（zkzf格式）及资料，需办理CA数字证书后方可提交响应文件，具体办理事宜请查阅周口市公共资源交易中心网站。</w:t>
      </w:r>
    </w:p>
    <w:p>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售价：</w:t>
      </w:r>
      <w:r>
        <w:rPr>
          <w:rFonts w:ascii="Times New Roman" w:hAnsi="Times New Roman" w:eastAsia="Times New Roman" w:cs="Times New Roman"/>
          <w:color w:val="auto"/>
          <w:spacing w:val="0"/>
          <w:position w:val="0"/>
          <w:sz w:val="24"/>
          <w:highlight w:val="none"/>
          <w:shd w:val="clear" w:fill="auto"/>
        </w:rPr>
        <w:t>0</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四、响应文件提交</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截止时间：</w:t>
      </w:r>
      <w:r>
        <w:rPr>
          <w:rFonts w:hint="eastAsia" w:asciiTheme="minorEastAsia" w:hAnsiTheme="minorEastAsia" w:eastAsiaTheme="minorEastAsia" w:cstheme="minorEastAsia"/>
          <w:color w:val="auto"/>
          <w:spacing w:val="0"/>
          <w:position w:val="0"/>
          <w:sz w:val="24"/>
          <w:highlight w:val="none"/>
          <w:u w:val="single"/>
          <w:shd w:val="clear" w:fill="auto"/>
          <w:lang w:val="en-US" w:eastAsia="zh-CN"/>
        </w:rPr>
        <w:t>202</w:t>
      </w:r>
      <w:r>
        <w:rPr>
          <w:rFonts w:hint="eastAsia" w:asciiTheme="minorEastAsia" w:hAnsiTheme="minorEastAsia" w:cstheme="minorEastAsia"/>
          <w:color w:val="auto"/>
          <w:spacing w:val="0"/>
          <w:position w:val="0"/>
          <w:sz w:val="24"/>
          <w:highlight w:val="none"/>
          <w:u w:val="single"/>
          <w:shd w:val="clear" w:fill="auto"/>
          <w:lang w:val="en-US" w:eastAsia="zh-CN"/>
        </w:rPr>
        <w:t>4</w:t>
      </w:r>
      <w:r>
        <w:rPr>
          <w:rFonts w:hint="eastAsia" w:asciiTheme="minorEastAsia" w:hAnsiTheme="minorEastAsia" w:eastAsiaTheme="minorEastAsia" w:cstheme="minorEastAsia"/>
          <w:color w:val="auto"/>
          <w:spacing w:val="0"/>
          <w:position w:val="0"/>
          <w:sz w:val="24"/>
          <w:highlight w:val="none"/>
          <w:u w:val="single"/>
          <w:shd w:val="clear" w:fill="auto"/>
        </w:rPr>
        <w:t>年</w:t>
      </w:r>
      <w:r>
        <w:rPr>
          <w:rFonts w:hint="eastAsia" w:asciiTheme="minorEastAsia" w:hAnsiTheme="minorEastAsia" w:cstheme="minorEastAsia"/>
          <w:color w:val="auto"/>
          <w:spacing w:val="0"/>
          <w:position w:val="0"/>
          <w:sz w:val="24"/>
          <w:highlight w:val="none"/>
          <w:u w:val="single"/>
          <w:shd w:val="clear" w:fill="auto"/>
          <w:lang w:val="en-US" w:eastAsia="zh-CN"/>
        </w:rPr>
        <w:t>1</w:t>
      </w:r>
      <w:r>
        <w:rPr>
          <w:rFonts w:hint="eastAsia" w:asciiTheme="minorEastAsia" w:hAnsiTheme="minorEastAsia" w:eastAsiaTheme="minorEastAsia" w:cstheme="minorEastAsia"/>
          <w:color w:val="auto"/>
          <w:spacing w:val="0"/>
          <w:position w:val="0"/>
          <w:sz w:val="24"/>
          <w:highlight w:val="none"/>
          <w:u w:val="single"/>
          <w:shd w:val="clear" w:fill="auto"/>
        </w:rPr>
        <w:t>月</w:t>
      </w:r>
      <w:r>
        <w:rPr>
          <w:rFonts w:hint="eastAsia" w:asciiTheme="minorEastAsia" w:hAnsiTheme="minorEastAsia" w:cstheme="minorEastAsia"/>
          <w:color w:val="auto"/>
          <w:spacing w:val="0"/>
          <w:position w:val="0"/>
          <w:sz w:val="24"/>
          <w:highlight w:val="none"/>
          <w:u w:val="single"/>
          <w:shd w:val="clear" w:fill="auto"/>
          <w:lang w:val="en-US" w:eastAsia="zh-CN"/>
        </w:rPr>
        <w:t xml:space="preserve"> 22</w:t>
      </w:r>
      <w:r>
        <w:rPr>
          <w:rFonts w:hint="eastAsia" w:asciiTheme="minorEastAsia" w:hAnsiTheme="minorEastAsia" w:eastAsiaTheme="minorEastAsia" w:cstheme="minorEastAsia"/>
          <w:color w:val="auto"/>
          <w:spacing w:val="0"/>
          <w:position w:val="0"/>
          <w:sz w:val="24"/>
          <w:highlight w:val="none"/>
          <w:u w:val="single"/>
          <w:shd w:val="clear" w:fill="auto"/>
        </w:rPr>
        <w:t>日</w:t>
      </w:r>
      <w:r>
        <w:rPr>
          <w:rFonts w:hint="eastAsia" w:asciiTheme="minorEastAsia" w:hAnsiTheme="minorEastAsia" w:cstheme="minorEastAsia"/>
          <w:color w:val="auto"/>
          <w:spacing w:val="0"/>
          <w:position w:val="0"/>
          <w:sz w:val="24"/>
          <w:highlight w:val="none"/>
          <w:u w:val="single"/>
          <w:shd w:val="clear" w:fill="auto"/>
          <w:lang w:val="en-US" w:eastAsia="zh-CN"/>
        </w:rPr>
        <w:t>10</w:t>
      </w:r>
      <w:r>
        <w:rPr>
          <w:rFonts w:hint="eastAsia" w:asciiTheme="minorEastAsia" w:hAnsiTheme="minorEastAsia" w:eastAsiaTheme="minorEastAsia" w:cstheme="minorEastAsia"/>
          <w:color w:val="auto"/>
          <w:spacing w:val="0"/>
          <w:position w:val="0"/>
          <w:sz w:val="24"/>
          <w:highlight w:val="none"/>
          <w:u w:val="single"/>
          <w:shd w:val="clear" w:fill="auto"/>
        </w:rPr>
        <w:t>点</w:t>
      </w:r>
      <w:r>
        <w:rPr>
          <w:rFonts w:hint="eastAsia" w:asciiTheme="minorEastAsia" w:hAnsiTheme="minorEastAsia" w:cstheme="minorEastAsia"/>
          <w:color w:val="auto"/>
          <w:spacing w:val="0"/>
          <w:position w:val="0"/>
          <w:sz w:val="24"/>
          <w:highlight w:val="none"/>
          <w:u w:val="single"/>
          <w:shd w:val="clear" w:fill="auto"/>
          <w:lang w:val="en-US" w:eastAsia="zh-CN"/>
        </w:rPr>
        <w:t>00</w:t>
      </w:r>
      <w:r>
        <w:rPr>
          <w:rFonts w:hint="eastAsia" w:asciiTheme="minorEastAsia" w:hAnsiTheme="minorEastAsia" w:eastAsiaTheme="minorEastAsia" w:cstheme="minorEastAsia"/>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地点：加密电子响应文件须在投标截止时间前通过</w:t>
      </w:r>
      <w:r>
        <w:rPr>
          <w:rFonts w:ascii="宋体" w:hAnsi="宋体" w:eastAsia="宋体" w:cs="宋体"/>
          <w:color w:val="auto"/>
          <w:spacing w:val="-6"/>
          <w:position w:val="0"/>
          <w:sz w:val="24"/>
          <w:highlight w:val="none"/>
          <w:shd w:val="clear" w:fill="auto"/>
        </w:rPr>
        <w:t>周口市公共资源交易中心网</w:t>
      </w:r>
      <w:r>
        <w:rPr>
          <w:rFonts w:ascii="宋体" w:hAnsi="宋体" w:eastAsia="宋体" w:cs="宋体"/>
          <w:color w:val="auto"/>
          <w:spacing w:val="0"/>
          <w:position w:val="0"/>
          <w:sz w:val="24"/>
          <w:highlight w:val="none"/>
          <w:shd w:val="clear" w:fill="auto"/>
        </w:rPr>
        <w:t>（网址</w:t>
      </w:r>
      <w:r>
        <w:rPr>
          <w:color w:val="auto"/>
          <w:highlight w:val="none"/>
        </w:rPr>
        <w:fldChar w:fldCharType="begin"/>
      </w:r>
      <w:r>
        <w:rPr>
          <w:color w:val="auto"/>
          <w:highlight w:val="none"/>
        </w:rPr>
        <w:instrText xml:space="preserve"> HYPERLINK "http://jyzx.zhoukou.gov.cn/" \h </w:instrText>
      </w:r>
      <w:r>
        <w:rPr>
          <w:color w:val="auto"/>
          <w:highlight w:val="none"/>
        </w:rPr>
        <w:fldChar w:fldCharType="separate"/>
      </w:r>
      <w:r>
        <w:rPr>
          <w:rFonts w:ascii="Times New Roman" w:hAnsi="Times New Roman" w:eastAsia="Times New Roman" w:cs="Times New Roman"/>
          <w:color w:val="auto"/>
          <w:spacing w:val="0"/>
          <w:position w:val="0"/>
          <w:sz w:val="24"/>
          <w:highlight w:val="none"/>
          <w:u w:val="single"/>
          <w:shd w:val="clear" w:fill="auto"/>
        </w:rPr>
        <w:t>http://jyzx.zhoukou.gov.cn</w:t>
      </w:r>
      <w:r>
        <w:rPr>
          <w:rFonts w:ascii="Times New Roman" w:hAnsi="Times New Roman" w:eastAsia="Times New Roman" w:cs="Times New Roman"/>
          <w:color w:val="auto"/>
          <w:spacing w:val="0"/>
          <w:position w:val="0"/>
          <w:sz w:val="24"/>
          <w:highlight w:val="none"/>
          <w:u w:val="single"/>
          <w:shd w:val="clear" w:fill="auto"/>
        </w:rPr>
        <w:fldChar w:fldCharType="end"/>
      </w:r>
      <w:r>
        <w:rPr>
          <w:rFonts w:ascii="宋体" w:hAnsi="宋体" w:eastAsia="宋体" w:cs="宋体"/>
          <w:color w:val="auto"/>
          <w:spacing w:val="0"/>
          <w:position w:val="0"/>
          <w:sz w:val="24"/>
          <w:highlight w:val="none"/>
          <w:shd w:val="clear" w:fill="auto"/>
        </w:rPr>
        <w:t>）。</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五、开启（竞争性磋商方式必须填写）</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时间：</w:t>
      </w:r>
      <w:r>
        <w:rPr>
          <w:rFonts w:hint="eastAsia" w:asciiTheme="minorEastAsia" w:hAnsiTheme="minorEastAsia" w:eastAsiaTheme="minorEastAsia" w:cstheme="minorEastAsia"/>
          <w:color w:val="auto"/>
          <w:spacing w:val="0"/>
          <w:position w:val="0"/>
          <w:sz w:val="24"/>
          <w:highlight w:val="none"/>
          <w:u w:val="single"/>
          <w:shd w:val="clear" w:fill="auto"/>
          <w:lang w:val="en-US" w:eastAsia="zh-CN"/>
        </w:rPr>
        <w:t>202</w:t>
      </w:r>
      <w:r>
        <w:rPr>
          <w:rFonts w:hint="eastAsia" w:asciiTheme="minorEastAsia" w:hAnsiTheme="minorEastAsia" w:cstheme="minorEastAsia"/>
          <w:color w:val="auto"/>
          <w:spacing w:val="0"/>
          <w:position w:val="0"/>
          <w:sz w:val="24"/>
          <w:highlight w:val="none"/>
          <w:u w:val="single"/>
          <w:shd w:val="clear" w:fill="auto"/>
          <w:lang w:val="en-US" w:eastAsia="zh-CN"/>
        </w:rPr>
        <w:t>4</w:t>
      </w:r>
      <w:r>
        <w:rPr>
          <w:rFonts w:hint="eastAsia" w:asciiTheme="minorEastAsia" w:hAnsiTheme="minorEastAsia" w:eastAsiaTheme="minorEastAsia" w:cstheme="minorEastAsia"/>
          <w:color w:val="auto"/>
          <w:spacing w:val="0"/>
          <w:position w:val="0"/>
          <w:sz w:val="24"/>
          <w:highlight w:val="none"/>
          <w:u w:val="single"/>
          <w:shd w:val="clear" w:fill="auto"/>
        </w:rPr>
        <w:t>年</w:t>
      </w:r>
      <w:r>
        <w:rPr>
          <w:rFonts w:hint="eastAsia" w:asciiTheme="minorEastAsia" w:hAnsiTheme="minorEastAsia" w:cstheme="minorEastAsia"/>
          <w:color w:val="auto"/>
          <w:spacing w:val="0"/>
          <w:position w:val="0"/>
          <w:sz w:val="24"/>
          <w:highlight w:val="none"/>
          <w:u w:val="single"/>
          <w:shd w:val="clear" w:fill="auto"/>
          <w:lang w:val="en-US" w:eastAsia="zh-CN"/>
        </w:rPr>
        <w:t>1</w:t>
      </w:r>
      <w:r>
        <w:rPr>
          <w:rFonts w:hint="eastAsia" w:asciiTheme="minorEastAsia" w:hAnsiTheme="minorEastAsia" w:eastAsiaTheme="minorEastAsia" w:cstheme="minorEastAsia"/>
          <w:color w:val="auto"/>
          <w:spacing w:val="0"/>
          <w:position w:val="0"/>
          <w:sz w:val="24"/>
          <w:highlight w:val="none"/>
          <w:u w:val="single"/>
          <w:shd w:val="clear" w:fill="auto"/>
        </w:rPr>
        <w:t>月</w:t>
      </w:r>
      <w:r>
        <w:rPr>
          <w:rFonts w:hint="eastAsia" w:asciiTheme="minorEastAsia" w:hAnsiTheme="minorEastAsia" w:cstheme="minorEastAsia"/>
          <w:color w:val="auto"/>
          <w:spacing w:val="0"/>
          <w:position w:val="0"/>
          <w:sz w:val="24"/>
          <w:highlight w:val="none"/>
          <w:u w:val="single"/>
          <w:shd w:val="clear" w:fill="auto"/>
          <w:lang w:val="en-US" w:eastAsia="zh-CN"/>
        </w:rPr>
        <w:t xml:space="preserve"> 22</w:t>
      </w:r>
      <w:r>
        <w:rPr>
          <w:rFonts w:hint="eastAsia" w:asciiTheme="minorEastAsia" w:hAnsiTheme="minorEastAsia" w:eastAsiaTheme="minorEastAsia" w:cstheme="minorEastAsia"/>
          <w:color w:val="auto"/>
          <w:spacing w:val="0"/>
          <w:position w:val="0"/>
          <w:sz w:val="24"/>
          <w:highlight w:val="none"/>
          <w:u w:val="single"/>
          <w:shd w:val="clear" w:fill="auto"/>
        </w:rPr>
        <w:t>日</w:t>
      </w:r>
      <w:r>
        <w:rPr>
          <w:rFonts w:hint="eastAsia" w:asciiTheme="minorEastAsia" w:hAnsiTheme="minorEastAsia" w:cstheme="minorEastAsia"/>
          <w:color w:val="auto"/>
          <w:spacing w:val="0"/>
          <w:position w:val="0"/>
          <w:sz w:val="24"/>
          <w:highlight w:val="none"/>
          <w:u w:val="single"/>
          <w:shd w:val="clear" w:fill="auto"/>
          <w:lang w:val="en-US" w:eastAsia="zh-CN"/>
        </w:rPr>
        <w:t>10</w:t>
      </w:r>
      <w:r>
        <w:rPr>
          <w:rFonts w:hint="eastAsia" w:asciiTheme="minorEastAsia" w:hAnsiTheme="minorEastAsia" w:eastAsiaTheme="minorEastAsia" w:cstheme="minorEastAsia"/>
          <w:color w:val="auto"/>
          <w:spacing w:val="0"/>
          <w:position w:val="0"/>
          <w:sz w:val="24"/>
          <w:highlight w:val="none"/>
          <w:u w:val="single"/>
          <w:shd w:val="clear" w:fill="auto"/>
        </w:rPr>
        <w:t>点</w:t>
      </w:r>
      <w:r>
        <w:rPr>
          <w:rFonts w:hint="eastAsia" w:asciiTheme="minorEastAsia" w:hAnsiTheme="minorEastAsia" w:cstheme="minorEastAsia"/>
          <w:color w:val="auto"/>
          <w:spacing w:val="0"/>
          <w:position w:val="0"/>
          <w:sz w:val="24"/>
          <w:highlight w:val="none"/>
          <w:u w:val="single"/>
          <w:shd w:val="clear" w:fill="auto"/>
          <w:lang w:val="en-US" w:eastAsia="zh-CN"/>
        </w:rPr>
        <w:t>00</w:t>
      </w:r>
      <w:r>
        <w:rPr>
          <w:rFonts w:hint="eastAsia" w:asciiTheme="minorEastAsia" w:hAnsiTheme="minorEastAsia" w:eastAsiaTheme="minorEastAsia" w:cstheme="minorEastAsia"/>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w:t>
      </w:r>
    </w:p>
    <w:p>
      <w:pPr>
        <w:spacing w:before="0" w:after="0" w:line="360" w:lineRule="auto"/>
        <w:ind w:left="0" w:right="0" w:firstLine="480"/>
        <w:jc w:val="left"/>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地点：周口市公共资源交易中心开标室</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六、公告期限</w:t>
      </w:r>
    </w:p>
    <w:p>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自本公告发布之日起</w:t>
      </w:r>
      <w:r>
        <w:rPr>
          <w:rFonts w:hint="eastAsia" w:ascii="Times New Roman" w:hAnsi="Times New Roman" w:eastAsia="宋体" w:cs="Times New Roman"/>
          <w:color w:val="auto"/>
          <w:spacing w:val="0"/>
          <w:position w:val="0"/>
          <w:sz w:val="24"/>
          <w:highlight w:val="none"/>
          <w:shd w:val="clear" w:fill="auto"/>
          <w:lang w:val="en-US" w:eastAsia="zh-CN"/>
        </w:rPr>
        <w:t>5</w:t>
      </w:r>
      <w:r>
        <w:rPr>
          <w:rFonts w:ascii="宋体" w:hAnsi="宋体" w:eastAsia="宋体" w:cs="宋体"/>
          <w:color w:val="auto"/>
          <w:spacing w:val="0"/>
          <w:position w:val="0"/>
          <w:sz w:val="24"/>
          <w:highlight w:val="none"/>
          <w:shd w:val="clear" w:fill="auto"/>
        </w:rPr>
        <w:t>个工作日。</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七、其他补充事宜</w:t>
      </w:r>
    </w:p>
    <w:p>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八、凡对本次采购提出询问，请按以下方式联系。</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1.采购人信息</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w:t>
      </w:r>
      <w:r>
        <w:rPr>
          <w:rFonts w:hint="eastAsia" w:ascii="宋体" w:hAnsi="宋体" w:eastAsia="宋体" w:cs="宋体"/>
          <w:color w:val="auto"/>
          <w:spacing w:val="0"/>
          <w:position w:val="0"/>
          <w:sz w:val="24"/>
          <w:highlight w:val="none"/>
          <w:shd w:val="clear" w:fill="auto"/>
          <w:lang w:eastAsia="zh-CN"/>
        </w:rPr>
        <w:t>郸城县第二高级中学</w:t>
      </w:r>
      <w:r>
        <w:rPr>
          <w:rFonts w:ascii="宋体" w:hAnsi="宋体" w:eastAsia="宋体" w:cs="宋体"/>
          <w:color w:val="auto"/>
          <w:spacing w:val="0"/>
          <w:position w:val="0"/>
          <w:sz w:val="24"/>
          <w:highlight w:val="none"/>
          <w:shd w:val="clear" w:fill="auto"/>
        </w:rPr>
        <w:t>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w:t>
      </w:r>
      <w:r>
        <w:rPr>
          <w:rFonts w:hint="eastAsia" w:ascii="宋体" w:hAnsi="宋体" w:eastAsia="宋体" w:cs="宋体"/>
          <w:color w:val="auto"/>
          <w:spacing w:val="0"/>
          <w:position w:val="0"/>
          <w:sz w:val="24"/>
          <w:highlight w:val="none"/>
          <w:shd w:val="clear" w:fill="auto"/>
          <w:lang w:val="en-US" w:eastAsia="zh-CN"/>
        </w:rPr>
        <w:t xml:space="preserve"> 郸城县西环路北段</w:t>
      </w:r>
      <w:r>
        <w:rPr>
          <w:rFonts w:ascii="宋体" w:hAnsi="宋体" w:eastAsia="宋体" w:cs="宋体"/>
          <w:color w:val="auto"/>
          <w:spacing w:val="0"/>
          <w:position w:val="0"/>
          <w:sz w:val="24"/>
          <w:highlight w:val="none"/>
          <w:shd w:val="clear" w:fill="auto"/>
        </w:rPr>
        <w:t>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郭海舰</w:t>
      </w:r>
      <w:r>
        <w:rPr>
          <w:rFonts w:ascii="宋体" w:hAnsi="宋体" w:eastAsia="宋体" w:cs="宋体"/>
          <w:color w:val="auto"/>
          <w:spacing w:val="0"/>
          <w:position w:val="0"/>
          <w:sz w:val="24"/>
          <w:highlight w:val="none"/>
          <w:shd w:val="clear" w:fill="auto"/>
        </w:rPr>
        <w:t xml:space="preserve">     联系方式：</w:t>
      </w:r>
      <w:r>
        <w:rPr>
          <w:rFonts w:hint="eastAsia" w:ascii="宋体" w:hAnsi="宋体" w:eastAsia="宋体" w:cs="宋体"/>
          <w:color w:val="auto"/>
          <w:sz w:val="24"/>
          <w:szCs w:val="24"/>
          <w:highlight w:val="none"/>
        </w:rPr>
        <w:t>15994198000</w:t>
      </w:r>
      <w:r>
        <w:rPr>
          <w:rFonts w:ascii="宋体" w:hAnsi="宋体" w:eastAsia="宋体" w:cs="宋体"/>
          <w:color w:val="auto"/>
          <w:spacing w:val="0"/>
          <w:position w:val="0"/>
          <w:sz w:val="24"/>
          <w:highlight w:val="none"/>
          <w:shd w:val="clear" w:fill="auto"/>
        </w:rPr>
        <w:t xml:space="preserve">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2.采购代理机构信息</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称：周口市公共资源交易中心政府采购中心　　　　　　　　　　　　</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址：周口市光明路与政通路交叉口向北100米路东</w:t>
      </w:r>
    </w:p>
    <w:p>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闫浩宇</w:t>
      </w:r>
      <w:r>
        <w:rPr>
          <w:rFonts w:ascii="宋体" w:hAnsi="宋体" w:eastAsia="宋体" w:cs="宋体"/>
          <w:color w:val="auto"/>
          <w:spacing w:val="0"/>
          <w:position w:val="0"/>
          <w:sz w:val="24"/>
          <w:highlight w:val="none"/>
          <w:shd w:val="clear" w:fill="auto"/>
        </w:rPr>
        <w:t xml:space="preserve"> </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 xml:space="preserve">   联系方式：</w:t>
      </w:r>
      <w:r>
        <w:rPr>
          <w:rFonts w:hint="eastAsia" w:ascii="宋体" w:hAnsi="宋体" w:eastAsia="宋体" w:cs="宋体"/>
          <w:color w:val="auto"/>
          <w:spacing w:val="0"/>
          <w:position w:val="0"/>
          <w:sz w:val="24"/>
          <w:highlight w:val="none"/>
          <w:shd w:val="clear" w:fill="auto"/>
          <w:lang w:val="en-US" w:eastAsia="zh-CN"/>
        </w:rPr>
        <w:t>0394-8106517</w:t>
      </w:r>
      <w:r>
        <w:rPr>
          <w:rFonts w:ascii="宋体" w:hAnsi="宋体" w:eastAsia="宋体" w:cs="宋体"/>
          <w:color w:val="auto"/>
          <w:spacing w:val="0"/>
          <w:position w:val="0"/>
          <w:sz w:val="24"/>
          <w:highlight w:val="none"/>
          <w:shd w:val="clear" w:fill="auto"/>
        </w:rPr>
        <w:t>　　　　　　　</w:t>
      </w:r>
    </w:p>
    <w:p>
      <w:pPr>
        <w:pStyle w:val="22"/>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3.监督单位：郸城县政府采购办</w:t>
      </w:r>
    </w:p>
    <w:p>
      <w:pPr>
        <w:spacing w:before="0" w:after="0" w:line="240" w:lineRule="auto"/>
        <w:ind w:left="0" w:right="0" w:firstLine="720"/>
        <w:jc w:val="left"/>
        <w:rPr>
          <w:rFonts w:hint="default" w:ascii="Times New Roman" w:hAnsi="Times New Roman" w:eastAsia="Times New Roman" w:cs="Times New Roman"/>
          <w:color w:val="auto"/>
          <w:spacing w:val="0"/>
          <w:position w:val="0"/>
          <w:sz w:val="22"/>
          <w:highlight w:val="none"/>
          <w:shd w:val="clear" w:fill="auto"/>
          <w:lang w:val="en-US"/>
        </w:rPr>
      </w:pPr>
      <w:r>
        <w:rPr>
          <w:rFonts w:hint="eastAsia" w:ascii="宋体" w:hAnsi="宋体" w:eastAsia="宋体" w:cs="宋体"/>
          <w:i w:val="0"/>
          <w:iCs w:val="0"/>
          <w:color w:val="auto"/>
          <w:sz w:val="24"/>
          <w:szCs w:val="24"/>
          <w:highlight w:val="none"/>
          <w:lang w:val="en-US" w:eastAsia="zh-CN"/>
        </w:rPr>
        <w:t>联系方式：0394-3298829</w:t>
      </w:r>
      <w:r>
        <w:rPr>
          <w:rFonts w:hint="eastAsia" w:ascii="宋体" w:hAnsi="宋体" w:eastAsia="宋体" w:cs="宋体"/>
          <w:color w:val="auto"/>
          <w:spacing w:val="0"/>
          <w:position w:val="0"/>
          <w:sz w:val="24"/>
          <w:highlight w:val="none"/>
          <w:shd w:val="clear" w:fill="auto"/>
          <w:lang w:val="en-US" w:eastAsia="zh-CN"/>
        </w:rPr>
        <w:t xml:space="preserve"> </w:t>
      </w:r>
    </w:p>
    <w:p>
      <w:pPr>
        <w:spacing w:before="0" w:after="120" w:line="360" w:lineRule="auto"/>
        <w:ind w:left="0" w:right="0" w:firstLine="2040"/>
        <w:jc w:val="right"/>
        <w:rPr>
          <w:rFonts w:ascii="宋体" w:hAnsi="宋体" w:eastAsia="宋体" w:cs="宋体"/>
          <w:color w:val="auto"/>
          <w:spacing w:val="0"/>
          <w:position w:val="0"/>
          <w:sz w:val="24"/>
          <w:highlight w:val="none"/>
          <w:shd w:val="clear" w:fill="auto"/>
        </w:rPr>
      </w:pPr>
    </w:p>
    <w:p>
      <w:pPr>
        <w:spacing w:before="0" w:after="120" w:line="360" w:lineRule="auto"/>
        <w:ind w:left="0" w:right="0" w:firstLine="2040"/>
        <w:jc w:val="righ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周口市公共资源交易中心政府采购中心</w:t>
      </w:r>
    </w:p>
    <w:p>
      <w:pPr>
        <w:tabs>
          <w:tab w:val="left" w:pos="0"/>
          <w:tab w:val="left" w:pos="993"/>
          <w:tab w:val="left" w:pos="1134"/>
        </w:tabs>
        <w:spacing w:before="0" w:after="0" w:line="240" w:lineRule="auto"/>
        <w:ind w:left="0" w:right="0" w:firstLine="3600"/>
        <w:jc w:val="right"/>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2024</w:t>
      </w:r>
      <w:r>
        <w:rPr>
          <w:rFonts w:ascii="宋体" w:hAnsi="宋体" w:eastAsia="宋体" w:cs="宋体"/>
          <w:color w:val="auto"/>
          <w:spacing w:val="0"/>
          <w:position w:val="0"/>
          <w:sz w:val="24"/>
          <w:highlight w:val="none"/>
          <w:shd w:val="clear" w:fill="auto"/>
        </w:rPr>
        <w:t>年</w:t>
      </w: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月</w:t>
      </w:r>
      <w:r>
        <w:rPr>
          <w:rFonts w:hint="eastAsia" w:ascii="宋体" w:hAnsi="宋体" w:eastAsia="宋体" w:cs="宋体"/>
          <w:color w:val="auto"/>
          <w:spacing w:val="0"/>
          <w:position w:val="0"/>
          <w:sz w:val="24"/>
          <w:highlight w:val="none"/>
          <w:shd w:val="clear" w:fill="auto"/>
          <w:lang w:val="en-US" w:eastAsia="zh-CN"/>
        </w:rPr>
        <w:t>11</w:t>
      </w:r>
      <w:r>
        <w:rPr>
          <w:rFonts w:ascii="宋体" w:hAnsi="宋体" w:eastAsia="宋体" w:cs="宋体"/>
          <w:color w:val="auto"/>
          <w:spacing w:val="0"/>
          <w:position w:val="0"/>
          <w:sz w:val="24"/>
          <w:highlight w:val="none"/>
          <w:shd w:val="clear" w:fill="auto"/>
        </w:rPr>
        <w:t>日</w:t>
      </w: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bookmarkStart w:id="0" w:name="_GoBack"/>
      <w:bookmarkEnd w:id="0"/>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24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第二章    供应商须知</w:t>
      </w:r>
    </w:p>
    <w:tbl>
      <w:tblPr>
        <w:tblStyle w:val="15"/>
        <w:tblW w:w="0" w:type="auto"/>
        <w:tblInd w:w="108" w:type="dxa"/>
        <w:tblLayout w:type="autofit"/>
        <w:tblCellMar>
          <w:top w:w="0" w:type="dxa"/>
          <w:left w:w="10" w:type="dxa"/>
          <w:bottom w:w="0" w:type="dxa"/>
          <w:right w:w="10" w:type="dxa"/>
        </w:tblCellMar>
      </w:tblPr>
      <w:tblGrid>
        <w:gridCol w:w="856"/>
        <w:gridCol w:w="1673"/>
        <w:gridCol w:w="5885"/>
      </w:tblGrid>
      <w:tr>
        <w:tblPrEx>
          <w:tblCellMar>
            <w:top w:w="0" w:type="dxa"/>
            <w:left w:w="10" w:type="dxa"/>
            <w:bottom w:w="0" w:type="dxa"/>
            <w:right w:w="10" w:type="dxa"/>
          </w:tblCellMar>
        </w:tblPrEx>
        <w:trPr>
          <w:trHeight w:val="0"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供应商须知前附表</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内  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1）项目名称：</w:t>
            </w:r>
            <w:r>
              <w:rPr>
                <w:rFonts w:hint="eastAsia" w:ascii="宋体" w:hAnsi="宋体" w:eastAsia="宋体" w:cs="宋体"/>
                <w:color w:val="auto"/>
                <w:spacing w:val="0"/>
                <w:position w:val="0"/>
                <w:sz w:val="24"/>
                <w:highlight w:val="none"/>
                <w:shd w:val="clear" w:fill="FFFFFF"/>
                <w:lang w:val="en-US" w:eastAsia="zh-CN"/>
              </w:rPr>
              <w:t>郸城县第二高级中学心理辅导中心项目</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2）采购内容</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心理咨询室硬件及配套</w:t>
            </w:r>
            <w:r>
              <w:rPr>
                <w:rFonts w:hint="eastAsia" w:ascii="宋体" w:hAnsi="宋体" w:eastAsia="宋体" w:cs="宋体"/>
                <w:color w:val="auto"/>
                <w:spacing w:val="0"/>
                <w:position w:val="0"/>
                <w:sz w:val="24"/>
                <w:highlight w:val="none"/>
                <w:shd w:val="clear" w:fill="auto"/>
              </w:rPr>
              <w:t>；</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3）采购人：</w:t>
            </w:r>
            <w:r>
              <w:rPr>
                <w:rFonts w:hint="eastAsia" w:ascii="宋体" w:hAnsi="宋体" w:eastAsia="宋体" w:cs="宋体"/>
                <w:color w:val="auto"/>
                <w:spacing w:val="0"/>
                <w:position w:val="0"/>
                <w:sz w:val="24"/>
                <w:highlight w:val="none"/>
                <w:shd w:val="clear" w:fill="FFFFFF"/>
                <w:lang w:val="en-US" w:eastAsia="zh-CN"/>
              </w:rPr>
              <w:t>郸城县第二高级中学</w:t>
            </w:r>
          </w:p>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4）采购代理机构：周口市公共资源交易中心政府采购中心</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见竞争性磋商邀请函</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spacing w:before="0" w:after="0" w:line="240" w:lineRule="auto"/>
              <w:ind w:left="420" w:right="0" w:hanging="420"/>
              <w:jc w:val="both"/>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中文</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spacing w:before="0" w:after="0" w:line="240" w:lineRule="auto"/>
              <w:ind w:left="420" w:right="0" w:hanging="420"/>
              <w:jc w:val="both"/>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报价包括本项目所招标的货物、保险、税费、包装、加工及加工损耗、运输、现场验收等（采购项目技术规格、参数及要求）</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响应文件递交截止期后60日内有效</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加密的电子投标文件须在投标截止时间前成功上传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对竞争性磋商文件进行的澄清，以网上公告的方式通知供应商。澄清或修改的内容可能影响响应文件编制的，采购人、采购代理机构应当在提交响应文件截止时间至少5日前。</w:t>
            </w:r>
          </w:p>
          <w:p>
            <w:pPr>
              <w:spacing w:before="0" w:after="0" w:line="240" w:lineRule="auto"/>
              <w:ind w:left="0" w:right="0" w:firstLine="0"/>
              <w:jc w:val="both"/>
              <w:rPr>
                <w:rFonts w:ascii="宋体" w:hAnsi="宋体" w:eastAsia="宋体" w:cs="宋体"/>
                <w:color w:val="auto"/>
                <w:spacing w:val="0"/>
                <w:position w:val="0"/>
                <w:highlight w:val="none"/>
                <w:shd w:val="clear" w:fill="auto"/>
              </w:rPr>
            </w:pP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 xml:space="preserve">（见磋商公告） </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color w:val="auto"/>
                <w:sz w:val="24"/>
                <w:highlight w:val="none"/>
                <w:lang w:val="en-US" w:eastAsia="zh-CN"/>
              </w:rPr>
            </w:pPr>
            <w:r>
              <w:rPr>
                <w:rFonts w:hint="eastAsia" w:ascii="宋体" w:hAnsi="宋体"/>
                <w:color w:val="auto"/>
                <w:sz w:val="24"/>
                <w:highlight w:val="none"/>
              </w:rPr>
              <w:t>周口市公共资源交易中心</w:t>
            </w:r>
            <w:r>
              <w:rPr>
                <w:rFonts w:hint="eastAsia" w:ascii="宋体" w:hAnsi="宋体"/>
                <w:color w:val="auto"/>
                <w:sz w:val="24"/>
                <w:highlight w:val="none"/>
                <w:lang w:val="en-US" w:eastAsia="zh-CN"/>
              </w:rPr>
              <w:t>网</w:t>
            </w:r>
          </w:p>
          <w:p>
            <w:pPr>
              <w:rPr>
                <w:rFonts w:ascii="宋体" w:hAnsi="宋体" w:eastAsia="宋体" w:cs="宋体"/>
                <w:color w:val="auto"/>
                <w:spacing w:val="0"/>
                <w:position w:val="0"/>
                <w:highlight w:val="none"/>
                <w:shd w:val="clear" w:fill="auto"/>
              </w:rPr>
            </w:pPr>
            <w:r>
              <w:rPr>
                <w:rFonts w:hint="eastAsia" w:ascii="宋体" w:hAnsi="宋体"/>
                <w:color w:val="auto"/>
                <w:sz w:val="24"/>
                <w:highlight w:val="none"/>
              </w:rPr>
              <w:t>网址：周口市公共资源电子交易服务平台会员系统（网址</w:t>
            </w:r>
            <w:r>
              <w:rPr>
                <w:rFonts w:hint="eastAsia" w:asciiTheme="minorEastAsia" w:hAnsiTheme="minorEastAsia" w:eastAsiaTheme="minorEastAsia"/>
                <w:color w:val="auto"/>
                <w:highlight w:val="none"/>
              </w:rPr>
              <w:t>http://jyzx.zhoukou.gov.cn</w:t>
            </w:r>
            <w:r>
              <w:rPr>
                <w:rFonts w:hint="eastAsia" w:asciiTheme="minorEastAsia" w:hAnsiTheme="minorEastAsia" w:eastAsiaTheme="minorEastAsia"/>
                <w:color w:val="auto"/>
                <w:highlight w:val="none"/>
                <w:lang w:eastAsia="zh-CN"/>
              </w:rPr>
              <w:t>）</w:t>
            </w:r>
            <w:r>
              <w:rPr>
                <w:rFonts w:hint="eastAsia" w:ascii="宋体" w:hAnsi="宋体" w:eastAsia="宋体" w:cs="宋体"/>
                <w:color w:val="auto"/>
                <w:sz w:val="24"/>
                <w:szCs w:val="24"/>
                <w:highlight w:val="none"/>
              </w:rPr>
              <w:t>（本项目实行网上远程开标无须到现场提交响应文件）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见磋商公告</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详见磋商文件第二章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本项目不需要交纳投标保证金</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highlight w:val="none"/>
                <w:shd w:val="clear" w:fill="auto"/>
                <w:lang w:val="en-US" w:eastAsia="zh-CN"/>
              </w:rPr>
              <w:t>合同签订后7日历天内交货</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highlight w:val="none"/>
                <w:shd w:val="clear" w:fill="auto"/>
                <w:lang w:val="en-US" w:eastAsia="zh-CN"/>
              </w:rPr>
              <w:t>合同内容完成后，调试确保正常投入使用，经采购人验收合格后10日历天内一次性支付合同价款。</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both"/>
              <w:rPr>
                <w:rFonts w:hint="default"/>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pacing w:val="0"/>
                <w:position w:val="0"/>
                <w:sz w:val="24"/>
                <w:highlight w:val="none"/>
                <w:shd w:val="clear" w:fill="auto"/>
                <w:lang w:val="en-US" w:eastAsia="zh-CN"/>
              </w:rPr>
              <w:t>否</w:t>
            </w:r>
          </w:p>
        </w:tc>
      </w:tr>
      <w:tr>
        <w:tblPrEx>
          <w:tblCellMar>
            <w:top w:w="0" w:type="dxa"/>
            <w:left w:w="10" w:type="dxa"/>
            <w:bottom w:w="0" w:type="dxa"/>
            <w:right w:w="10" w:type="dxa"/>
          </w:tblCellMar>
        </w:tblPrEx>
        <w:trPr>
          <w:trHeight w:val="478"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spacing w:before="0" w:after="0" w:line="240" w:lineRule="auto"/>
              <w:ind w:left="420" w:right="0" w:hanging="420"/>
              <w:jc w:val="center"/>
              <w:rPr>
                <w:rFonts w:ascii="宋体" w:hAnsi="宋体" w:eastAsia="宋体" w:cs="宋体"/>
                <w:color w:val="auto"/>
                <w:spacing w:val="0"/>
                <w:position w:val="0"/>
                <w:sz w:val="22"/>
                <w:highlight w:val="none"/>
                <w:shd w:val="clear" w:fill="auto"/>
              </w:rPr>
            </w:pPr>
            <w:r>
              <w:rPr>
                <w:rFonts w:hint="eastAsia" w:ascii="宋体" w:hAnsi="宋体" w:eastAsia="宋体" w:cs="宋体"/>
                <w:color w:val="auto"/>
                <w:spacing w:val="0"/>
                <w:position w:val="0"/>
                <w:sz w:val="22"/>
                <w:highlight w:val="none"/>
                <w:shd w:val="clear" w:fill="auto"/>
                <w:lang w:val="en-US" w:eastAsia="zh-CN"/>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一次报价</w:t>
            </w:r>
          </w:p>
        </w:tc>
      </w:tr>
    </w:tbl>
    <w:p>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一、总则</w:t>
      </w:r>
    </w:p>
    <w:p>
      <w:pPr>
        <w:spacing w:before="0" w:after="0" w:line="560" w:lineRule="auto"/>
        <w:ind w:left="0" w:right="0" w:firstLine="482"/>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1．适用范围</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1.1本竞争性磋商文件仅适用于本次竞争性磋商邀请函中所述项目。</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2．定义</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2.1“采购代理机构”：周口市公共资源交易中心政府采购中心。</w:t>
      </w:r>
    </w:p>
    <w:p>
      <w:pPr>
        <w:tabs>
          <w:tab w:val="left" w:pos="0"/>
        </w:tabs>
        <w:spacing w:before="0" w:after="0" w:line="5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2.2“采购人”：</w:t>
      </w:r>
      <w:r>
        <w:rPr>
          <w:rFonts w:hint="eastAsia" w:ascii="宋体" w:hAnsi="宋体" w:eastAsia="宋体" w:cs="宋体"/>
          <w:color w:val="auto"/>
          <w:spacing w:val="0"/>
          <w:position w:val="0"/>
          <w:sz w:val="24"/>
          <w:highlight w:val="none"/>
          <w:shd w:val="clear" w:fill="auto"/>
          <w:lang w:val="en-US" w:eastAsia="zh-CN"/>
        </w:rPr>
        <w:t xml:space="preserve"> 郸城县第二高级中学</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2.3“供应商”系指按竞争性磋商文件规定取得竞争性磋商文件并参加竞争性磋商活动的法人、其他组织或者自然人。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2.4“供应商代表”：系指代表供应商参加本次竞争性磋商活动的供应商的法定代表人或其委托代理人。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2.5“货物“：系指各种形态和种类的物品，包括原材料、燃料、设备、产品等，包括与之相关的备品备件、工具、手册及安装、调试、技术协助、校准、培训、验收、售后服务等。</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2.7“重大违法记录”系指供应商因违法经营受到刑事处罚或者责令停产停业、吊销许可证或者执照、较大数额罚款等行政处罚。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2.8“不具备良好的商业信誉”是指：</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（1）有重大违法记录的（满三年的除外）；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（2）被各级财政部门列入政府采购严重违法失信行为信息记录的（期限已满的除外）；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（3）被各级政府采购监督管理部门禁止在一定期限内参加政府采购活动等处罚的（期限已满的除外）；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（4）被各级法院列入失信名单的（已依法解除的除外）；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（5）法律法规规定的其他情形。</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3.采购预算</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3.1本次采购预算：见公告。</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4.合格的供应商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4.1.1符合供应商资格条件（详见第一部分供应商资格条件）</w:t>
      </w:r>
    </w:p>
    <w:p>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4.1.2</w:t>
      </w:r>
      <w:r>
        <w:rPr>
          <w:rFonts w:ascii="宋体" w:hAnsi="宋体" w:eastAsia="宋体" w:cs="宋体"/>
          <w:color w:val="auto"/>
          <w:spacing w:val="0"/>
          <w:position w:val="0"/>
          <w:sz w:val="24"/>
          <w:highlight w:val="none"/>
          <w:shd w:val="clear" w:fill="auto"/>
        </w:rPr>
        <w:t>参加政府采购活动前三年内，在经营活动中没有重大违法记录的声明函</w:t>
      </w:r>
      <w:r>
        <w:rPr>
          <w:rFonts w:ascii="宋体" w:hAnsi="宋体" w:eastAsia="宋体" w:cs="宋体"/>
          <w:color w:val="auto"/>
          <w:spacing w:val="0"/>
          <w:position w:val="0"/>
          <w:sz w:val="24"/>
          <w:highlight w:val="none"/>
          <w:shd w:val="clear" w:fill="FFFFFF"/>
        </w:rPr>
        <w:t>；</w:t>
      </w:r>
    </w:p>
    <w:p>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4.1.3 政府采购供应商诚信承诺书；</w:t>
      </w:r>
    </w:p>
    <w:p>
      <w:pPr>
        <w:spacing w:before="0" w:after="12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4.1.4 供应商自觉抵制政府采购领域商业贿赂行为承诺书；</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4.2 供应商需提供售后服务体系与承诺。</w:t>
      </w:r>
    </w:p>
    <w:p>
      <w:pPr>
        <w:spacing w:before="0" w:after="120" w:line="360" w:lineRule="auto"/>
        <w:ind w:left="0" w:right="0" w:firstLine="480"/>
        <w:jc w:val="left"/>
        <w:rPr>
          <w:rFonts w:ascii="宋体" w:hAnsi="宋体" w:eastAsia="宋体" w:cs="宋体"/>
          <w:color w:val="auto"/>
          <w:spacing w:val="15"/>
          <w:position w:val="0"/>
          <w:sz w:val="24"/>
          <w:highlight w:val="none"/>
          <w:shd w:val="clear" w:fill="auto"/>
        </w:rPr>
      </w:pPr>
      <w:r>
        <w:rPr>
          <w:rFonts w:ascii="宋体" w:hAnsi="宋体" w:eastAsia="宋体" w:cs="宋体"/>
          <w:color w:val="auto"/>
          <w:spacing w:val="0"/>
          <w:position w:val="0"/>
          <w:sz w:val="24"/>
          <w:highlight w:val="none"/>
          <w:shd w:val="clear" w:fill="auto"/>
        </w:rPr>
        <w:t>4.3符合本竞争性磋商文件规定的供应商资格要求及项目要求的其它条件，并按照要求提供相关证明材料。</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4.4供应商应遵守国家法律、法规有关竞争性磋商的规定。</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4.5 凡通过磋商小组符合性审查的供应商均为合格供应商。未通过符合性审查的供应商将视为不响应本项目的竞争性磋商文件被否决。</w:t>
      </w:r>
    </w:p>
    <w:p>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 xml:space="preserve">   4.6 </w:t>
      </w:r>
      <w:r>
        <w:rPr>
          <w:rFonts w:ascii="宋体" w:hAnsi="宋体" w:eastAsia="宋体" w:cs="宋体"/>
          <w:color w:val="auto"/>
          <w:spacing w:val="0"/>
          <w:position w:val="0"/>
          <w:sz w:val="24"/>
          <w:highlight w:val="none"/>
          <w:shd w:val="clear"/>
        </w:rPr>
        <w:t>（是否要求现场进行实地勘查）</w:t>
      </w:r>
      <w:r>
        <w:rPr>
          <w:rFonts w:hint="eastAsia" w:ascii="宋体" w:hAnsi="宋体" w:eastAsia="宋体" w:cs="宋体"/>
          <w:color w:val="auto"/>
          <w:spacing w:val="0"/>
          <w:position w:val="0"/>
          <w:sz w:val="24"/>
          <w:highlight w:val="none"/>
          <w:shd w:val="clear"/>
          <w:lang w:val="en-US" w:eastAsia="zh-CN"/>
        </w:rPr>
        <w:t>否</w:t>
      </w:r>
    </w:p>
    <w:p>
      <w:pPr>
        <w:spacing w:before="0" w:after="0" w:line="5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注：单位负责人为同一人或者存在直接控股、管理关系的不同供应商，不得参加同一合同项下的政府采购活动。</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需提供国家企业信息查询截图，加盖投标人公章</w:t>
      </w:r>
      <w:r>
        <w:rPr>
          <w:rFonts w:hint="eastAsia" w:ascii="宋体" w:hAnsi="宋体" w:eastAsia="宋体" w:cs="宋体"/>
          <w:color w:val="auto"/>
          <w:spacing w:val="0"/>
          <w:position w:val="0"/>
          <w:sz w:val="24"/>
          <w:highlight w:val="none"/>
          <w:shd w:val="clear" w:fill="auto"/>
          <w:lang w:eastAsia="zh-CN"/>
        </w:rPr>
        <w:t>）</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5.竞争性磋商文件的约束力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5.l供应商一旦参加竞争性磋商，即被认为接受了本竞争性磋商文件中的所有条款和规定。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5.3本磋商文件由采购人负责解释。</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二、竞争性磋商文件</w:t>
      </w:r>
    </w:p>
    <w:p>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6．竞争性磋商文件的组成</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6.1竞争性磋商文件是用以阐明的采购需求、采购程序和合同格式等的规范性文件。竞争性磋商文件主要由以下部分组成：</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（1）竞争性磋商邀请函；</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（2）供应商须知；</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（3）采购需求；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（4）响应性文件内容及格式；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（5）合同主要条款。</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6.3供应商被视为充分熟悉本采购项目所在地的与履行合同有关的各种情况，包括自然环境、气候条件、劳动力及公用设施等，本竞争性磋商文件不再对上述情况进行描述。</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6.4供应商必须详阅竞争性磋商文件的所有条款、文件及表格格式等。供应商若未按竞争性磋商文件的要求和规范编制、提交响应性文件，将有可能导致响应性文件被拒绝接受或被视为无效。</w:t>
      </w:r>
    </w:p>
    <w:p>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7.竞争性磋商文件的澄清与修改</w:t>
      </w:r>
    </w:p>
    <w:p>
      <w:pPr>
        <w:pStyle w:val="25"/>
        <w:numPr>
          <w:ilvl w:val="0"/>
          <w:numId w:val="0"/>
        </w:numPr>
        <w:tabs>
          <w:tab w:val="left" w:pos="819"/>
        </w:tabs>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宋体" w:hAnsi="宋体" w:eastAsia="宋体" w:cs="宋体"/>
          <w:color w:val="auto"/>
          <w:spacing w:val="0"/>
          <w:position w:val="0"/>
          <w:sz w:val="24"/>
          <w:highlight w:val="none"/>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r>
        <w:rPr>
          <w:rFonts w:hint="eastAsia" w:asciiTheme="minorEastAsia" w:hAnsiTheme="minorEastAsia" w:eastAsiaTheme="minorEastAsia"/>
          <w:color w:val="auto"/>
          <w:sz w:val="24"/>
          <w:highlight w:val="none"/>
        </w:rPr>
        <w:t>如果对采购文件无异议，出具采购文件无异议确认书，</w:t>
      </w:r>
      <w:r>
        <w:rPr>
          <w:rFonts w:hint="eastAsia" w:asciiTheme="minorEastAsia" w:hAnsiTheme="minorEastAsia" w:eastAsiaTheme="minorEastAsia"/>
          <w:color w:val="auto"/>
          <w:sz w:val="24"/>
          <w:highlight w:val="none"/>
          <w:lang w:eastAsia="zh-CN"/>
        </w:rPr>
        <w:t>附到响应文件内</w:t>
      </w:r>
      <w:r>
        <w:rPr>
          <w:rFonts w:hint="eastAsia" w:asciiTheme="minorEastAsia" w:hAnsiTheme="minorEastAsia" w:eastAsiaTheme="minorEastAsia"/>
          <w:color w:val="auto"/>
          <w:sz w:val="24"/>
          <w:highlight w:val="none"/>
        </w:rPr>
        <w:t>。</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三、响应性文件的编制</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8.要求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8.2任何对竞争性磋商文件的忽略或误解不能作为响应性文件没有完全响应竞争性磋商文件的有效理由。</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8.3供应商没有按照竞争性磋商文件要求提供全部资料，或者供应商没有对竞争性磋商文件在各方面都作出实质性响应是供应商的风险，并可能导致其响应性文件被拒绝。</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8.3</w:t>
      </w:r>
      <w:r>
        <w:rPr>
          <w:rFonts w:hint="eastAsia" w:ascii="宋体" w:hAnsi="宋体" w:cs="宋体"/>
          <w:color w:val="auto"/>
          <w:sz w:val="24"/>
          <w:highlight w:val="none"/>
        </w:rPr>
        <w:t>参与竞争性磋商活动的各供应商应对竞争性磋商文件和竞争性磋商响应文件中的商业和技术等秘密保密，违者应对由此造成的后果承担法律责任。对上述作出书面承诺并附在响应文件中，否则视为不响应竞争性磋商文件的要求。</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9.响应性文件的语言及度量衡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9.1响应性文件以及供应商与采购代理机构之间的所有书面往来都应用简体中文书写。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9.2供应商使用其他语言的，以中文翻译为准。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9.3关于计量单位，竞争性磋商文件已有明确规定的，使用竞争性磋商文件规定的计量单位；竞争性磋商文件没有规定的，应采用中华人民共和国法定计量单位。</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9.4本竞争性磋商文件所表述的时间均为北京时间。</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10.响应性文件的组成</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10.1响应性文件由</w:t>
      </w:r>
      <w:r>
        <w:rPr>
          <w:rFonts w:ascii="宋体" w:hAnsi="宋体" w:eastAsia="宋体" w:cs="宋体"/>
          <w:color w:val="auto"/>
          <w:spacing w:val="0"/>
          <w:position w:val="0"/>
          <w:sz w:val="24"/>
          <w:highlight w:val="none"/>
          <w:u w:val="single"/>
          <w:shd w:val="clear" w:fill="auto"/>
        </w:rPr>
        <w:t>资格性证明材料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符合性证明材料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其他材料</w:t>
      </w:r>
      <w:r>
        <w:rPr>
          <w:rFonts w:ascii="宋体" w:hAnsi="宋体" w:eastAsia="宋体" w:cs="宋体"/>
          <w:color w:val="auto"/>
          <w:spacing w:val="0"/>
          <w:position w:val="0"/>
          <w:sz w:val="24"/>
          <w:highlight w:val="none"/>
          <w:shd w:val="clear" w:fill="auto"/>
        </w:rPr>
        <w:t>三部分组成。具体内容和格式见竞争性磋商文件第四章。</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11.响应性文件格式</w:t>
      </w:r>
    </w:p>
    <w:p>
      <w:pPr>
        <w:widowControl/>
        <w:spacing w:line="560" w:lineRule="exact"/>
        <w:ind w:firstLine="480" w:firstLineChars="200"/>
        <w:rPr>
          <w:rFonts w:hint="default" w:ascii="宋体" w:hAnsi="宋体" w:cs="宋体" w:eastAsiaTheme="minorEastAsia"/>
          <w:color w:val="auto"/>
          <w:sz w:val="24"/>
          <w:highlight w:val="none"/>
          <w:lang w:val="en-US" w:eastAsia="zh-CN"/>
        </w:rPr>
      </w:pPr>
      <w:r>
        <w:rPr>
          <w:rFonts w:ascii="宋体" w:hAnsi="宋体" w:eastAsia="宋体" w:cs="宋体"/>
          <w:color w:val="auto"/>
          <w:spacing w:val="0"/>
          <w:position w:val="0"/>
          <w:sz w:val="24"/>
          <w:highlight w:val="none"/>
          <w:shd w:val="clear" w:fill="auto"/>
        </w:rPr>
        <w:t>11.1</w:t>
      </w:r>
      <w:r>
        <w:rPr>
          <w:rFonts w:hint="eastAsia" w:ascii="宋体" w:hAnsi="宋体" w:cs="宋体"/>
          <w:color w:val="auto"/>
          <w:sz w:val="24"/>
          <w:highlight w:val="none"/>
        </w:rPr>
        <w:t>供应商应按照竞争性磋商文件提供的格式编写响应性文件，不得缺少、留空或私自更改任何竞争性磋商文件要求填写的表格或提交的资料。有关证明的复印件/扫描件均需加盖公章并注明与原件一致。竞争性磋商文件提供格式的按格式填列，未提供格式的可自行拟定。响应性文件</w:t>
      </w:r>
      <w:r>
        <w:rPr>
          <w:rFonts w:hint="eastAsia" w:ascii="宋体" w:hAnsi="宋体" w:cs="宋体"/>
          <w:color w:val="auto"/>
          <w:sz w:val="24"/>
          <w:highlight w:val="none"/>
          <w:lang w:val="en-US" w:eastAsia="zh-CN"/>
        </w:rPr>
        <w:t>封面需包含；项目名称、项目编号投标人名称、投标人详细地址、联系人、联系电话。</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p>
    <w:p>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12.竞争性磋商报价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12.1报价</w:t>
      </w:r>
      <w:r>
        <w:rPr>
          <w:rFonts w:hint="eastAsia" w:ascii="宋体" w:hAnsi="宋体" w:eastAsia="宋体" w:cs="宋体"/>
          <w:color w:val="auto"/>
          <w:spacing w:val="0"/>
          <w:position w:val="0"/>
          <w:sz w:val="24"/>
          <w:highlight w:val="none"/>
          <w:shd w:val="clear" w:fill="auto"/>
          <w:lang w:eastAsia="zh-CN"/>
        </w:rPr>
        <w:t>需</w:t>
      </w:r>
      <w:r>
        <w:rPr>
          <w:rFonts w:ascii="宋体" w:hAnsi="宋体" w:eastAsia="宋体" w:cs="宋体"/>
          <w:color w:val="auto"/>
          <w:spacing w:val="0"/>
          <w:position w:val="0"/>
          <w:sz w:val="24"/>
          <w:highlight w:val="none"/>
          <w:shd w:val="clear" w:fill="auto"/>
        </w:rPr>
        <w:t>包括所投货物、保险、税费、包装、加工及加工损耗、运输、现场验收和交付后约定期限内免费维保等工作所发生的一切</w:t>
      </w:r>
      <w:r>
        <w:rPr>
          <w:rFonts w:hint="eastAsia"/>
          <w:color w:val="auto"/>
          <w:sz w:val="24"/>
          <w:szCs w:val="24"/>
          <w:highlight w:val="none"/>
        </w:rPr>
        <w:t>全部费用</w:t>
      </w:r>
      <w:r>
        <w:rPr>
          <w:rFonts w:hint="eastAsia"/>
          <w:color w:val="auto"/>
          <w:sz w:val="24"/>
          <w:szCs w:val="24"/>
          <w:highlight w:val="none"/>
          <w:lang w:eastAsia="zh-CN"/>
        </w:rPr>
        <w:t>，并</w:t>
      </w:r>
      <w:r>
        <w:rPr>
          <w:rFonts w:hint="eastAsia"/>
          <w:color w:val="auto"/>
          <w:sz w:val="24"/>
          <w:szCs w:val="24"/>
          <w:highlight w:val="none"/>
          <w:lang w:val="en-US" w:eastAsia="zh-CN"/>
        </w:rPr>
        <w:t>作出实质响应。</w:t>
      </w:r>
      <w:r>
        <w:rPr>
          <w:rFonts w:hint="eastAsia"/>
          <w:color w:val="auto"/>
          <w:sz w:val="24"/>
          <w:szCs w:val="24"/>
          <w:highlight w:val="none"/>
          <w:lang w:eastAsia="zh-CN"/>
        </w:rPr>
        <w:t>投</w:t>
      </w:r>
      <w:r>
        <w:rPr>
          <w:rFonts w:hint="eastAsia"/>
          <w:color w:val="auto"/>
          <w:sz w:val="24"/>
          <w:szCs w:val="24"/>
          <w:highlight w:val="none"/>
        </w:rPr>
        <w:t>标人必须</w:t>
      </w:r>
      <w:r>
        <w:rPr>
          <w:rFonts w:hint="eastAsia"/>
          <w:color w:val="auto"/>
          <w:sz w:val="24"/>
          <w:szCs w:val="24"/>
          <w:highlight w:val="none"/>
          <w:lang w:eastAsia="zh-CN"/>
        </w:rPr>
        <w:t>保证中标后，所供货物</w:t>
      </w:r>
      <w:r>
        <w:rPr>
          <w:rFonts w:hint="eastAsia"/>
          <w:color w:val="auto"/>
          <w:sz w:val="24"/>
          <w:szCs w:val="24"/>
          <w:highlight w:val="none"/>
        </w:rPr>
        <w:t>整体通过用户方及有关主管部门验收,所发生的验收费用由中标人承担；</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12.2经过磋商后进行的报价为供应商的最终报价。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12.3采购人不接受有选择的报价。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12.4最终报价不得超过采购预算。</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12.5报价均须以人民币为计算单位。</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13．响应性文件有效期 </w:t>
      </w:r>
    </w:p>
    <w:p>
      <w:pPr>
        <w:spacing w:before="0" w:after="0" w:line="5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13.l响应性文件有效期为自竞争性磋商开始之日起60天，有效期短于此规定的响应性文件将被视为无效。</w:t>
      </w:r>
      <w:r>
        <w:rPr>
          <w:rFonts w:hint="eastAsia" w:ascii="宋体" w:hAnsi="宋体" w:eastAsia="宋体" w:cs="宋体"/>
          <w:color w:val="auto"/>
          <w:spacing w:val="0"/>
          <w:position w:val="0"/>
          <w:sz w:val="24"/>
          <w:highlight w:val="none"/>
          <w:shd w:val="clear" w:fill="auto"/>
          <w:lang w:eastAsia="zh-CN"/>
        </w:rPr>
        <w:t>并承诺。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14.响应性文件的签署、盖章</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14.1响应性文件中凡是要求签署和加盖公章处均须由供应商的法定代表人或其委托代理人签字</w:t>
      </w:r>
      <w:r>
        <w:rPr>
          <w:rFonts w:hint="eastAsia" w:ascii="宋体" w:hAnsi="宋体" w:eastAsia="宋体" w:cs="宋体"/>
          <w:color w:val="auto"/>
          <w:spacing w:val="0"/>
          <w:position w:val="0"/>
          <w:sz w:val="24"/>
          <w:highlight w:val="none"/>
          <w:shd w:val="clear" w:fill="auto"/>
          <w:lang w:val="en-US" w:eastAsia="zh-CN"/>
        </w:rPr>
        <w:t>和</w:t>
      </w:r>
      <w:r>
        <w:rPr>
          <w:rFonts w:ascii="宋体" w:hAnsi="宋体" w:eastAsia="宋体" w:cs="宋体"/>
          <w:color w:val="auto"/>
          <w:spacing w:val="0"/>
          <w:position w:val="0"/>
          <w:sz w:val="24"/>
          <w:highlight w:val="none"/>
          <w:shd w:val="clear" w:fill="auto"/>
        </w:rPr>
        <w:t>加盖供应商公章。本竞争性磋商文件所表述（指定）的公章是指法人（供应商）行政公章，不包括专用章。</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14.3供应商提交的资料应证明其满足竞争性磋商文件要求，该文件可以是文字资料、图纸和数据等详细描述的资料。</w:t>
      </w:r>
    </w:p>
    <w:p>
      <w:pPr>
        <w:spacing w:line="360" w:lineRule="auto"/>
        <w:ind w:firstLine="550"/>
        <w:rPr>
          <w:color w:val="auto"/>
          <w:highlight w:val="none"/>
        </w:rPr>
      </w:pPr>
      <w:r>
        <w:rPr>
          <w:rFonts w:hint="eastAsia" w:ascii="宋体" w:hAnsi="宋体" w:eastAsia="宋体" w:cs="宋体"/>
          <w:color w:val="auto"/>
          <w:spacing w:val="0"/>
          <w:position w:val="0"/>
          <w:sz w:val="24"/>
          <w:highlight w:val="none"/>
          <w:shd w:val="clear" w:fill="auto"/>
          <w:lang w:val="en-US" w:eastAsia="zh-CN"/>
        </w:rPr>
        <w:t>15</w:t>
      </w:r>
      <w:r>
        <w:rPr>
          <w:rFonts w:hint="eastAsia" w:ascii="宋体" w:hAnsi="宋体" w:cs="宋体"/>
          <w:color w:val="auto"/>
          <w:sz w:val="24"/>
          <w:highlight w:val="none"/>
          <w:lang w:val="en-US" w:eastAsia="zh-CN"/>
        </w:rPr>
        <w:t>电子投标文件制作</w:t>
      </w:r>
      <w:r>
        <w:rPr>
          <w:rFonts w:hint="eastAsia" w:ascii="宋体" w:hAnsi="宋体" w:cs="宋体"/>
          <w:color w:val="auto"/>
          <w:sz w:val="24"/>
          <w:highlight w:val="none"/>
          <w:lang w:eastAsia="zh-CN"/>
        </w:rPr>
        <w:t>，</w:t>
      </w:r>
      <w:r>
        <w:rPr>
          <w:rFonts w:hint="eastAsia" w:ascii="宋体" w:hAnsi="宋体" w:cs="宋体"/>
          <w:color w:val="auto"/>
          <w:sz w:val="24"/>
          <w:highlight w:val="none"/>
        </w:rPr>
        <w:t>见周口市公共资源交易中心</w:t>
      </w:r>
      <w:r>
        <w:rPr>
          <w:rFonts w:hint="eastAsia" w:ascii="宋体" w:hAnsi="宋体" w:cs="宋体"/>
          <w:color w:val="auto"/>
          <w:sz w:val="24"/>
          <w:highlight w:val="none"/>
          <w:lang w:val="en-US" w:eastAsia="zh-CN"/>
        </w:rPr>
        <w:t>网站下载中心版块</w:t>
      </w:r>
      <w:r>
        <w:rPr>
          <w:rFonts w:hint="eastAsia" w:ascii="宋体" w:hAnsi="宋体" w:cs="宋体"/>
          <w:color w:val="auto"/>
          <w:sz w:val="24"/>
          <w:highlight w:val="none"/>
        </w:rPr>
        <w:t>《投标单位-电子投标文件视频制作手册》的相关规定。</w:t>
      </w:r>
    </w:p>
    <w:p>
      <w:pPr>
        <w:pStyle w:val="22"/>
        <w:rPr>
          <w:color w:val="auto"/>
          <w:highlight w:val="none"/>
        </w:rPr>
      </w:pPr>
    </w:p>
    <w:p>
      <w:pPr>
        <w:numPr>
          <w:ilvl w:val="0"/>
          <w:numId w:val="0"/>
        </w:numPr>
        <w:tabs>
          <w:tab w:val="left" w:pos="720"/>
        </w:tabs>
        <w:spacing w:before="0" w:after="0" w:line="720" w:lineRule="auto"/>
        <w:ind w:leftChars="0" w:right="0" w:rightChars="0"/>
        <w:jc w:val="center"/>
        <w:rPr>
          <w:rFonts w:ascii="宋体" w:hAnsi="宋体" w:eastAsia="宋体" w:cs="宋体"/>
          <w:b/>
          <w:color w:val="auto"/>
          <w:spacing w:val="0"/>
          <w:position w:val="0"/>
          <w:sz w:val="24"/>
          <w:highlight w:val="none"/>
          <w:shd w:val="clear" w:fill="auto"/>
        </w:rPr>
      </w:pPr>
      <w:r>
        <w:rPr>
          <w:rFonts w:hint="eastAsia" w:ascii="宋体" w:hAnsi="宋体" w:eastAsia="宋体" w:cs="宋体"/>
          <w:b/>
          <w:color w:val="auto"/>
          <w:spacing w:val="0"/>
          <w:position w:val="0"/>
          <w:sz w:val="24"/>
          <w:highlight w:val="none"/>
          <w:shd w:val="clear" w:fill="auto"/>
          <w:lang w:val="en-US" w:eastAsia="zh-CN"/>
        </w:rPr>
        <w:t>四、</w:t>
      </w:r>
      <w:r>
        <w:rPr>
          <w:rFonts w:ascii="宋体" w:hAnsi="宋体" w:eastAsia="宋体" w:cs="宋体"/>
          <w:b/>
          <w:color w:val="auto"/>
          <w:spacing w:val="0"/>
          <w:position w:val="0"/>
          <w:sz w:val="24"/>
          <w:highlight w:val="none"/>
          <w:shd w:val="clear" w:fill="auto"/>
        </w:rPr>
        <w:t>响应性文件的递交</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文件和纸质</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文件均不再提交。在解密投标</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开始时30分钟内进行解密，超时视为放弃递交</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w:t>
      </w:r>
    </w:p>
    <w:p>
      <w:pPr>
        <w:spacing w:before="0" w:after="0" w:line="5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注：加密的电子投标文件的递交</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rPr>
        <w:t>见周口市公共资源交易中心</w:t>
      </w:r>
      <w:r>
        <w:rPr>
          <w:rFonts w:hint="eastAsia" w:ascii="宋体" w:hAnsi="宋体" w:eastAsia="宋体" w:cs="宋体"/>
          <w:color w:val="auto"/>
          <w:spacing w:val="0"/>
          <w:position w:val="0"/>
          <w:sz w:val="24"/>
          <w:highlight w:val="none"/>
          <w:shd w:val="clear" w:fill="auto"/>
          <w:lang w:val="en-US" w:eastAsia="zh-CN"/>
        </w:rPr>
        <w:t>网站下载中心版块</w:t>
      </w:r>
      <w:r>
        <w:rPr>
          <w:rFonts w:hint="eastAsia" w:ascii="宋体" w:hAnsi="宋体" w:eastAsia="宋体" w:cs="宋体"/>
          <w:color w:val="auto"/>
          <w:spacing w:val="0"/>
          <w:position w:val="0"/>
          <w:sz w:val="24"/>
          <w:highlight w:val="none"/>
          <w:shd w:val="clear" w:fill="auto"/>
        </w:rPr>
        <w:t>《投标单位-电子投标文件视频制作手册》的相关规定。如未在招标文件规定的投标时间截止前上传网上</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文件，投标无效。</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highlight w:val="none"/>
          <w:shd w:val="clear" w:fill="auto"/>
          <w:lang w:val="en-US" w:eastAsia="zh-CN"/>
        </w:rPr>
        <w:t>办事指南《</w:t>
      </w:r>
      <w:r>
        <w:rPr>
          <w:rFonts w:hint="eastAsia" w:ascii="宋体" w:hAnsi="宋体" w:eastAsia="宋体" w:cs="宋体"/>
          <w:color w:val="auto"/>
          <w:spacing w:val="0"/>
          <w:position w:val="0"/>
          <w:sz w:val="24"/>
          <w:highlight w:val="none"/>
          <w:shd w:val="clear" w:fill="auto"/>
        </w:rPr>
        <w:t>不见面开标远程在线解密会员端操作手册操作指南</w:t>
      </w:r>
      <w:r>
        <w:rPr>
          <w:rFonts w:hint="eastAsia" w:ascii="宋体" w:hAnsi="宋体" w:eastAsia="宋体" w:cs="宋体"/>
          <w:color w:val="auto"/>
          <w:spacing w:val="0"/>
          <w:position w:val="0"/>
          <w:sz w:val="24"/>
          <w:highlight w:val="none"/>
          <w:shd w:val="clear" w:fill="auto"/>
          <w:lang w:val="en-US" w:eastAsia="zh-CN"/>
        </w:rPr>
        <w:t>》</w:t>
      </w:r>
      <w:r>
        <w:rPr>
          <w:rFonts w:hint="eastAsia" w:ascii="宋体" w:hAnsi="宋体" w:eastAsia="宋体" w:cs="宋体"/>
          <w:color w:val="auto"/>
          <w:spacing w:val="0"/>
          <w:position w:val="0"/>
          <w:sz w:val="24"/>
          <w:highlight w:val="none"/>
          <w:shd w:val="clear" w:fill="auto"/>
        </w:rPr>
        <w:t>。</w:t>
      </w:r>
    </w:p>
    <w:p>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16.响应性文件的递交</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16.1供应商应在竞争性磋商邀请函中规定的截止日期和时间前，将响应性文件在会员系统成功上传，递交（接收）地点为竞争性磋商邀请函中规定的地址。</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16.2若采购人推迟了响应性文件接收截止时间，采购人和供应商受响应性文件接收截止时间制约的所有权利和义务均应以新的截止时间为准。 </w:t>
      </w:r>
    </w:p>
    <w:p>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17.响应性文件的修改和撤回</w:t>
      </w:r>
    </w:p>
    <w:p>
      <w:pPr>
        <w:widowControl w:val="0"/>
        <w:spacing w:before="0" w:after="0" w:line="560" w:lineRule="auto"/>
        <w:ind w:left="279" w:right="0" w:firstLine="24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17.1供应商在提交响应性文件截止时间前，可以对已上传的响应文件进行撤回补充、修改或撤回，补充、修改，之后进行再次上传，再次上传内容作为响应性文件的组成部分。</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17.2响应性文件的补充、修改文件应按照本竞争性磋商文件有关规定进行密封、签署，修改后的加密的电子投标文件须在投标截止时间前成功上传。 </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17.3供应商在响应性文件接收截止时间后不得修改、撤回响应性文件。供应商在响应性文件接收截止时间后修改响应性文件的，将被拒绝接受。</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17.4供应商有下列情形之一的，采购人将拒绝接受其响应性文件：</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17.4.1在竞争性磋商文件规定的响应性文件接收截止时间之后递交响应性文件的；</w:t>
      </w:r>
    </w:p>
    <w:p>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17.4.2响应性文件未按竞争性磋商文件规定密封、签署、盖章的；</w:t>
      </w:r>
    </w:p>
    <w:p>
      <w:pPr>
        <w:widowControl w:val="0"/>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17.4.3一个供应商不止递交一套响应性文件的。</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五、竞争性磋商</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18.组建竞争性磋商小组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18.1采购人根据采购项目的特点依法组建竞争性磋商小组。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18.2竞争性磋商小组确认竞争性磋商文件，并负责具体评审事务，根据有关法律法规和竞争性磋商文件规定的评审程序，按照评审方法及评审标准独立履行竞争性磋商小组职责。</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19.资格性和符合性审查</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19.1.1资格性审查的内容包括：竞争性磋商文件规定的供应商资格条件；</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19.2.1符合性审查的内容包括：</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（1）响应性文件的有效性(签署情况等)；</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（2）响应性文件的完整性；</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（3）对竞争性磋商文件的响应程度（是否存在重大负偏离等）。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u w:val="single"/>
          <w:shd w:val="clear" w:fill="auto"/>
        </w:rPr>
        <w:t>以上资格性审查和符合性审查的内容只要有一条不满足，则响应性文件无效，将不进入竞争性磋商程序。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注意事项：资格性、符合性证明材料见竞争性磋商文件第四章规定。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19.3实质性响应的响应性文件是指与竞争性磋商文件的全部条款、条件和规格相符，没有重大偏离；重大负偏离的认定须经竞争性磋商小组三分之二以上同意。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19.5如果响应性文件实质上没有响应竞争性磋商文件的要求，将作为无效处理，供应商不得再对响应性文件进行任何修正从而使其响应性文件成为实质上响应的文件；</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19.6竞争性磋商小组审定响应性文件的响应性只根据响应性文件本身的内容而不寻求外部证据。</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19.7凡有下列情况之一的，其响应性文件也被视为未实质性响应竞争性磋商文件，按照无效处理（不再参加竞争性磋商）：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19.7.1未按竞争性磋商文件规定要求签署、盖章的；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19.7.2资格证明文件不全的，或不符合竞争性磋商文件中规定的资格要求的；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19.7.3</w:t>
      </w:r>
      <w:r>
        <w:rPr>
          <w:rFonts w:hint="eastAsia"/>
          <w:color w:val="auto"/>
          <w:kern w:val="0"/>
          <w:sz w:val="24"/>
          <w:highlight w:val="none"/>
          <w:lang w:val="en-US"/>
        </w:rPr>
        <w:t>被授权人未附本单位为其缴纳的社会保险个人参保证明（可二维码查询）和劳动合同的；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19.7.4不符合竞争性磋商文件规定的实质性要求的；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19.7.5响应性文件内容不齐全或内容虚假的；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19.7.6响应性文件的实质性内容未使用中文表述；</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19.7.7响应性文件的内容修改处未按规定签名或盖章的；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19.7.8违反法律、行政法规、竞争性磋商文件规定的其他情形的。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不同供应商的投标（响应）文件的内容存在两处以上细节错误一致；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不同供应商投标（响应）文件中法定代表人或者负责人签字出自</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同一人之手</w:t>
      </w:r>
      <w:r>
        <w:rPr>
          <w:rFonts w:hint="eastAsia" w:ascii="宋体" w:hAnsi="宋体" w:eastAsia="宋体" w:cs="宋体"/>
          <w:color w:val="auto"/>
          <w:sz w:val="24"/>
          <w:highlight w:val="none"/>
          <w:lang w:eastAsia="zh-CN"/>
        </w:rPr>
        <w:t>。</w:t>
      </w:r>
    </w:p>
    <w:p>
      <w:pPr>
        <w:pStyle w:val="13"/>
        <w:rPr>
          <w:rFonts w:hint="eastAsia"/>
          <w:color w:val="auto"/>
          <w:sz w:val="24"/>
          <w:szCs w:val="24"/>
          <w:highlight w:val="none"/>
          <w:lang w:val="en-US"/>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15</w:t>
      </w:r>
      <w:r>
        <w:rPr>
          <w:rFonts w:hint="eastAsia"/>
          <w:color w:val="auto"/>
          <w:sz w:val="24"/>
          <w:szCs w:val="24"/>
          <w:highlight w:val="none"/>
          <w:lang w:val="en-US"/>
        </w:rPr>
        <w:t>中标供应商没有将“廉洁自律承诺书”附在投标（响应）文件中。</w:t>
      </w:r>
    </w:p>
    <w:p>
      <w:pPr>
        <w:pStyle w:val="14"/>
        <w:ind w:left="0" w:leftChars="0" w:firstLine="480" w:firstLineChars="200"/>
        <w:rPr>
          <w:rFonts w:hint="eastAsia"/>
          <w:color w:val="auto"/>
          <w:sz w:val="24"/>
          <w:szCs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16</w:t>
      </w:r>
      <w:r>
        <w:rPr>
          <w:rFonts w:hint="eastAsia"/>
          <w:color w:val="auto"/>
          <w:sz w:val="24"/>
          <w:szCs w:val="24"/>
          <w:highlight w:val="none"/>
        </w:rPr>
        <w:t>未提供经会计师事务所或审计机构审计的财务会计报表，包括资产负债表、现金流量表、利润表、和财务情况说明书的或针对本项目所开具的资信证明的。</w:t>
      </w:r>
    </w:p>
    <w:p>
      <w:pPr>
        <w:rPr>
          <w:rFonts w:hint="eastAsia" w:eastAsiaTheme="minorEastAsia"/>
          <w:color w:val="auto"/>
          <w:highlight w:val="none"/>
          <w:lang w:val="en-US" w:eastAsia="zh-CN"/>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17</w:t>
      </w:r>
      <w:r>
        <w:rPr>
          <w:rFonts w:hint="eastAsia"/>
          <w:color w:val="auto"/>
          <w:sz w:val="24"/>
          <w:szCs w:val="24"/>
          <w:highlight w:val="none"/>
        </w:rPr>
        <w:t>未提供</w:t>
      </w:r>
      <w:r>
        <w:rPr>
          <w:rFonts w:hint="eastAsia"/>
          <w:color w:val="auto"/>
          <w:sz w:val="24"/>
          <w:szCs w:val="24"/>
          <w:highlight w:val="none"/>
          <w:lang w:eastAsia="zh-CN"/>
        </w:rPr>
        <w:t>产品质量承诺的。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19.8在评审过程中，竞争性磋商小组发现供应商有下列情形之一的，视为供应商相互串通，按照无效处理并依据法律、法规追究其相关责任。具体表现形式如下：</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19.8.1不同供应商的响应性文件互相混装的；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19.8.2不同供应商授权同一人作为供应商委托代理人的；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19.8.3不同供应商的响应性文件载明的项目管理成员为同一人的；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19.8.4有证据证明供应商与采购人、采购代理机构或者其他供应商串通的其他情形；</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19.8.5竞争性磋商小组认定的其他串通情形。</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5"/>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项目符合性审查表</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是否</w:t>
            </w:r>
          </w:p>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投标文件格式及</w:t>
            </w:r>
          </w:p>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提交资料要求</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是否通过审查</w:t>
            </w:r>
          </w:p>
        </w:tc>
      </w:tr>
    </w:tbl>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20.响应性文件的澄清</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20.3供应商拒不进行澄清、说明、补正的，或者不能在竞争性磋商小组规定时间内作出书面澄清、说明、补正的，其响应性文件将被作为无效处理。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20.4供应商的书面澄清材料作为响应性文件的补充。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20.5竞争性磋商小组不得接受供应商主动提出的澄清和解释。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20.6并非每个供应商都将被询问、澄清。</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21.竞争性磋商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21.1资格性审查和符合性审查合格的供应商，将进入本次竞争性磋商程序。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21.2竞争性磋商将按照供应商的签到顺序进行。</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21.3磋商内容包括：</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21.3.1按照竞争性磋商文件中商务部分的内容，对照供应商提交的响应文件逐一进行比较各项指标和要求。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21.3.2按照竞争性磋商文件中技术部分的内容，对照供应商提交的响应文件逐一进行比较各项指标和要求。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21.3.3按照竞争性磋商文件中合同条款部分的内容，对照供应商提交的响应文件逐一进行比较各项指标和要求。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21.3.4在磋商中，磋商的任何一方不得透露与磋商有关的其他供应商的技术资料及其他信息。</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21.4.1对竞争性磋商文件作出实质性变动是竞争性磋商文件的有效组成部分，竞争性磋商小组应当及时以书面形式同时通知所有参加竞争性磋商的供应商。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val="zh-CN"/>
        </w:rPr>
        <w:t>供应商的投标函和开标记</w:t>
      </w:r>
      <w:r>
        <w:rPr>
          <w:rFonts w:hint="eastAsia" w:ascii="宋体" w:hAnsi="宋体" w:eastAsia="宋体" w:cs="宋体"/>
          <w:color w:val="auto"/>
          <w:sz w:val="24"/>
          <w:highlight w:val="none"/>
          <w:lang w:val="en-US" w:eastAsia="zh-CN"/>
        </w:rPr>
        <w:t>录</w:t>
      </w:r>
      <w:r>
        <w:rPr>
          <w:rFonts w:hint="eastAsia" w:ascii="宋体" w:hAnsi="宋体" w:eastAsia="宋体" w:cs="宋体"/>
          <w:color w:val="auto"/>
          <w:sz w:val="24"/>
          <w:highlight w:val="none"/>
          <w:lang w:val="zh-CN"/>
        </w:rPr>
        <w:t>。</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六、评定标准</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22.竞争性磋商过程及保密原则</w:t>
      </w:r>
    </w:p>
    <w:p>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采购代理机构在评标结束后2个工作日内将评标报告送采购人。采购人自收到评标报告之日起５个工作日内，在评标报告确定的中标候选人名单中确定中标人。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22.2对通过初步审查的响应文件，采用百分制综合评分法进行评价。</w:t>
      </w:r>
    </w:p>
    <w:p>
      <w:pPr>
        <w:spacing w:before="0" w:after="0" w:line="360" w:lineRule="auto"/>
        <w:ind w:left="0" w:right="-92"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评标方法：</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tbl>
      <w:tblPr>
        <w:tblStyle w:val="15"/>
        <w:tblW w:w="0" w:type="auto"/>
        <w:jc w:val="center"/>
        <w:tblLayout w:type="autofit"/>
        <w:tblCellMar>
          <w:top w:w="0" w:type="dxa"/>
          <w:left w:w="10" w:type="dxa"/>
          <w:bottom w:w="0" w:type="dxa"/>
          <w:right w:w="10" w:type="dxa"/>
        </w:tblCellMar>
      </w:tblPr>
      <w:tblGrid>
        <w:gridCol w:w="1543"/>
        <w:gridCol w:w="1535"/>
        <w:gridCol w:w="3288"/>
        <w:gridCol w:w="2156"/>
      </w:tblGrid>
      <w:tr>
        <w:tblPrEx>
          <w:tblCellMar>
            <w:top w:w="0" w:type="dxa"/>
            <w:left w:w="10" w:type="dxa"/>
            <w:bottom w:w="0" w:type="dxa"/>
            <w:right w:w="10" w:type="dxa"/>
          </w:tblCellMar>
        </w:tblPrEx>
        <w:trPr>
          <w:trHeight w:val="0" w:hRule="atLeast"/>
          <w:jc w:val="center"/>
        </w:trPr>
        <w:tc>
          <w:tcPr>
            <w:tcW w:w="15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评分指标</w:t>
            </w:r>
          </w:p>
        </w:tc>
        <w:tc>
          <w:tcPr>
            <w:tcW w:w="15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分值</w:t>
            </w:r>
          </w:p>
        </w:tc>
        <w:tc>
          <w:tcPr>
            <w:tcW w:w="3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指标说明及评分标准</w:t>
            </w:r>
          </w:p>
        </w:tc>
        <w:tc>
          <w:tcPr>
            <w:tcW w:w="2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评分依据</w:t>
            </w:r>
          </w:p>
        </w:tc>
      </w:tr>
      <w:tr>
        <w:tblPrEx>
          <w:tblCellMar>
            <w:top w:w="0" w:type="dxa"/>
            <w:left w:w="10" w:type="dxa"/>
            <w:bottom w:w="0" w:type="dxa"/>
            <w:right w:w="10" w:type="dxa"/>
          </w:tblCellMar>
        </w:tblPrEx>
        <w:trPr>
          <w:trHeight w:val="0" w:hRule="atLeast"/>
          <w:jc w:val="center"/>
        </w:trPr>
        <w:tc>
          <w:tcPr>
            <w:tcW w:w="15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报价得分（30分）</w:t>
            </w:r>
          </w:p>
        </w:tc>
        <w:tc>
          <w:tcPr>
            <w:tcW w:w="15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（30分）</w:t>
            </w:r>
          </w:p>
        </w:tc>
        <w:tc>
          <w:tcPr>
            <w:tcW w:w="544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2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满足磋商文件要求且最后报价最低的供应商的价格为磋商基准价，其价格分为满分。其他供应商的价格分统一按照下列公式计算：</w:t>
            </w:r>
          </w:p>
          <w:p>
            <w:pPr>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满足磋商文件要求且最后报价最低的供应商的价格为磋商基准价，其价格分为满分。其他供应商的价格分统一按照下列公式计算：</w:t>
            </w:r>
          </w:p>
          <w:p>
            <w:pPr>
              <w:ind w:firstLine="480" w:firstLineChars="200"/>
              <w:rPr>
                <w:rFonts w:hint="default" w:ascii="宋体" w:hAnsi="宋体" w:cs="宋体" w:eastAsiaTheme="minorEastAsia"/>
                <w:bCs/>
                <w:color w:val="auto"/>
                <w:sz w:val="24"/>
                <w:szCs w:val="20"/>
                <w:highlight w:val="none"/>
                <w:lang w:val="en-US" w:eastAsia="zh-CN"/>
              </w:rPr>
            </w:pPr>
            <w:r>
              <w:rPr>
                <w:rFonts w:hint="eastAsia" w:ascii="宋体" w:hAnsi="宋体" w:cs="宋体"/>
                <w:bCs/>
                <w:color w:val="auto"/>
                <w:sz w:val="24"/>
                <w:szCs w:val="20"/>
                <w:highlight w:val="none"/>
              </w:rPr>
              <w:t>磋商报价得分=（磋商基准价/最后磋商报价）×价格权值×</w:t>
            </w:r>
            <w:r>
              <w:rPr>
                <w:rFonts w:hint="eastAsia" w:ascii="宋体" w:hAnsi="宋体" w:cs="宋体"/>
                <w:bCs/>
                <w:color w:val="auto"/>
                <w:sz w:val="24"/>
                <w:szCs w:val="20"/>
                <w:highlight w:val="none"/>
                <w:lang w:val="en-US" w:eastAsia="zh-CN"/>
              </w:rPr>
              <w:t>100</w:t>
            </w:r>
          </w:p>
          <w:p>
            <w:pPr>
              <w:tabs>
                <w:tab w:val="left" w:pos="5130"/>
              </w:tabs>
              <w:adjustRightInd w:val="0"/>
              <w:snapToGrid w:val="0"/>
              <w:spacing w:line="360" w:lineRule="auto"/>
              <w:rPr>
                <w:rFonts w:ascii="宋体" w:hAnsi="宋体" w:cs="宋体"/>
                <w:bCs/>
                <w:color w:val="auto"/>
                <w:sz w:val="24"/>
                <w:szCs w:val="20"/>
                <w:highlight w:val="none"/>
              </w:rPr>
            </w:pPr>
            <w:r>
              <w:rPr>
                <w:rFonts w:hint="eastAsia" w:ascii="宋体" w:hAnsi="宋体" w:cs="宋体"/>
                <w:bCs/>
                <w:color w:val="auto"/>
                <w:sz w:val="24"/>
                <w:szCs w:val="20"/>
                <w:highlight w:val="none"/>
              </w:rPr>
              <w:t>备注：价格分计算保留小数点后二位。</w:t>
            </w:r>
          </w:p>
          <w:p>
            <w:pPr>
              <w:pStyle w:val="13"/>
              <w:ind w:right="-21" w:firstLine="0" w:firstLineChars="0"/>
              <w:rPr>
                <w:rFonts w:ascii="宋体" w:hAnsi="宋体" w:cs="宋体"/>
                <w:bCs/>
                <w:color w:val="auto"/>
                <w:sz w:val="24"/>
                <w:szCs w:val="20"/>
                <w:highlight w:val="none"/>
              </w:rPr>
            </w:pPr>
            <w:r>
              <w:rPr>
                <w:rFonts w:hint="eastAsia" w:ascii="宋体" w:hAnsi="宋体" w:cs="宋体"/>
                <w:bCs/>
                <w:color w:val="auto"/>
                <w:sz w:val="24"/>
                <w:szCs w:val="20"/>
                <w:highlight w:val="none"/>
              </w:rPr>
              <w:t>根据财政部、工信部关于印发《政府采购促进中小企业发展管理办法》的通知（财库〔2020〕46号 ）文件规定：</w:t>
            </w:r>
          </w:p>
          <w:p>
            <w:pPr>
              <w:pStyle w:val="13"/>
              <w:ind w:right="-21" w:firstLine="0" w:firstLineChars="0"/>
              <w:rPr>
                <w:rFonts w:ascii="宋体" w:hAnsi="宋体" w:cs="宋体"/>
                <w:bCs/>
                <w:color w:val="auto"/>
                <w:sz w:val="24"/>
                <w:szCs w:val="20"/>
                <w:highlight w:val="none"/>
              </w:rPr>
            </w:pPr>
            <w:r>
              <w:rPr>
                <w:rFonts w:hint="eastAsia" w:ascii="宋体" w:hAnsi="宋体" w:cs="宋体"/>
                <w:bCs/>
                <w:color w:val="auto"/>
                <w:sz w:val="24"/>
                <w:szCs w:val="20"/>
                <w:highlight w:val="none"/>
              </w:rPr>
              <w:t>（1）对小微企业报价给予10%扣除，请按照《政府采购促进中小企业发展管理办法》要求提供中小企业声明函。</w:t>
            </w:r>
          </w:p>
          <w:p>
            <w:pPr>
              <w:pStyle w:val="13"/>
              <w:ind w:right="-21" w:firstLine="0" w:firstLineChars="0"/>
              <w:rPr>
                <w:rFonts w:ascii="宋体" w:hAnsi="宋体" w:cs="宋体"/>
                <w:bCs/>
                <w:color w:val="auto"/>
                <w:sz w:val="24"/>
                <w:szCs w:val="20"/>
                <w:highlight w:val="none"/>
              </w:rPr>
            </w:pPr>
            <w:r>
              <w:rPr>
                <w:rFonts w:hint="eastAsia" w:ascii="宋体" w:hAnsi="宋体" w:cs="宋体"/>
                <w:bCs/>
                <w:color w:val="auto"/>
                <w:sz w:val="24"/>
                <w:szCs w:val="20"/>
                <w:highlight w:val="none"/>
              </w:rPr>
              <w:t>（2）关于监狱企业：视同小微企业。须提供由省级以上监狱管理局、戒毒管理局（含新疆生产建设兵团）出具的属于监狱企业的证明文件，否则不考虑价格扣除。</w:t>
            </w:r>
          </w:p>
          <w:p>
            <w:pPr>
              <w:widowControl w:val="0"/>
              <w:spacing w:before="0" w:after="0" w:line="276"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cs="宋体"/>
                <w:bCs/>
                <w:color w:val="auto"/>
                <w:sz w:val="24"/>
                <w:szCs w:val="20"/>
                <w:highlight w:val="none"/>
              </w:rPr>
              <w:t>（3）关于残疾人福利性单位：视同小微企业。须提供完整的“残疾人福利性单位声明函”，否则在价格评审时不予考虑价格扣除。</w:t>
            </w:r>
          </w:p>
        </w:tc>
      </w:tr>
      <w:tr>
        <w:tblPrEx>
          <w:tblCellMar>
            <w:top w:w="0" w:type="dxa"/>
            <w:left w:w="10" w:type="dxa"/>
            <w:bottom w:w="0" w:type="dxa"/>
            <w:right w:w="10" w:type="dxa"/>
          </w:tblCellMar>
        </w:tblPrEx>
        <w:trPr>
          <w:trHeight w:val="740" w:hRule="atLeast"/>
          <w:jc w:val="center"/>
        </w:trPr>
        <w:tc>
          <w:tcPr>
            <w:tcW w:w="1543" w:type="dxa"/>
            <w:vMerge w:val="restart"/>
            <w:tcBorders>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技术部分</w:t>
            </w:r>
          </w:p>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45</w:t>
            </w:r>
            <w:r>
              <w:rPr>
                <w:rFonts w:ascii="宋体" w:hAnsi="宋体" w:eastAsia="宋体" w:cs="宋体"/>
                <w:color w:val="auto"/>
                <w:spacing w:val="0"/>
                <w:position w:val="0"/>
                <w:sz w:val="24"/>
                <w:highlight w:val="none"/>
                <w:shd w:val="clear" w:fill="auto"/>
              </w:rPr>
              <w:t>分）</w:t>
            </w:r>
          </w:p>
        </w:tc>
        <w:tc>
          <w:tcPr>
            <w:tcW w:w="1535"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技术参数</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35</w:t>
            </w:r>
            <w:r>
              <w:rPr>
                <w:rFonts w:hint="eastAsia" w:ascii="宋体" w:hAnsi="宋体" w:eastAsia="宋体" w:cs="宋体"/>
                <w:color w:val="auto"/>
                <w:spacing w:val="0"/>
                <w:position w:val="0"/>
                <w:sz w:val="24"/>
                <w:highlight w:val="none"/>
                <w:shd w:val="clear" w:fill="auto"/>
              </w:rPr>
              <w:t>分)</w:t>
            </w:r>
          </w:p>
        </w:tc>
        <w:tc>
          <w:tcPr>
            <w:tcW w:w="5444" w:type="dxa"/>
            <w:gridSpan w:val="2"/>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根据</w:t>
            </w:r>
            <w:r>
              <w:rPr>
                <w:rFonts w:hint="eastAsia" w:ascii="宋体" w:hAnsi="宋体" w:eastAsia="宋体" w:cs="宋体"/>
                <w:color w:val="auto"/>
                <w:spacing w:val="0"/>
                <w:position w:val="0"/>
                <w:sz w:val="24"/>
                <w:highlight w:val="none"/>
                <w:shd w:val="clear" w:fill="auto"/>
              </w:rPr>
              <w:t>投标产品的基本功能、技术指标与需求的吻合程度和偏差情况</w:t>
            </w:r>
            <w:r>
              <w:rPr>
                <w:rFonts w:hint="eastAsia" w:ascii="宋体" w:hAnsi="宋体" w:eastAsia="宋体" w:cs="宋体"/>
                <w:color w:val="auto"/>
                <w:spacing w:val="0"/>
                <w:position w:val="0"/>
                <w:sz w:val="24"/>
                <w:highlight w:val="none"/>
                <w:shd w:val="clear" w:fill="auto"/>
                <w:lang w:val="en-US" w:eastAsia="zh-CN"/>
              </w:rPr>
              <w:t>进行评价</w:t>
            </w:r>
            <w:r>
              <w:rPr>
                <w:rFonts w:hint="eastAsia" w:ascii="宋体" w:hAnsi="宋体" w:eastAsia="宋体" w:cs="宋体"/>
                <w:color w:val="auto"/>
                <w:spacing w:val="0"/>
                <w:position w:val="0"/>
                <w:sz w:val="24"/>
                <w:highlight w:val="none"/>
                <w:shd w:val="clear" w:fill="auto"/>
                <w:lang w:eastAsia="zh-CN"/>
              </w:rPr>
              <w:t>：</w:t>
            </w:r>
          </w:p>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带</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的为关键技术指标，不能满足的视为负偏离，提供</w:t>
            </w:r>
            <w:r>
              <w:rPr>
                <w:rFonts w:hint="eastAsia" w:ascii="宋体" w:hAnsi="宋体" w:eastAsia="宋体" w:cs="宋体"/>
                <w:color w:val="auto"/>
                <w:spacing w:val="0"/>
                <w:position w:val="0"/>
                <w:sz w:val="24"/>
                <w:highlight w:val="none"/>
                <w:shd w:val="clear" w:fill="auto"/>
              </w:rPr>
              <w:t>带“★”项</w:t>
            </w:r>
            <w:r>
              <w:rPr>
                <w:rFonts w:hint="eastAsia" w:ascii="宋体" w:hAnsi="宋体" w:eastAsia="宋体" w:cs="宋体"/>
                <w:color w:val="auto"/>
                <w:spacing w:val="0"/>
                <w:position w:val="0"/>
                <w:sz w:val="24"/>
                <w:highlight w:val="none"/>
                <w:shd w:val="clear" w:fill="auto"/>
                <w:lang w:val="en-US" w:eastAsia="zh-CN"/>
              </w:rPr>
              <w:t>的证明文件，不能提供证明文件的视为负偏离，全部满足得25分，每负偏离一项扣5分，扣完为止。</w:t>
            </w:r>
          </w:p>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无</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w:t>
            </w:r>
            <w:r>
              <w:rPr>
                <w:rFonts w:hint="eastAsia"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val="en-US" w:eastAsia="zh-CN"/>
              </w:rPr>
              <w:t xml:space="preserve">标记的为基本技术指标，全部满足得10分，每负偏离一项扣1分，扣完为止。  </w:t>
            </w:r>
          </w:p>
          <w:p>
            <w:pPr>
              <w:keepNext w:val="0"/>
              <w:keepLines w:val="0"/>
              <w:widowControl/>
              <w:suppressLineNumbers w:val="0"/>
              <w:jc w:val="left"/>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注：如果投标人提供虚假证明文件及虚假响应，则根据《中华人民共和国政府采购法》第七十七条规定执行。取消中标资格，拉入不诚信黑名单，并赔偿用户损失。</w:t>
            </w:r>
          </w:p>
        </w:tc>
      </w:tr>
      <w:tr>
        <w:tblPrEx>
          <w:tblCellMar>
            <w:top w:w="0" w:type="dxa"/>
            <w:left w:w="10" w:type="dxa"/>
            <w:bottom w:w="0" w:type="dxa"/>
            <w:right w:w="10" w:type="dxa"/>
          </w:tblCellMar>
        </w:tblPrEx>
        <w:trPr>
          <w:trHeight w:val="823" w:hRule="atLeast"/>
          <w:jc w:val="center"/>
        </w:trPr>
        <w:tc>
          <w:tcPr>
            <w:tcW w:w="1543" w:type="dxa"/>
            <w:vMerge w:val="continue"/>
            <w:tcBorders>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p>
        </w:tc>
        <w:tc>
          <w:tcPr>
            <w:tcW w:w="1535"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after="120"/>
              <w:ind w:right="-21" w:rightChars="0"/>
              <w:rPr>
                <w:rFonts w:hint="eastAsia" w:ascii="宋体" w:hAnsi="宋体" w:eastAsia="宋体" w:cs="宋体"/>
                <w:color w:val="auto"/>
                <w:spacing w:val="0"/>
                <w:position w:val="0"/>
                <w:sz w:val="24"/>
                <w:highlight w:val="none"/>
                <w:shd w:val="clear" w:fill="auto"/>
                <w:lang w:val="en-US" w:eastAsia="zh-CN"/>
              </w:rPr>
            </w:pPr>
            <w:r>
              <w:rPr>
                <w:rFonts w:hint="eastAsia" w:ascii="宋体" w:hAnsi="宋体" w:cs="宋体" w:eastAsiaTheme="minorEastAsia"/>
                <w:b w:val="0"/>
                <w:bCs/>
                <w:color w:val="auto"/>
                <w:sz w:val="24"/>
                <w:szCs w:val="22"/>
                <w:highlight w:val="none"/>
                <w:lang w:val="en-US" w:eastAsia="zh-CN" w:bidi="ar-SA"/>
              </w:rPr>
              <w:t>供货安装方案</w:t>
            </w:r>
            <w:r>
              <w:rPr>
                <w:rFonts w:hint="eastAsia" w:ascii="宋体" w:hAnsi="宋体" w:cs="宋体"/>
                <w:b w:val="0"/>
                <w:bCs/>
                <w:color w:val="auto"/>
                <w:sz w:val="24"/>
                <w:szCs w:val="22"/>
                <w:highlight w:val="none"/>
                <w:lang w:val="en-US" w:eastAsia="zh-CN" w:bidi="ar-SA"/>
              </w:rPr>
              <w:t xml:space="preserve"> 10</w:t>
            </w:r>
            <w:r>
              <w:rPr>
                <w:rFonts w:hint="eastAsia" w:ascii="宋体" w:hAnsi="宋体" w:cs="宋体" w:eastAsiaTheme="minorEastAsia"/>
                <w:b w:val="0"/>
                <w:bCs/>
                <w:color w:val="auto"/>
                <w:sz w:val="24"/>
                <w:szCs w:val="22"/>
                <w:highlight w:val="none"/>
                <w:lang w:val="en-US" w:eastAsia="zh-CN" w:bidi="ar-SA"/>
              </w:rPr>
              <w:t>分</w:t>
            </w:r>
          </w:p>
        </w:tc>
        <w:tc>
          <w:tcPr>
            <w:tcW w:w="5444" w:type="dxa"/>
            <w:gridSpan w:val="2"/>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tabs>
                <w:tab w:val="left" w:pos="5130"/>
              </w:tabs>
              <w:spacing w:line="360" w:lineRule="auto"/>
              <w:rPr>
                <w:rFonts w:hint="eastAsia" w:ascii="宋体" w:hAnsi="宋体" w:eastAsia="宋体" w:cs="宋体"/>
                <w:color w:val="auto"/>
                <w:spacing w:val="0"/>
                <w:position w:val="0"/>
                <w:sz w:val="24"/>
                <w:highlight w:val="none"/>
                <w:shd w:val="clear" w:fill="auto"/>
                <w:lang w:val="en-US" w:eastAsia="zh-CN"/>
              </w:rPr>
            </w:pPr>
            <w:r>
              <w:rPr>
                <w:rFonts w:hint="eastAsia" w:ascii="宋体" w:hAnsi="宋体" w:cs="宋体" w:eastAsiaTheme="minorEastAsia"/>
                <w:b w:val="0"/>
                <w:bCs/>
                <w:color w:val="auto"/>
                <w:sz w:val="24"/>
                <w:szCs w:val="22"/>
                <w:highlight w:val="none"/>
                <w:lang w:val="en-US" w:eastAsia="zh-CN" w:bidi="ar-SA"/>
              </w:rPr>
              <w:t>投标人提供的供货安装方案，有详细的进度安排计划、责任追踪制度、质量控制制度、安全管理防范制度</w:t>
            </w:r>
            <w:r>
              <w:rPr>
                <w:rFonts w:hint="eastAsia" w:ascii="宋体" w:hAnsi="宋体" w:cs="宋体"/>
                <w:b w:val="0"/>
                <w:bCs/>
                <w:color w:val="auto"/>
                <w:sz w:val="24"/>
                <w:szCs w:val="22"/>
                <w:highlight w:val="none"/>
                <w:lang w:val="en-US" w:eastAsia="zh-CN" w:bidi="ar-SA"/>
              </w:rPr>
              <w:t>、应急管理</w:t>
            </w:r>
            <w:r>
              <w:rPr>
                <w:rFonts w:hint="eastAsia" w:ascii="宋体" w:hAnsi="宋体" w:cs="宋体" w:eastAsiaTheme="minorEastAsia"/>
                <w:b w:val="0"/>
                <w:bCs/>
                <w:color w:val="auto"/>
                <w:sz w:val="24"/>
                <w:szCs w:val="22"/>
                <w:highlight w:val="none"/>
                <w:lang w:val="en-US" w:eastAsia="zh-CN" w:bidi="ar-SA"/>
              </w:rPr>
              <w:t>制度</w:t>
            </w:r>
            <w:r>
              <w:rPr>
                <w:rFonts w:hint="eastAsia" w:ascii="宋体" w:hAnsi="宋体" w:cs="宋体"/>
                <w:b w:val="0"/>
                <w:bCs/>
                <w:color w:val="auto"/>
                <w:sz w:val="24"/>
                <w:szCs w:val="22"/>
                <w:highlight w:val="none"/>
                <w:lang w:val="en-US" w:eastAsia="zh-CN" w:bidi="ar-SA"/>
              </w:rPr>
              <w:t>等</w:t>
            </w:r>
            <w:r>
              <w:rPr>
                <w:rFonts w:hint="eastAsia" w:ascii="宋体" w:hAnsi="宋体" w:cs="宋体" w:eastAsiaTheme="minorEastAsia"/>
                <w:b w:val="0"/>
                <w:bCs/>
                <w:color w:val="auto"/>
                <w:sz w:val="24"/>
                <w:szCs w:val="22"/>
                <w:highlight w:val="none"/>
                <w:lang w:val="zh-CN" w:eastAsia="zh-CN" w:bidi="ar-SA"/>
              </w:rPr>
              <w:t>综合评分得</w:t>
            </w:r>
            <w:r>
              <w:rPr>
                <w:rFonts w:hint="eastAsia" w:ascii="宋体" w:hAnsi="宋体" w:cs="宋体" w:eastAsiaTheme="minorEastAsia"/>
                <w:b w:val="0"/>
                <w:bCs/>
                <w:color w:val="auto"/>
                <w:sz w:val="24"/>
                <w:szCs w:val="22"/>
                <w:highlight w:val="none"/>
                <w:lang w:val="en-US" w:eastAsia="zh-CN" w:bidi="ar-SA"/>
              </w:rPr>
              <w:t>10分。 不提供不得分</w:t>
            </w:r>
            <w:r>
              <w:rPr>
                <w:rFonts w:hint="eastAsia" w:ascii="宋体" w:hAnsi="宋体" w:cs="宋体"/>
                <w:b w:val="0"/>
                <w:bCs/>
                <w:color w:val="auto"/>
                <w:sz w:val="24"/>
                <w:szCs w:val="22"/>
                <w:highlight w:val="none"/>
                <w:lang w:val="en-US" w:eastAsia="zh-CN" w:bidi="ar-SA"/>
              </w:rPr>
              <w:t>。</w:t>
            </w:r>
          </w:p>
        </w:tc>
      </w:tr>
      <w:tr>
        <w:tblPrEx>
          <w:tblCellMar>
            <w:top w:w="0" w:type="dxa"/>
            <w:left w:w="10" w:type="dxa"/>
            <w:bottom w:w="0" w:type="dxa"/>
            <w:right w:w="10" w:type="dxa"/>
          </w:tblCellMar>
        </w:tblPrEx>
        <w:trPr>
          <w:trHeight w:val="2837" w:hRule="atLeast"/>
          <w:jc w:val="center"/>
        </w:trPr>
        <w:tc>
          <w:tcPr>
            <w:tcW w:w="1543"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商务部分（</w:t>
            </w:r>
            <w:r>
              <w:rPr>
                <w:rFonts w:hint="eastAsia" w:ascii="宋体" w:hAnsi="宋体" w:eastAsia="宋体" w:cs="宋体"/>
                <w:color w:val="auto"/>
                <w:spacing w:val="0"/>
                <w:position w:val="0"/>
                <w:sz w:val="24"/>
                <w:highlight w:val="none"/>
                <w:shd w:val="clear" w:fill="auto"/>
                <w:lang w:val="en-US" w:eastAsia="zh-CN"/>
              </w:rPr>
              <w:t>25</w:t>
            </w:r>
            <w:r>
              <w:rPr>
                <w:rFonts w:hint="eastAsia" w:ascii="宋体" w:hAnsi="宋体" w:eastAsia="宋体" w:cs="宋体"/>
                <w:color w:val="auto"/>
                <w:spacing w:val="0"/>
                <w:position w:val="0"/>
                <w:sz w:val="24"/>
                <w:highlight w:val="none"/>
                <w:shd w:val="clear" w:fill="auto"/>
              </w:rPr>
              <w:t>分）</w:t>
            </w:r>
          </w:p>
        </w:tc>
        <w:tc>
          <w:tcPr>
            <w:tcW w:w="153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 xml:space="preserve"> </w:t>
            </w:r>
          </w:p>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企业实力（</w:t>
            </w:r>
            <w:r>
              <w:rPr>
                <w:rFonts w:hint="eastAsia" w:ascii="宋体" w:hAnsi="宋体" w:eastAsia="宋体" w:cs="宋体"/>
                <w:color w:val="auto"/>
                <w:spacing w:val="0"/>
                <w:position w:val="0"/>
                <w:sz w:val="24"/>
                <w:highlight w:val="none"/>
                <w:shd w:val="clear" w:fill="auto"/>
                <w:lang w:val="en-US" w:eastAsia="zh-CN"/>
              </w:rPr>
              <w:t>9</w:t>
            </w:r>
            <w:r>
              <w:rPr>
                <w:rFonts w:hint="eastAsia" w:ascii="宋体" w:hAnsi="宋体" w:eastAsia="宋体" w:cs="宋体"/>
                <w:color w:val="auto"/>
                <w:spacing w:val="0"/>
                <w:position w:val="0"/>
                <w:sz w:val="24"/>
                <w:highlight w:val="none"/>
                <w:shd w:val="clear" w:fill="auto"/>
              </w:rPr>
              <w:t>分）</w:t>
            </w:r>
          </w:p>
        </w:tc>
        <w:tc>
          <w:tcPr>
            <w:tcW w:w="544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1、投标人具有职业健康安全管理体系认证证书，提供证书复印件加盖公章得3分，不提供不得分。</w:t>
            </w:r>
          </w:p>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2、投标人具有质量管理体系认证证书，提供证书复印件加盖公章得3分，不提供不得分。</w:t>
            </w:r>
          </w:p>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3、投标人具有环境管理体系认证证书，提供证书复印件加盖公章得3分，不提供不得分。</w:t>
            </w:r>
          </w:p>
          <w:p>
            <w:pPr>
              <w:tabs>
                <w:tab w:val="left" w:pos="5130"/>
              </w:tabs>
              <w:spacing w:before="0" w:after="0" w:line="360" w:lineRule="auto"/>
              <w:ind w:left="0" w:right="0" w:firstLine="0"/>
              <w:jc w:val="both"/>
              <w:rPr>
                <w:rFonts w:hint="default" w:ascii="宋体" w:hAnsi="宋体" w:eastAsia="宋体" w:cs="宋体"/>
                <w:color w:val="auto"/>
                <w:spacing w:val="0"/>
                <w:position w:val="0"/>
                <w:sz w:val="24"/>
                <w:highlight w:val="none"/>
                <w:shd w:val="clear" w:fill="auto"/>
                <w:lang w:val="en-US"/>
              </w:rPr>
            </w:pPr>
          </w:p>
        </w:tc>
      </w:tr>
      <w:tr>
        <w:tblPrEx>
          <w:tblCellMar>
            <w:top w:w="0" w:type="dxa"/>
            <w:left w:w="10" w:type="dxa"/>
            <w:bottom w:w="0" w:type="dxa"/>
            <w:right w:w="10" w:type="dxa"/>
          </w:tblCellMar>
        </w:tblPrEx>
        <w:trPr>
          <w:trHeight w:val="2837" w:hRule="atLeast"/>
          <w:jc w:val="center"/>
        </w:trPr>
        <w:tc>
          <w:tcPr>
            <w:tcW w:w="1543" w:type="dxa"/>
            <w:vMerge w:val="continue"/>
            <w:tcBorders>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p>
        </w:tc>
        <w:tc>
          <w:tcPr>
            <w:tcW w:w="153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eastAsia="宋体"/>
                <w:color w:val="auto"/>
                <w:sz w:val="24"/>
                <w:szCs w:val="24"/>
                <w:highlight w:val="none"/>
              </w:rPr>
              <w:t>售后服务承诺</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544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5"/>
              </w:numPr>
              <w:tabs>
                <w:tab w:val="left" w:pos="5130"/>
              </w:tabs>
              <w:spacing w:line="360" w:lineRule="auto"/>
              <w:rPr>
                <w:rFonts w:ascii="宋体" w:hAnsi="宋体" w:eastAsia="宋体" w:cs="宋体"/>
                <w:color w:val="auto"/>
                <w:spacing w:val="0"/>
                <w:position w:val="0"/>
                <w:sz w:val="24"/>
                <w:highlight w:val="none"/>
                <w:shd w:val="clear" w:fill="auto"/>
              </w:rPr>
            </w:pPr>
            <w:r>
              <w:rPr>
                <w:rFonts w:hint="eastAsia" w:ascii="宋体" w:hAnsi="宋体" w:eastAsia="宋体" w:cs="宋体"/>
                <w:color w:val="auto"/>
                <w:sz w:val="24"/>
                <w:highlight w:val="none"/>
                <w:lang w:val="en-US" w:eastAsia="zh-CN"/>
              </w:rPr>
              <w:t>提供</w:t>
            </w:r>
            <w:r>
              <w:rPr>
                <w:rFonts w:ascii="宋体" w:hAnsi="宋体" w:eastAsia="宋体" w:cs="宋体"/>
                <w:color w:val="auto"/>
                <w:sz w:val="24"/>
                <w:highlight w:val="none"/>
              </w:rPr>
              <w:t>免费质保</w:t>
            </w:r>
            <w:r>
              <w:rPr>
                <w:rFonts w:hint="eastAsia" w:ascii="Times New Roman" w:hAnsi="Times New Roman" w:eastAsia="宋体" w:cs="Times New Roman"/>
                <w:color w:val="auto"/>
                <w:highlight w:val="none"/>
                <w:shd w:val="clear" w:color="auto" w:fill="FFFFFF"/>
              </w:rPr>
              <w:t>1</w:t>
            </w:r>
            <w:r>
              <w:rPr>
                <w:rFonts w:ascii="宋体" w:hAnsi="宋体" w:eastAsia="宋体" w:cs="宋体"/>
                <w:color w:val="auto"/>
                <w:sz w:val="24"/>
                <w:highlight w:val="none"/>
              </w:rPr>
              <w:t>年,在接到采购方服务请求后，</w:t>
            </w:r>
            <w:r>
              <w:rPr>
                <w:rFonts w:hint="eastAsia" w:ascii="Times New Roman" w:hAnsi="Times New Roman" w:eastAsia="宋体" w:cs="Times New Roman"/>
                <w:color w:val="auto"/>
                <w:highlight w:val="none"/>
                <w:shd w:val="clear" w:color="auto" w:fill="FFFFFF"/>
                <w:lang w:val="en-US" w:eastAsia="zh-CN"/>
              </w:rPr>
              <w:t>12</w:t>
            </w:r>
            <w:r>
              <w:rPr>
                <w:rFonts w:ascii="宋体" w:hAnsi="宋体" w:eastAsia="宋体" w:cs="宋体"/>
                <w:color w:val="auto"/>
                <w:sz w:val="24"/>
                <w:highlight w:val="none"/>
              </w:rPr>
              <w:t>小时</w:t>
            </w:r>
            <w:r>
              <w:rPr>
                <w:rFonts w:hint="eastAsia" w:ascii="宋体" w:hAnsi="宋体" w:eastAsia="宋体" w:cs="宋体"/>
                <w:color w:val="auto"/>
                <w:sz w:val="24"/>
                <w:highlight w:val="none"/>
                <w:lang w:val="en-US" w:eastAsia="zh-CN"/>
              </w:rPr>
              <w:t>内</w:t>
            </w:r>
            <w:r>
              <w:rPr>
                <w:rFonts w:ascii="宋体" w:hAnsi="宋体" w:eastAsia="宋体" w:cs="宋体"/>
                <w:color w:val="auto"/>
                <w:sz w:val="24"/>
                <w:highlight w:val="none"/>
              </w:rPr>
              <w:t>响应，</w:t>
            </w:r>
            <w:r>
              <w:rPr>
                <w:rFonts w:hint="eastAsia" w:ascii="Times New Roman" w:hAnsi="Times New Roman" w:eastAsia="宋体" w:cs="Times New Roman"/>
                <w:color w:val="auto"/>
                <w:highlight w:val="none"/>
                <w:shd w:val="clear" w:color="auto" w:fill="FFFFFF"/>
                <w:lang w:val="en-US" w:eastAsia="zh-CN"/>
              </w:rPr>
              <w:t>24</w:t>
            </w:r>
            <w:r>
              <w:rPr>
                <w:rFonts w:ascii="宋体" w:hAnsi="宋体" w:eastAsia="宋体" w:cs="宋体"/>
                <w:color w:val="auto"/>
                <w:sz w:val="24"/>
                <w:highlight w:val="none"/>
              </w:rPr>
              <w:t>小时内上门解决问题；质保期内提供免费上门服务，</w:t>
            </w:r>
            <w:r>
              <w:rPr>
                <w:rFonts w:hint="eastAsia" w:ascii="宋体" w:hAnsi="宋体" w:eastAsia="宋体" w:cs="宋体"/>
                <w:color w:val="auto"/>
                <w:sz w:val="24"/>
                <w:highlight w:val="none"/>
                <w:lang w:val="en-US" w:eastAsia="zh-CN"/>
              </w:rPr>
              <w:t>服务承诺得4分，</w:t>
            </w:r>
            <w:r>
              <w:rPr>
                <w:rFonts w:hint="eastAsia" w:eastAsia="宋体"/>
                <w:color w:val="auto"/>
                <w:sz w:val="24"/>
                <w:szCs w:val="24"/>
                <w:highlight w:val="none"/>
              </w:rPr>
              <w:t>不提供不得分。</w:t>
            </w:r>
          </w:p>
          <w:p>
            <w:pPr>
              <w:numPr>
                <w:ilvl w:val="0"/>
                <w:numId w:val="25"/>
              </w:numPr>
              <w:tabs>
                <w:tab w:val="left" w:pos="5130"/>
              </w:tabs>
              <w:spacing w:line="360" w:lineRule="auto"/>
              <w:rPr>
                <w:rFonts w:ascii="宋体" w:hAnsi="宋体" w:eastAsia="宋体" w:cs="宋体"/>
                <w:color w:val="auto"/>
                <w:spacing w:val="0"/>
                <w:position w:val="0"/>
                <w:sz w:val="24"/>
                <w:highlight w:val="none"/>
                <w:shd w:val="clear" w:fill="auto"/>
              </w:rPr>
            </w:pPr>
            <w:r>
              <w:rPr>
                <w:rFonts w:hint="eastAsia" w:eastAsia="宋体"/>
                <w:color w:val="auto"/>
                <w:sz w:val="24"/>
                <w:szCs w:val="24"/>
                <w:highlight w:val="none"/>
                <w:lang w:eastAsia="zh-CN"/>
              </w:rPr>
              <w:t>提供</w:t>
            </w:r>
            <w:r>
              <w:rPr>
                <w:rFonts w:eastAsia="宋体"/>
                <w:color w:val="auto"/>
                <w:sz w:val="24"/>
                <w:szCs w:val="24"/>
                <w:highlight w:val="none"/>
              </w:rPr>
              <w:t>产品的售后服务，</w:t>
            </w:r>
            <w:r>
              <w:rPr>
                <w:rFonts w:hint="eastAsia" w:eastAsia="宋体"/>
                <w:color w:val="auto"/>
                <w:sz w:val="24"/>
                <w:szCs w:val="24"/>
                <w:highlight w:val="none"/>
                <w:lang w:eastAsia="zh-CN"/>
              </w:rPr>
              <w:t>提供</w:t>
            </w:r>
            <w:r>
              <w:rPr>
                <w:rFonts w:eastAsia="宋体"/>
                <w:color w:val="auto"/>
                <w:sz w:val="24"/>
                <w:szCs w:val="24"/>
                <w:highlight w:val="none"/>
              </w:rPr>
              <w:t>质保期内和质保期外的售后服务</w:t>
            </w:r>
            <w:r>
              <w:rPr>
                <w:rFonts w:hint="eastAsia" w:eastAsia="宋体"/>
                <w:color w:val="auto"/>
                <w:sz w:val="24"/>
                <w:szCs w:val="24"/>
                <w:highlight w:val="none"/>
                <w:lang w:eastAsia="zh-CN"/>
              </w:rPr>
              <w:t>及</w:t>
            </w:r>
            <w:r>
              <w:rPr>
                <w:rFonts w:eastAsia="宋体"/>
                <w:color w:val="auto"/>
                <w:sz w:val="24"/>
                <w:szCs w:val="24"/>
                <w:highlight w:val="none"/>
              </w:rPr>
              <w:t>解决</w:t>
            </w:r>
            <w:r>
              <w:rPr>
                <w:rFonts w:hint="eastAsia" w:eastAsia="宋体"/>
                <w:color w:val="auto"/>
                <w:sz w:val="24"/>
                <w:szCs w:val="24"/>
                <w:highlight w:val="none"/>
                <w:lang w:eastAsia="zh-CN"/>
              </w:rPr>
              <w:t>措施</w:t>
            </w:r>
            <w:r>
              <w:rPr>
                <w:rFonts w:hint="eastAsia" w:eastAsia="宋体"/>
                <w:color w:val="auto"/>
                <w:sz w:val="24"/>
                <w:szCs w:val="24"/>
                <w:highlight w:val="none"/>
              </w:rPr>
              <w:t>，</w:t>
            </w:r>
            <w:r>
              <w:rPr>
                <w:rFonts w:hint="eastAsia" w:eastAsia="宋体"/>
                <w:color w:val="auto"/>
                <w:sz w:val="24"/>
                <w:szCs w:val="24"/>
                <w:highlight w:val="none"/>
                <w:lang w:val="en-US" w:eastAsia="zh-CN"/>
              </w:rPr>
              <w:t>得3分，</w:t>
            </w:r>
            <w:r>
              <w:rPr>
                <w:rFonts w:hint="eastAsia" w:eastAsia="宋体"/>
                <w:color w:val="auto"/>
                <w:sz w:val="24"/>
                <w:szCs w:val="24"/>
                <w:highlight w:val="none"/>
              </w:rPr>
              <w:t>不提供不得分。</w:t>
            </w:r>
          </w:p>
          <w:p>
            <w:pPr>
              <w:tabs>
                <w:tab w:val="left" w:pos="5130"/>
              </w:tabs>
              <w:spacing w:before="0" w:after="0" w:line="360" w:lineRule="auto"/>
              <w:ind w:left="0" w:right="0" w:firstLine="0"/>
              <w:jc w:val="both"/>
              <w:rPr>
                <w:rFonts w:hint="default" w:ascii="宋体" w:hAnsi="宋体" w:eastAsia="宋体" w:cs="宋体"/>
                <w:color w:val="auto"/>
                <w:spacing w:val="0"/>
                <w:position w:val="0"/>
                <w:sz w:val="24"/>
                <w:highlight w:val="none"/>
                <w:shd w:val="clear" w:fill="auto"/>
                <w:lang w:val="en-US"/>
              </w:rPr>
            </w:pPr>
            <w:r>
              <w:rPr>
                <w:rFonts w:hint="eastAsia" w:ascii="宋体" w:hAnsi="宋体" w:eastAsia="宋体" w:cs="宋体"/>
                <w:color w:val="auto"/>
                <w:spacing w:val="0"/>
                <w:position w:val="0"/>
                <w:sz w:val="24"/>
                <w:highlight w:val="none"/>
                <w:shd w:val="clear" w:fill="auto"/>
                <w:lang w:val="en-US" w:eastAsia="zh-CN"/>
              </w:rPr>
              <w:t>3、</w:t>
            </w:r>
            <w:r>
              <w:rPr>
                <w:rFonts w:hint="eastAsia" w:ascii="宋体" w:hAnsi="宋体" w:eastAsia="宋体" w:cs="宋体"/>
                <w:color w:val="auto"/>
                <w:spacing w:val="0"/>
                <w:position w:val="0"/>
                <w:sz w:val="24"/>
                <w:highlight w:val="none"/>
                <w:shd w:val="clear" w:fill="auto"/>
              </w:rPr>
              <w:t>其他实质性服务承诺</w:t>
            </w:r>
            <w:r>
              <w:rPr>
                <w:rFonts w:hint="eastAsia" w:ascii="宋体" w:hAnsi="宋体" w:eastAsia="宋体" w:cs="宋体"/>
                <w:color w:val="auto"/>
                <w:spacing w:val="0"/>
                <w:position w:val="0"/>
                <w:sz w:val="24"/>
                <w:highlight w:val="none"/>
                <w:shd w:val="clear" w:fill="auto"/>
                <w:lang w:eastAsia="zh-CN"/>
              </w:rPr>
              <w:t>，</w:t>
            </w:r>
            <w:r>
              <w:rPr>
                <w:rFonts w:hint="eastAsia" w:eastAsia="宋体"/>
                <w:color w:val="auto"/>
                <w:sz w:val="24"/>
                <w:szCs w:val="24"/>
                <w:highlight w:val="none"/>
                <w:lang w:val="en-US" w:eastAsia="zh-CN"/>
              </w:rPr>
              <w:t>得3分，</w:t>
            </w:r>
            <w:r>
              <w:rPr>
                <w:rFonts w:hint="eastAsia" w:eastAsia="宋体"/>
                <w:color w:val="auto"/>
                <w:sz w:val="24"/>
                <w:szCs w:val="24"/>
                <w:highlight w:val="none"/>
              </w:rPr>
              <w:t>不提供不得分。</w:t>
            </w:r>
          </w:p>
        </w:tc>
      </w:tr>
      <w:tr>
        <w:tblPrEx>
          <w:tblCellMar>
            <w:top w:w="0" w:type="dxa"/>
            <w:left w:w="10" w:type="dxa"/>
            <w:bottom w:w="0" w:type="dxa"/>
            <w:right w:w="10" w:type="dxa"/>
          </w:tblCellMar>
        </w:tblPrEx>
        <w:trPr>
          <w:trHeight w:val="1734" w:hRule="atLeast"/>
          <w:jc w:val="center"/>
        </w:trPr>
        <w:tc>
          <w:tcPr>
            <w:tcW w:w="1543" w:type="dxa"/>
            <w:vMerge w:val="continue"/>
            <w:tcBorders>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p>
        </w:tc>
        <w:tc>
          <w:tcPr>
            <w:tcW w:w="1535"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类似业绩（6分）</w:t>
            </w:r>
          </w:p>
        </w:tc>
        <w:tc>
          <w:tcPr>
            <w:tcW w:w="544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5130"/>
              </w:tabs>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以提供</w:t>
            </w:r>
            <w:r>
              <w:rPr>
                <w:rFonts w:hint="eastAsia" w:ascii="宋体" w:hAnsi="宋体" w:eastAsia="宋体" w:cs="宋体"/>
                <w:color w:val="auto"/>
                <w:spacing w:val="0"/>
                <w:position w:val="0"/>
                <w:sz w:val="24"/>
                <w:highlight w:val="none"/>
                <w:shd w:val="clear" w:fill="auto"/>
                <w:lang w:val="en-US" w:eastAsia="zh-CN"/>
              </w:rPr>
              <w:t>类似</w:t>
            </w:r>
            <w:r>
              <w:rPr>
                <w:rFonts w:hint="eastAsia" w:ascii="宋体" w:hAnsi="宋体" w:eastAsia="宋体" w:cs="宋体"/>
                <w:color w:val="auto"/>
                <w:spacing w:val="0"/>
                <w:position w:val="0"/>
                <w:sz w:val="24"/>
                <w:highlight w:val="none"/>
                <w:shd w:val="clear" w:fill="auto"/>
              </w:rPr>
              <w:t>项目</w:t>
            </w:r>
            <w:r>
              <w:rPr>
                <w:rFonts w:hint="eastAsia" w:ascii="宋体" w:hAnsi="宋体" w:eastAsia="宋体" w:cs="宋体"/>
                <w:color w:val="auto"/>
                <w:spacing w:val="0"/>
                <w:position w:val="0"/>
                <w:sz w:val="24"/>
                <w:highlight w:val="none"/>
                <w:shd w:val="clear" w:fill="auto"/>
                <w:lang w:val="en-US" w:eastAsia="zh-CN"/>
              </w:rPr>
              <w:t>业绩</w:t>
            </w:r>
            <w:r>
              <w:rPr>
                <w:rFonts w:hint="eastAsia" w:ascii="宋体" w:hAnsi="宋体" w:eastAsia="宋体" w:cs="宋体"/>
                <w:color w:val="auto"/>
                <w:spacing w:val="0"/>
                <w:position w:val="0"/>
                <w:sz w:val="24"/>
                <w:highlight w:val="none"/>
                <w:shd w:val="clear" w:fill="auto"/>
              </w:rPr>
              <w:t>为准，每提供一套完整的业绩合同得</w:t>
            </w:r>
            <w:r>
              <w:rPr>
                <w:rFonts w:hint="eastAsia" w:ascii="宋体" w:hAnsi="宋体" w:eastAsia="宋体" w:cs="宋体"/>
                <w:color w:val="auto"/>
                <w:spacing w:val="0"/>
                <w:position w:val="0"/>
                <w:sz w:val="24"/>
                <w:highlight w:val="none"/>
                <w:shd w:val="clear" w:fill="auto"/>
                <w:lang w:val="en-US" w:eastAsia="zh-CN"/>
              </w:rPr>
              <w:t>3</w:t>
            </w:r>
            <w:r>
              <w:rPr>
                <w:rFonts w:hint="eastAsia" w:ascii="宋体" w:hAnsi="宋体" w:eastAsia="宋体" w:cs="宋体"/>
                <w:color w:val="auto"/>
                <w:spacing w:val="0"/>
                <w:position w:val="0"/>
                <w:sz w:val="24"/>
                <w:highlight w:val="none"/>
                <w:shd w:val="clear" w:fill="auto"/>
              </w:rPr>
              <w:t>分</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最高得6分，不提供不得分，业绩合同</w:t>
            </w:r>
            <w:r>
              <w:rPr>
                <w:rFonts w:hint="eastAsia" w:ascii="宋体" w:hAnsi="宋体" w:eastAsia="宋体" w:cs="宋体"/>
                <w:color w:val="auto"/>
                <w:spacing w:val="0"/>
                <w:position w:val="0"/>
                <w:sz w:val="24"/>
                <w:highlight w:val="none"/>
                <w:shd w:val="clear" w:fill="auto"/>
              </w:rPr>
              <w:t>类别不符合要求，总金额不清晰的均无效。</w:t>
            </w:r>
          </w:p>
          <w:p>
            <w:pPr>
              <w:tabs>
                <w:tab w:val="left" w:pos="5130"/>
              </w:tabs>
              <w:spacing w:before="0" w:after="0" w:line="360" w:lineRule="auto"/>
              <w:ind w:left="0" w:right="0" w:firstLine="0"/>
              <w:jc w:val="both"/>
              <w:rPr>
                <w:rFonts w:hint="default"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备注：完整的业绩是指中标通知书、合同、验收资料。</w:t>
            </w:r>
          </w:p>
        </w:tc>
      </w:tr>
    </w:tbl>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最终得分为磋商小组所有成员计分的算术平均值，计算保留小数点两位，小数点后第三位四舍五入。</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22.3磋商小组根据综合评分情况，按照评审得分由高到低顺序推荐成交候选供应商，并编写评审报告。综合得分相同的供应商，报价较低者优先；报价也相同的，由采购人自行确定。</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22.5若供应商的报价高于项目预算，磋商小组有权根据采购人意见及其实际情况，拒绝该报价。</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22.7在竞争性磋商期间，供应商不得向竞争性磋商小组成员询问其它供应商竞争性磋商情况，不得进行旨在影响成交结果的活动。</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22.8在竞争性磋商期间，采购人将有专门人员与供应商进行联络。</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23.竞争性磋商终止</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23.1出现下列情形之一时，采购人有权宣布竞争性磋商终止，并将理由通知所有供应商：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（1）因情况变化，不再符合竞争性磋商适用情形的；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（2）出现影响采购公正的违法、违规行为的；</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（3）在采购过程中符合磋商文件要求的供应商不足3家的；</w:t>
      </w:r>
    </w:p>
    <w:p>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（4）在采购活动中因重大变故，采购任务取消的；</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七、成交通知</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24.成交通知</w:t>
      </w:r>
    </w:p>
    <w:p>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24.1在发出成交公告后请采购人、中标人登录周口市公共资源交易中心网（http://jyzx.zhoukou.gov.cn）自行下载成交通知书，成交通知书将作为签订合同的依据。</w:t>
      </w:r>
    </w:p>
    <w:p>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24.2成交通知书对采购人和成交供应商具有同等法律效力。成交通知书发出后，采购人改变成交结果，或者成交供应商放弃成交，应当承担相应的法律责任。</w:t>
      </w:r>
    </w:p>
    <w:p>
      <w:pPr>
        <w:spacing w:before="0" w:after="0" w:line="72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八、合同授予</w:t>
      </w:r>
    </w:p>
    <w:p>
      <w:pPr>
        <w:tabs>
          <w:tab w:val="left" w:pos="162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25.签订合同及合同的执行</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25.1采购人、成交供应商按照竞争性磋商文件确定的合同文本签订政府采购合同。</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25.2采购人不得向成交供应商提出超过竞争性磋商文件以外的任何要求作为签订合同的条件，不得与成交供应商订立背离竞争性磋商文件确定的合同文本协议。</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九、质疑处理</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26.质疑程序及处理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26.1供应商认为采购过程、成交结果使自己的合法权益受到损害的，可以在知道或应当知道自己的权益受到损害之日起7个工作日内，由投标人授权代表（或法人代表）按照相关规定，</w:t>
      </w:r>
      <w:r>
        <w:rPr>
          <w:rFonts w:hint="eastAsia" w:ascii="宋体" w:hAnsi="宋体" w:eastAsia="宋体" w:cs="宋体"/>
          <w:color w:val="auto"/>
          <w:spacing w:val="0"/>
          <w:position w:val="0"/>
          <w:sz w:val="24"/>
          <w:highlight w:val="none"/>
          <w:shd w:val="clear" w:fill="auto"/>
          <w:lang w:eastAsia="zh-CN"/>
        </w:rPr>
        <w:t>一次性</w:t>
      </w:r>
      <w:r>
        <w:rPr>
          <w:rFonts w:ascii="宋体" w:hAnsi="宋体" w:eastAsia="宋体" w:cs="宋体"/>
          <w:color w:val="auto"/>
          <w:spacing w:val="0"/>
          <w:position w:val="0"/>
          <w:sz w:val="24"/>
          <w:highlight w:val="none"/>
          <w:shd w:val="clear" w:fill="auto"/>
        </w:rPr>
        <w:t>向采购人提出质疑，逾期不予受理。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26.2采购人在收到供应商的书面质疑后七个工作日内做出答复，并以书面形式通知质疑供应商和其他供应商，但答复内容不得涉及商业秘密。</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26.3质疑供应商行使质疑权时，必须遵守“实事求是”和“谨慎性”原则，承担使用虚假材料或恶意方式质疑的法律责任，采购人将遵循“谁过错谁负担”的原则，由过错方提交相关的调查论证费用。</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before="0" w:after="0" w:line="240" w:lineRule="auto"/>
        <w:ind w:left="0" w:right="0" w:firstLine="0"/>
        <w:jc w:val="center"/>
        <w:rPr>
          <w:rFonts w:ascii="宋体" w:hAnsi="宋体" w:eastAsia="宋体" w:cs="宋体"/>
          <w:b/>
          <w:color w:val="auto"/>
          <w:spacing w:val="0"/>
          <w:position w:val="0"/>
          <w:sz w:val="24"/>
          <w:highlight w:val="none"/>
          <w:shd w:val="clear" w:fill="auto"/>
        </w:rPr>
        <w:sectPr>
          <w:pgSz w:w="11906" w:h="16838"/>
          <w:cols w:space="720" w:num="1"/>
          <w:docGrid w:type="lines" w:linePitch="312" w:charSpace="0"/>
        </w:sectPr>
      </w:pPr>
    </w:p>
    <w:p>
      <w:pPr>
        <w:spacing w:before="0" w:after="0" w:line="24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第三章 采购项目内容及要求</w:t>
      </w:r>
    </w:p>
    <w:p>
      <w:pPr>
        <w:numPr>
          <w:ilvl w:val="0"/>
          <w:numId w:val="26"/>
        </w:numPr>
        <w:spacing w:before="0" w:after="0" w:line="480" w:lineRule="auto"/>
        <w:ind w:left="350" w:right="0" w:firstLine="0"/>
        <w:jc w:val="both"/>
        <w:rPr>
          <w:rFonts w:hint="eastAsia" w:asciiTheme="minorEastAsia" w:hAnsiTheme="minorEastAsia" w:eastAsiaTheme="minorEastAsia" w:cstheme="minorEastAsia"/>
          <w:color w:val="auto"/>
          <w:sz w:val="28"/>
          <w:szCs w:val="28"/>
          <w:highlight w:val="none"/>
          <w:vertAlign w:val="baseline"/>
          <w:lang w:val="en-US" w:eastAsia="zh-CN"/>
        </w:rPr>
      </w:pPr>
      <w:r>
        <w:rPr>
          <w:rFonts w:ascii="宋体" w:hAnsi="宋体" w:eastAsia="宋体" w:cs="宋体"/>
          <w:color w:val="auto"/>
          <w:spacing w:val="0"/>
          <w:position w:val="0"/>
          <w:sz w:val="24"/>
          <w:highlight w:val="none"/>
          <w:shd w:val="clear" w:fill="auto"/>
        </w:rPr>
        <w:t>本项目采购内容：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275"/>
        <w:gridCol w:w="580"/>
        <w:gridCol w:w="5413"/>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1805"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单项名称</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单位</w:t>
            </w:r>
          </w:p>
        </w:tc>
        <w:tc>
          <w:tcPr>
            <w:tcW w:w="7007"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技术参数</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805" w:type="dxa"/>
            <w:vAlign w:val="center"/>
          </w:tcPr>
          <w:p>
            <w:pPr>
              <w:jc w:val="center"/>
              <w:rPr>
                <w:rFonts w:hint="default" w:eastAsiaTheme="minorEastAsia"/>
                <w:color w:val="auto"/>
                <w:sz w:val="21"/>
                <w:szCs w:val="21"/>
                <w:highlight w:val="none"/>
                <w:vertAlign w:val="baseline"/>
                <w:lang w:val="en-US" w:eastAsia="zh-CN"/>
              </w:rPr>
            </w:pPr>
            <w:r>
              <w:rPr>
                <w:rFonts w:hint="default" w:eastAsiaTheme="minorEastAsia"/>
                <w:color w:val="auto"/>
                <w:sz w:val="21"/>
                <w:szCs w:val="21"/>
                <w:highlight w:val="none"/>
                <w:vertAlign w:val="baseline"/>
                <w:lang w:val="en-US" w:eastAsia="zh-CN"/>
              </w:rPr>
              <w:t>个体咨询沙发</w:t>
            </w:r>
          </w:p>
        </w:tc>
        <w:tc>
          <w:tcPr>
            <w:tcW w:w="638"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1、沙发：总宽90cm、坐高38cm、坐深60cm、总高75cm。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2、茶几：方形，密度板，长140cm左右。</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3、材质：优质植绒面料、皮革，实木框架，内置海绵。</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4、变量：根据实际装修场景配置颜色。</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心理学阅读书籍</w:t>
            </w:r>
          </w:p>
        </w:tc>
        <w:tc>
          <w:tcPr>
            <w:tcW w:w="638" w:type="dxa"/>
            <w:vAlign w:val="center"/>
          </w:tcPr>
          <w:p>
            <w:pPr>
              <w:jc w:val="center"/>
              <w:rPr>
                <w:color w:val="auto"/>
                <w:sz w:val="21"/>
                <w:szCs w:val="21"/>
                <w:highlight w:val="none"/>
                <w:vertAlign w:val="baseline"/>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sz w:val="21"/>
                <w:szCs w:val="21"/>
                <w:highlight w:val="none"/>
                <w:vertAlign w:val="baseline"/>
              </w:rPr>
            </w:pPr>
            <w:r>
              <w:rPr>
                <w:rFonts w:hint="eastAsia"/>
                <w:color w:val="auto"/>
                <w:sz w:val="21"/>
                <w:szCs w:val="21"/>
                <w:highlight w:val="none"/>
                <w:vertAlign w:val="baseline"/>
              </w:rPr>
              <w:t>阅览书籍是针对中学生阶段心理需求定制的书籍</w:t>
            </w:r>
            <w:r>
              <w:rPr>
                <w:rFonts w:hint="eastAsia"/>
                <w:color w:val="auto"/>
                <w:sz w:val="21"/>
                <w:szCs w:val="21"/>
                <w:highlight w:val="none"/>
                <w:vertAlign w:val="baseline"/>
                <w:lang w:eastAsia="zh-CN"/>
              </w:rPr>
              <w:t>，</w:t>
            </w:r>
            <w:r>
              <w:rPr>
                <w:rFonts w:hint="eastAsia"/>
                <w:color w:val="auto"/>
                <w:sz w:val="21"/>
                <w:szCs w:val="21"/>
                <w:highlight w:val="none"/>
                <w:vertAlign w:val="baseline"/>
              </w:rPr>
              <w:t>根据实际需求配置书单。</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饮水机</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冷热式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制热量： L/h:4L/h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制冷量 L/h:0.6L/h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额定频率（Hz） :50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额定电压(v):220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加热功率（w） :495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sz w:val="21"/>
                <w:szCs w:val="21"/>
                <w:highlight w:val="none"/>
                <w:vertAlign w:val="baseline"/>
              </w:rPr>
            </w:pPr>
            <w:r>
              <w:rPr>
                <w:rFonts w:hint="eastAsia"/>
                <w:color w:val="auto"/>
                <w:sz w:val="21"/>
                <w:szCs w:val="21"/>
                <w:highlight w:val="none"/>
                <w:vertAlign w:val="baseline"/>
              </w:rPr>
              <w:t>制冷功率（w） :75</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805"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书柜</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rPr>
              <w:t>胡桃木或浅胡桃木色调，简约风格.材质为环保木质颗粒板，120*180柜子，款式根据实际效果配置款式</w:t>
            </w:r>
            <w:r>
              <w:rPr>
                <w:rFonts w:hint="eastAsia"/>
                <w:color w:val="auto"/>
                <w:sz w:val="21"/>
                <w:szCs w:val="21"/>
                <w:highlight w:val="none"/>
                <w:vertAlign w:val="baseline"/>
                <w:lang w:eastAsia="zh-CN"/>
              </w:rPr>
              <w:t>。</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805"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color w:val="auto"/>
                <w:sz w:val="21"/>
                <w:szCs w:val="21"/>
                <w:highlight w:val="none"/>
                <w:vertAlign w:val="baseline"/>
                <w:lang w:val="en-US" w:eastAsia="zh-CN"/>
              </w:rPr>
              <w:t>办公桌椅</w:t>
            </w:r>
          </w:p>
        </w:tc>
        <w:tc>
          <w:tcPr>
            <w:tcW w:w="638" w:type="dxa"/>
            <w:vAlign w:val="center"/>
          </w:tcPr>
          <w:p>
            <w:pPr>
              <w:jc w:val="center"/>
              <w:rPr>
                <w:color w:val="auto"/>
                <w:sz w:val="21"/>
                <w:szCs w:val="21"/>
                <w:highlight w:val="none"/>
                <w:vertAlign w:val="baseline"/>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rPr>
              <w:t>简约风格，木质结构，带抽屉</w:t>
            </w:r>
            <w:r>
              <w:rPr>
                <w:rFonts w:hint="eastAsia"/>
                <w:color w:val="auto"/>
                <w:sz w:val="21"/>
                <w:szCs w:val="21"/>
                <w:highlight w:val="none"/>
                <w:vertAlign w:val="baseline"/>
                <w:lang w:eastAsia="zh-CN"/>
              </w:rPr>
              <w:t>，根据实际效果配置款式。</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三人位接待沙发套装</w:t>
            </w:r>
          </w:p>
        </w:tc>
        <w:tc>
          <w:tcPr>
            <w:tcW w:w="638" w:type="dxa"/>
            <w:vAlign w:val="center"/>
          </w:tcPr>
          <w:p>
            <w:pPr>
              <w:jc w:val="center"/>
              <w:rPr>
                <w:color w:val="auto"/>
                <w:sz w:val="21"/>
                <w:szCs w:val="21"/>
                <w:highlight w:val="none"/>
                <w:vertAlign w:val="baseline"/>
              </w:rPr>
            </w:pPr>
            <w:r>
              <w:rPr>
                <w:rFonts w:hint="eastAsia"/>
                <w:color w:val="auto"/>
                <w:sz w:val="21"/>
                <w:szCs w:val="21"/>
                <w:highlight w:val="none"/>
                <w:vertAlign w:val="baseline"/>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sz w:val="21"/>
                <w:szCs w:val="21"/>
                <w:highlight w:val="none"/>
                <w:vertAlign w:val="baseline"/>
              </w:rPr>
            </w:pPr>
            <w:r>
              <w:rPr>
                <w:rFonts w:hint="eastAsia"/>
                <w:color w:val="auto"/>
                <w:sz w:val="21"/>
                <w:szCs w:val="21"/>
                <w:highlight w:val="none"/>
                <w:vertAlign w:val="baseline"/>
              </w:rPr>
              <w:t>皮U，或科技布面料，木质结构，填充物为高弹力海绵，尺寸：190*80*80cm 带茶几；尺寸；60*120cm 颜色为暖色调，茶几：140*70cm</w:t>
            </w:r>
            <w:r>
              <w:rPr>
                <w:rFonts w:hint="eastAsia"/>
                <w:color w:val="auto"/>
                <w:sz w:val="21"/>
                <w:szCs w:val="21"/>
                <w:highlight w:val="none"/>
                <w:vertAlign w:val="baseline"/>
                <w:lang w:eastAsia="zh-CN"/>
              </w:rPr>
              <w:t>，</w:t>
            </w:r>
            <w:r>
              <w:rPr>
                <w:rFonts w:hint="eastAsia"/>
                <w:color w:val="auto"/>
                <w:sz w:val="21"/>
                <w:szCs w:val="21"/>
                <w:highlight w:val="none"/>
                <w:vertAlign w:val="baseline"/>
              </w:rPr>
              <w:t>依据整体风格配置款式。</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心理自助一体机</w:t>
            </w:r>
          </w:p>
        </w:tc>
        <w:tc>
          <w:tcPr>
            <w:tcW w:w="638" w:type="dxa"/>
            <w:vAlign w:val="center"/>
          </w:tcPr>
          <w:p>
            <w:pPr>
              <w:jc w:val="center"/>
              <w:rPr>
                <w:color w:val="auto"/>
                <w:sz w:val="21"/>
                <w:szCs w:val="21"/>
                <w:highlight w:val="none"/>
                <w:vertAlign w:val="baseline"/>
              </w:rPr>
            </w:pPr>
            <w:r>
              <w:rPr>
                <w:rFonts w:hint="eastAsia"/>
                <w:color w:val="auto"/>
                <w:sz w:val="21"/>
                <w:szCs w:val="21"/>
                <w:highlight w:val="none"/>
                <w:vertAlign w:val="baseline"/>
              </w:rPr>
              <w:t>台</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心理自助一体机是心理咨询中心必备的一款操作简易、实用性强的新概念人机交互设备，通过集合心理学、计算机、互联网、多媒体、机械制造、工艺设计等领域最新技术，由人机交互触摸硬件设备、心理自助服务系统、影音多媒体资源库等组成，是全面建设心理咨询中心、更好开展心理辅导工作、提升团体综合心理水平的“智能心理导师”。</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一、25大功能模块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1.心理百科； 2.团辅方案； 3.心理游戏； 4.心理影院； 5.心理调节； 6.心理音乐； 7.心理咨询师； 8.心理预约等25大功能模块。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二、系统功能特点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w:t>
            </w:r>
            <w:r>
              <w:rPr>
                <w:rFonts w:hint="eastAsia"/>
                <w:color w:val="auto"/>
                <w:sz w:val="21"/>
                <w:szCs w:val="21"/>
                <w:highlight w:val="none"/>
                <w:vertAlign w:val="baseline"/>
                <w:lang w:val="en-US" w:eastAsia="zh-CN"/>
              </w:rPr>
              <w:t>▲</w:t>
            </w:r>
            <w:r>
              <w:rPr>
                <w:rFonts w:hint="eastAsia"/>
                <w:color w:val="auto"/>
                <w:sz w:val="21"/>
                <w:szCs w:val="21"/>
                <w:highlight w:val="none"/>
                <w:vertAlign w:val="baseline"/>
              </w:rPr>
              <w:t>1、系统包含心理行为综合评定、个性因素与气质评定、自我能力评定、社会功能与适应能力评定、学生心理行为评定、生活事件与应付方式评定、情绪评定等七大项不低于30份专业相关量表。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w:t>
            </w:r>
            <w:r>
              <w:rPr>
                <w:rFonts w:hint="eastAsia"/>
                <w:color w:val="auto"/>
                <w:sz w:val="21"/>
                <w:szCs w:val="21"/>
                <w:highlight w:val="none"/>
                <w:vertAlign w:val="baseline"/>
                <w:lang w:val="en-US" w:eastAsia="zh-CN"/>
              </w:rPr>
              <w:t>▲</w:t>
            </w:r>
            <w:r>
              <w:rPr>
                <w:rFonts w:hint="eastAsia"/>
                <w:color w:val="auto"/>
                <w:sz w:val="21"/>
                <w:szCs w:val="21"/>
                <w:highlight w:val="none"/>
                <w:vertAlign w:val="baseline"/>
              </w:rPr>
              <w:t xml:space="preserve"> 2、系统具有综合潜能开发训练模块，具体包含：</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（1）注意力训练：包含注意力集中训练、注意力及视觉反应训练、注意力及运动反应训练等；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（2）自我成长：怎样使心胸开阔、奥赛罗综合征、阿斯伯格综合征、彼得潘综合征、自制力等15个；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（3）心理游戏：放松趣味游戏、眼力游戏、视觉反应速度游戏、手眼协调游戏、逻辑思维游戏、空间思维游戏练、手眼协调与空间知觉游戏等；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（4）团体辅导方案：个性名片、我说你画、风雨同行、资源共享、头脑风暴、时间分割、高空飞蛋、平面魔方、价值拍卖、目标搜索、同舟共济等80个团体游戏。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3、用户可根据自身特点任意创建和修改栏目，适合本单位题材。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栏目内容支持声音和图像：可通过图文、动画的形式展示各功能室的特点与用途，让来访者能很快的选择符合自己的功能室。可播放与心理相关的图片、音乐及视频，通过各种方式加强对心理学的了解认识，以至达到提高心理素质的目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5、系统可自动记录并生成用户的档案资料，并自动汇总和生成用户的心理曲线，时时反应用户的使用效果。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6、系统设置有开放平台，允许用户自行发布自己的心得、感悟、短文、图片等内容，大大增强了系统的互动性和开放性。</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三、硬件系统：</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1、触摸屏32英寸，触摸寿命5000万次；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2、分辨率:1280*1024；</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3、主机配置：intelI3主板；双核1.8G CPU；双核；2G内存、32G固态硬盘；外置接口（USB*1、音频输入、音频输出、RJ45网络）；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4、机身尺寸：长57*宽44*高148（CM）；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5、表面处理：钢制机壳，金属烤漆；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6、温度：+0℃~+40℃；湿度：40%~80%（相对非减压）；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7、工作寿命：1200万次以上（单点击）；重量：52KG；</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8、电压：AC220V±10% 50HZ±1HZ；功率：&lt;200W；开机瞬间电流3A；</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9、音响：立体声环绕功放系统；多媒体：集音频、视频、图像管理于一体。</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10、依据实际需求调整展示页面。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w:t>
            </w:r>
            <w:r>
              <w:rPr>
                <w:rFonts w:hint="eastAsia"/>
                <w:color w:val="auto"/>
                <w:sz w:val="21"/>
                <w:szCs w:val="21"/>
                <w:highlight w:val="none"/>
                <w:vertAlign w:val="baseline"/>
                <w:lang w:val="en-US" w:eastAsia="zh-CN"/>
              </w:rPr>
              <w:t>11、提供心理自助管理系统计算机著作权证书。</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8" w:hRule="atLeast"/>
        </w:trPr>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心理沙盘</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沙盘游戏又称箱庭游戏，是国际上很流行的心理治疗方法。它被广泛应用于不同年龄阶段、不同职业人群得心理治疗，通过唤起童心，让人们找到了回归心灵的途径，进而身心失调、社会适应不良、人格发展障碍等问题在沙盘中得以化解。</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lang w:eastAsia="zh-CN"/>
              </w:rPr>
            </w:pPr>
            <w:r>
              <w:rPr>
                <w:rFonts w:hint="eastAsia"/>
                <w:color w:val="auto"/>
                <w:sz w:val="21"/>
                <w:szCs w:val="21"/>
                <w:highlight w:val="none"/>
                <w:vertAlign w:val="baseline"/>
              </w:rPr>
              <w:t>原创性沙具意象组合，内含专业原型结构，类型包括神灵类、埃及文化类、图腾文化类、印度文化类、基督文化类、佛教文化类、家庭人物类、普通人物类、职业人物类、风俗类、卡通动漫类、魔幻意象类、怪兽精灵类、军事类、日常用品类、食物食品类、房屋建筑类、材料类、交通类、阴影意象类、野生动物类、飞禽昆虫类、花草树木类、自然物质类、经典人物类、童话人物类、家居设施类、服装服饰类、餐具厨具类、乐器类、颜色几何图形类等；沙盘四件套，沙盘记录表30张，沙盘指导手册1本</w:t>
            </w:r>
            <w:r>
              <w:rPr>
                <w:rFonts w:hint="eastAsia"/>
                <w:color w:val="auto"/>
                <w:sz w:val="21"/>
                <w:szCs w:val="21"/>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rPr>
              <w:t>诸如蝴蝶，小鸟，天使，星空，太阳 等沙具必须立体置于沙盘上方20-50cm.高度可根据沙盘制作者需要进行调整</w:t>
            </w:r>
            <w:r>
              <w:rPr>
                <w:rFonts w:hint="eastAsia"/>
                <w:color w:val="auto"/>
                <w:sz w:val="21"/>
                <w:szCs w:val="21"/>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lang w:eastAsia="zh-CN"/>
              </w:rPr>
            </w:pPr>
            <w:r>
              <w:rPr>
                <w:rFonts w:hint="eastAsia"/>
                <w:color w:val="auto"/>
                <w:sz w:val="21"/>
                <w:szCs w:val="21"/>
                <w:highlight w:val="none"/>
                <w:vertAlign w:val="baseline"/>
              </w:rPr>
              <w:t>★</w:t>
            </w:r>
            <w:r>
              <w:rPr>
                <w:rFonts w:hint="eastAsia"/>
                <w:color w:val="auto"/>
                <w:sz w:val="21"/>
                <w:szCs w:val="21"/>
                <w:highlight w:val="none"/>
                <w:vertAlign w:val="baseline"/>
                <w:lang w:val="en-US" w:eastAsia="zh-CN"/>
              </w:rPr>
              <w:t>提供</w:t>
            </w:r>
            <w:r>
              <w:rPr>
                <w:rFonts w:hint="eastAsia"/>
                <w:color w:val="auto"/>
                <w:sz w:val="21"/>
                <w:szCs w:val="21"/>
                <w:highlight w:val="none"/>
                <w:vertAlign w:val="baseline"/>
                <w:lang w:eastAsia="zh-CN"/>
              </w:rPr>
              <w:t>心理沙盘、</w:t>
            </w:r>
            <w:r>
              <w:rPr>
                <w:rFonts w:hint="eastAsia"/>
                <w:color w:val="auto"/>
                <w:sz w:val="21"/>
                <w:szCs w:val="21"/>
                <w:highlight w:val="none"/>
                <w:vertAlign w:val="baseline"/>
                <w:lang w:val="en-US" w:eastAsia="zh-CN"/>
              </w:rPr>
              <w:t>沙具（至少5项沙具）</w:t>
            </w:r>
            <w:r>
              <w:rPr>
                <w:rFonts w:hint="eastAsia"/>
                <w:color w:val="auto"/>
                <w:sz w:val="21"/>
                <w:szCs w:val="21"/>
                <w:highlight w:val="none"/>
                <w:vertAlign w:val="baseline"/>
                <w:lang w:eastAsia="zh-CN"/>
              </w:rPr>
              <w:t>检测报告、心理学分析用立体沙盘发明专利证书</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沙盘管理软件</w:t>
            </w:r>
          </w:p>
        </w:tc>
        <w:tc>
          <w:tcPr>
            <w:tcW w:w="638" w:type="dxa"/>
            <w:vAlign w:val="center"/>
          </w:tcPr>
          <w:p>
            <w:pPr>
              <w:jc w:val="center"/>
              <w:rPr>
                <w:color w:val="auto"/>
                <w:sz w:val="21"/>
                <w:szCs w:val="21"/>
                <w:highlight w:val="none"/>
                <w:vertAlign w:val="baseline"/>
              </w:rPr>
            </w:pP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心理沙盘管理系统是配合心理沙盘进行心理教育、心理咨询、心理辅导的管理软件。该软件可以存储记录来访者在沙盘游戏过程中的图片和视频资料，以量化、详细地呈现其来访者在心理沙盘疗法过程中的心理历程。系统包含人员管理、沙具管理、个人或团体档案管理、预约管理、分析帮助等，为心理咨询师的日常咨询工作提供了专业和标准化的平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一、功能模块说明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1、人员管理：系统提供沙盘实操作人员的信息管理功能，管理员可以通过多种方式将沙盘实操人员的相关信息批量导入到系统中，管理员可以通过查询沙盘人员的快速查询人员的沙盘操作档案。</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2、沙具管理：系统实现对沙具的按类别管理，各沙具的添加、象征意义的描述分析、各沙具类别数量的统计等。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个人或团体档案管理：可设置多个管理员，完成对个体来访者的沙盘治疗过程和团体来访者的沙盘治疗过程进行存档管理，并提供查询的功能。档案内容包含沙盘作品的主题、内容、构成、沙的使用、总体印象、创作过程的视频、作品照片、咨询师分析等方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4、预约管理：通过系统此功能，咨询者可以查看所有咨询师的相关信息、预约咨询、查看预约结果；同时，咨询师也可以在管理端对有需要的咨询者进行统一的安排和管理，根据预约情况进行相应的处理。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5、分析帮助：系统提供沙具的分析帮助功能，帮助咨询师更快地了解各沙具的象征意义。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内嵌意象词典：软件内嵌有沙具原型意象词典，教师可自主查询人物类、动物类、植物类、建筑类、交通工具类、家居生活类、军事类等不少于15大类54小类沙具的原型意象解释。每件沙具需包含沙具的名称、沙具的图片、沙具介绍以及来访者赋予沙具的意义介绍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7、详细数据存储：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（1）系统可以存储记录个体沙盘游戏与团体沙盘游戏案例，包含个人基本信息；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（2）来访情况记录（管理员可以通过系统进行来访者使用沙具的详细备注，包括使用哪些沙具、来访者的感受等）等；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（3）能够输入不同角度拍摄的沙盘图片；</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rPr>
              <w:t xml:space="preserve">   （4）案例资料可以自动生成并导出WORD版本的案例报告。包含沙盘游戏的操作方法，沙盘游戏的主题分析等专业知识。</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职业生涯规划系统</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本软件基于心理学、行为学、社会学等学科原理，结合现实社会，通过对中学生进行包括就业心理测评、职业定位测评、综合素质测评、性格气质测评、职业发展测评、职业潜能测评等多项职业发展要素进行系统评估，以全面发掘受试者的职业兴趣、性格特征和职业能力倾向，快速定位被测者的潜在竞争优势和能充分发挥受试者优势的职业和岗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一、众心职业测评报告的特点：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1、可以帮助被测者根据自己的性格、能力来确定自己的职业生涯发展规划；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2、帮助被测者确定职业目标，尽可能的发挥出自己最大的职业潜能；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3、多角度专业化的职业评测维度可以帮助测评者快速认识自身的短板以便更有针性的进行调整。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二、系统部分功能模块简介：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1、完善的测评功能：测评功能分为普查模式和日常测试模式两种；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（1）普查模式：管理员可针对所有学生设置独立的普查测评量表，可以快速的对所有学生进行统一普查，所有测评结果都将自动保存到学生的测评纪录中，便于日后随时调阅查看；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（2）日常测试模式：由管理员根据每次不同的筛查要求设置出与之相应的测评分类和测评量表，所有参与测试的人员既可以单独完成也可以统一进行测评。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2、生涯测评：生涯测评采用专业的“能力测验”、“性格测评”、“职业能力测试”、“职业价值观”、“职业兴趣”、“职业锚”等测评工具，全面评估被测者的职业生涯。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3、职业探索：系统提供各大学的介绍、各大学学科分类及专业相关介绍等。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4、选科决策：对学生的学科兴趣、学科能力、未来的专业方向进行综合评估，快速为学生挑选最佳科目及选科建议。</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5、考试规划：系统支持学生自行制定自己的考试计划，班主任及老师可以根据学生的规划给予指导与评价。</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6、成长记录：用于记录学生从校内活动、校外实践、选修课、实验课、社团、研究性学习、游学体验、荣誉称号、担任职务等多方面详细记录学生的个人成长轨迹，教师对学生的成长发展给予指导与评价。</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三、硬件参数：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1、材质：环保型ABS工程塑料材质；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2、特点：抗振动、抗静电、耐酸碱；</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3、尺寸：650*460*850cm；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4、内存：4G；</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5、配置：22寸显示器；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6、CPU：I3处理器；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7、硬盘：128G固态硬盘；</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8、底部设计：底部有4寸高级制动轮，方便移动。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四、产品配套：</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1.职业规划系统软件1套； 2.工作台1套； 3.电脑操作系统1套； 4.加密狗1个； 5.产品说明书1本。</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w:t>
            </w:r>
            <w:r>
              <w:rPr>
                <w:rFonts w:hint="eastAsia"/>
                <w:color w:val="auto"/>
                <w:sz w:val="21"/>
                <w:szCs w:val="21"/>
                <w:highlight w:val="none"/>
                <w:vertAlign w:val="baseline"/>
                <w:lang w:val="en-US" w:eastAsia="zh-CN"/>
              </w:rPr>
              <w:t>提供学生职业生涯规划管理软件v3.0计算机软件著作权登记证书。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心理绘画一体机</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一、产品功能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1、测验过程采用软件统一选择管理，数据统计一电脑汇总统计，报告自动得出。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2、专业的绘画投射测验，突破语言交流的局限，避开测试者的理性意识，适用于不善于语言表达或是不愿意表达以及防御性强的来访者。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3、提供咨询师自由联想问题提问，专业化应用房树人测验，进一步了解被测者内心和潜意识，充分发挥投射测验功效。其中“房”联想题目、“树”联想题目、、“人”联想题目均不少于20道。</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4、测验完成后可以迅速生成报告，根据大量客户实际验证数据资料首次推出初步心理分析诊断。测验项目更少受到文化、教育背景或生活环境的影响。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5、报告必须包括图形描述性报告和心理分析报告。</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6、心理话题，介绍各类心理艺术治疗的相关心理知识，初带30条心理主题知识，管理员可以在后台进行增减，操作简单。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房树人测试，可以在线绘画，也可以将画好的图上传到系统中，系统提供100多项房树人模型选项，根据绘制好的图纸直接进行选择，不用填空式描述，选完提交后自动生成测试结果并进行永久性储存直至删除，方便回顾自我心灵成长历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8、测试档案，详细的记录学生自己的房树人测试、色彩人格测试的结果，方便学生随时查看，报告内容包括：学生基本信息、房树人绘图色彩人格卡、测试结果及结果解释。</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9、画册，同步记录所有房树人测试时上传或者是在线绘制的房树人图画，直观记录学生的心灵成长路程。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10、色彩人格档案管理，批量维护色彩人格测试档案（查询、高级查询、删除或者导出）；咨询师所见的报告比学生多出测试过程记录；辅助于咨询师更加准确的了解测试过程及学生人格特质。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11、测验结果管理功能。测验后生成每位受测者的测验报告，报告包括被测者信息、实验特征描述、对受测者的人格特征描述和测验结论，咨询师也可以添加各种对来访者情况的评判。</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12、所有道具均采用实木材质，坚固耐用。分别包含：房子拼板、房顶拼板、窗户拼板、门拼板、墙拼板等，树拼板包含：树冠拼板、树干拼板、树树拼板、果实拼板、人拼板头部拼板、躯干拼板、手拼板、腿拼板等，不少于120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二、硬件参数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1、材质：环保型ABS工程塑料材质；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2、特点：抗振动、抗静电、耐酸碱；</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3、尺寸：650*450*850cm；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4、底部设计：底部有4寸高级制动轮，方便移动；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5、配置：22寸触摸显示器；CPU：I3处理器；内存：4G；硬盘：128G固态硬盘。</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三、设备占地面积及安装需求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1、设备占地面积：最小面积不小于3.5平米（1500MM*2000MM）。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2、安装场所要求：房间使用环境要求：灯光，噪音，温度，湿度：应防潮防湿，避 免设备遭受水滴或者水溅，温度适宜（10度-38度）﹑干燥通风﹑利于散热冷却﹑地面平整坚固﹑有良好的电源接地装置﹑照明充足光线柔和﹑没有明显振动﹑具备防火安全要求。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四、产品配套</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1.绘画治疗系统软件1套； 2.专用治疗仪1台； 3.系统加密狗1个； 4.绘画道具1套； 5.产品说明书1本。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w:t>
            </w:r>
            <w:r>
              <w:rPr>
                <w:rFonts w:hint="eastAsia"/>
                <w:color w:val="auto"/>
                <w:sz w:val="21"/>
                <w:szCs w:val="21"/>
                <w:highlight w:val="none"/>
                <w:vertAlign w:val="baseline"/>
                <w:lang w:val="en-US" w:eastAsia="zh-CN"/>
              </w:rPr>
              <w:t>提供</w:t>
            </w:r>
            <w:r>
              <w:rPr>
                <w:rFonts w:hint="eastAsia"/>
                <w:color w:val="auto"/>
                <w:sz w:val="21"/>
                <w:szCs w:val="21"/>
                <w:highlight w:val="none"/>
                <w:vertAlign w:val="baseline"/>
              </w:rPr>
              <w:t>绘画疗法管理软件计算机作品著作权登记证书</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12</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心理云软件中学版</w:t>
            </w:r>
          </w:p>
        </w:tc>
        <w:tc>
          <w:tcPr>
            <w:tcW w:w="638" w:type="dxa"/>
            <w:vAlign w:val="center"/>
          </w:tcPr>
          <w:p>
            <w:pPr>
              <w:jc w:val="center"/>
              <w:rPr>
                <w:color w:val="auto"/>
                <w:sz w:val="21"/>
                <w:szCs w:val="21"/>
                <w:highlight w:val="none"/>
                <w:vertAlign w:val="baseline"/>
              </w:rPr>
            </w:pP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心理云平台是以区级行政单位为首的多级管理大数据云平台，可以选择下设区、县级心理服务中心，乡镇心理服务中心，单位心理服务站等，可以实现信息资源共享。各心理服务中心之间数据互相独立，这样便于区级行政单位对于下属各单位心理健康工作进行统一管理、统一调配，并可以进行定期抽查管理、定期组织心理活动的重要心理工作平台。心理云平台应可以对辖区人员心理健康及内部工作人员心理健康进行普查，并预留接口提供后续众多下属单位接入该平台。系统具备使用简便、运行快捷的特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一、平台功能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1、集群管理平台：心理健康大数据云平台应是一个以区级行政单位为大平台的多级节点站，可以便于管理各下级机构的心理健康工作开展情况，各子群节点站可以自行开展心理健康工作。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2、智能的分级管理系统：针对区/县、乡镇、单位等进行由上至下的分级管理要求，系统可设置多个管理员参与管理，智能地控制每级管理员的查询数据范围和操作权限。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3、数据安全分级：各心理服务中心之间数据互相独立，用户权限可以设置≥4级，采用区域总数据中心、机构数据中心、心理咨询师数据库、个人用户数据库四层数据采集和管理模式，四级数据管理权限。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4、心理测评与评估平台：量表齐全，包含人格、个性、智力、智能、人际、社交、能力才华等八个方面的500个量表，满足各类心理问题的测评与评估。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5、心理档案管理平台：档案进行分组管理，系统管理员可单个添加档案信息，也可实现批量建立心理档案信息，同时支持个人扫码注册，档案数量无限扩充，无上限。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6、社会心理状态检测平台：心理预警分析，可实现一键数据监测、实时测评报告、自动预警分析等智能数据监控功能，各级用户均可与上下级用户双向反馈心理监测信息。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7、心理资源管理平台：包括心理图书，心理课件，心理游戏等资源。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8、根据系统用户需求定制编辑自有量表，包括题目、选项、分值、算法和常模，可个性定制各级用户的LOGO和界面信息。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 量表要求及数量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1、500个以上，包含人格个性、智力智能、人际社交、能力才华等八大分类，可按照年龄精准匹配量表适用对象。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2、系统内必须必须包含以下20个常用量表：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心理色彩投射卡测评；（2）儿童日常烦恼核查表；（3）青少年学生心理健康测验（MHT）；（4）90项症状清单（SCL-90）；（5）艾森克情绪稳定性测验；（6）社区矫正人员等级管理测定量表；（7）职业满意度测评问卷；（8）联合型瑞文智力测验；（9）老年应对问卷；（10）感觉统合评估量表；（11）社区公民行为量表；（12）Snyder自我监控力量表个人反应问卷；（13）卡氏16种人格因素测试；（14）艾森克人格问卷（EPQ）儿童版和成人版；（15）明尼苏达多相人格（MMPI）；（16）家庭教育方式综合测评；（17）心理咨询（辅导）初诊量表等常用量表；（18）躁狂量表；（19）抑郁自评量表；（20）焦虑自评量表；（21）社会适应性自测量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三、心理档案管理——按年份档案管理，可实现批量心理档案导入功能，可自动更新，心理档案包括：基本信息，心检报告，辅导记录，咨询记录。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四、心理测评要求——可实现在电脑、手机、平板电脑等多种智能终端完成测评，可实现二维码和小程序码扫码测评，可导出测评报告数据和原始答案数据，可智能分析测评过程的可信性和数据的有效性。</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五、心理健康预警 采用四级主动预警模式，可分别进行极端性格预警和心理健康预警，可实现预警信息上报至上级主管部门。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六、手机端APP 可配置到手机和平板电脑上，实现移动端的心理档案管理、心理测评管理。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七、区域心理数据监控中心 采用机构数据中心、心理咨询师数据库、用户数据库等数据采集和管理模式，数据管理权限，可实现一键数据监测、实时测评报告、自动预警分析等智能数据监控功能，各级用户均可与上下级用户双向反馈心理监测信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八、产品组成——心理云平台标准版1套；1个机构账号3个咨询师账号；手机端APP 1套，品牌电脑1台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★出具心理云软件计算机软件作品登记证书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13</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身心反馈型音乐放松椅</w:t>
            </w:r>
          </w:p>
        </w:tc>
        <w:tc>
          <w:tcPr>
            <w:tcW w:w="638" w:type="dxa"/>
            <w:vAlign w:val="center"/>
          </w:tcPr>
          <w:p>
            <w:pPr>
              <w:jc w:val="center"/>
              <w:rPr>
                <w:color w:val="auto"/>
                <w:sz w:val="21"/>
                <w:szCs w:val="21"/>
                <w:highlight w:val="none"/>
                <w:vertAlign w:val="baseline"/>
              </w:rPr>
            </w:pP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一、产品特色</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丰富：提供了情绪评估和多种情绪调节方案。</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趣味性：画面精美、背景丰富，可吸引使用者主动地进行长期练习。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专业性：利用生理采集设备采集多种生理指标（如，心率等），将生理指标置于主动控制之下。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实用性：简便易操作，快速有效提高情绪调节能力，互动性强。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二、基础版音乐放松椅参数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调节音乐上下曲、音量大小、静音、暂停播放、USB、3.5MM音频输入、3.5MM耳机插口、并将信号给出至功率放大器，可USB连接外来信号，以最后的输入源为信号播放文件，通过其他硬件（如电脑），可支持本身硬件支持的格式信号传输播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电动放松椅一般最大伸展长度在1.6左右，靠背最大伸展角度在150-160度之间，放松椅的腿部升降角度90度约和座包成一直线。</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1、背部臀部高频震动，通过震动放松背部臀部；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2、音乐功能；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3、简洁时尚的播放器，数字播放系统：液晶播放器，无线遥控器，支持音乐、心理图片、心理文章、心理电影等多种格式文件；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4、支持SD卡播放；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5、USB音乐播放或外接音源；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6、功能转换方便；</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7、自动升降功能，分设小腿架和背靠架各单独升降及起坐、躺卧，自动起坐复位；同时小腿架水平伸缩功能, 电动复位功能；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8、产品尺寸：长90CM×宽90CM×高85CM(椅背收起)；长160CM×宽90CM×高70CM（椅背展开）。</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三、反馈软件参数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压力评估模块：“压力评估”适用于18岁以上成人个体，可全面评估不同年龄、性别用户的压力状况，以便及时进行调节，在一定程度上预防过高的心理压力对用户身心健康造成的消极影响。《压力评估量表》从压力反应、压力应对2个维度全面对个体的压力做出评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2、调节训练模块：调节训练提供了3种有效的压力调节及训练手段，坚持练习，有助于缓解心理压力，减轻繁重工作带来的疲劳。具体模块内容为：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放松训练：图文并茂地讲授3种实用有效的放松方法，使用这些放松技巧可以有效地帮助用户缓解压力、放松心情。长期坚持练习，熟练掌握这些放松技巧，将有助于提高用户对情绪的自我调节能力，具体分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a.肌肉放松：通过全身主要肌肉收缩——放松的反复交替训练，帮助用户体验到放松的感觉；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b.呼吸放松：通过进行平缓而深大的呼吸帮助用户平静心情、放松身体，具体包括鼻腔呼吸法、腹式呼吸法、控制呼吸法；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c.想象放松：提供了大海、草原和湖泊3个场景，通过唤起宁静、轻松、舒适情境的想象和体验，帮助用户进入放松的状态。</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2）音乐调适：把音乐作为非言语的交流工具，这些音乐声波的频率和声压会引起心理上的反应，有助于消除心理、社会因素所造成的紧张、焦虑、犹豫、恐怖等不良心理状态，从而对心理治疗起到辅助作用。具体分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a.情绪音乐：音乐能影响人的情绪。“情绪音乐”提供了5类常见的情绪状态（烦躁、压抑、沮丧、愤怒、悲伤）以及与其对应的音乐欣赏建议和推荐的曲目，用户可以根据自己当前的情绪状态结合我们提供的建议选择相应的曲目聆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b.个性音乐：不同个性的人适合聆听不同类型的音乐进行放松。“个性音乐”用简洁的词语概括了12种个性特征（热情/急躁、坚持/固执、客观/犹豫、乐观/盲目、完美/苛刻、包容/逃避、体贴/多愁、踏实/现实等），并推荐了欣赏曲目，用户可以根据自己的个性特征欣赏相应曲目聆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c.自由欣赏：系统提供了一些能够舒缓情绪的音乐。用户也可以到数据中心添加自己喜爱的音乐，并根据需要选择适合的乐曲进行聆听。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（3）自主调节：提供了多种类型画面精美、背景丰富的调节训练，高度可视化的结果反馈可以帮用户在压力情境中更好地控制情绪，长期练习，更可以达到提高压力调节能力的效果。具体分为：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a.轻松休闲：提供了神秘花园和菩提树两款画面优美的调节训练，灵活的动态反馈可以帮助用户更好地了解并学习调节自己的情绪，缓解压力</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b.缓解紧张：提供了采珍珠和豆宝宝两款有一定难度的调节训练，用户可以通过成任务来转移注意力，缓解压力引起的紧张、焦虑等情绪。c.自我激励：提供了神射手和保龄球两款情境富于竞争性的调节训练，反复进行训练，可以使用户在面对压力时更好地控制自己的情绪，增强用户应对压力的信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3、数据中心模块：修改个人信息，查看、导出、打印、删除本人的压力评估、调节训练报告，进行自由欣赏的音乐管理。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4、用户管理：用于管理员修改密码以及添加用户、用户信息修改、用户查询、删除用户等几项操作。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四、工作台参数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1、材质：ABC环保；</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2、尺寸：51*43*73cm；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3、工作台含（抽屉1个、主机柜1个、键盘台1个、鼠标台1个）。</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五、产品配置</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1.皮质电动音乐放松椅1台； </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2.反馈系统1套； </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3.电脑主机1套；台式一体机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CPU：≥G5905处理器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芯片组：Intel B460系列及以上。显示屏：≥21.5寸显示器，分辨率≥1920*1080</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内存：≥4GB DDR4 2666Mhz，≥2个内存插槽；主板接口：USB接口≥6个，；HDMI输入1个。硬盘：1000G  ；多媒体：集成2.1声道音响，：集成10/100/1000MB自适应网卡802.11AC BT4.0；键鼠：USB抗菌键鼠套装。造型结构：显示器式底座，支持左右旋转及俯仰调节；系统及安全：预装正版windows10操作系统；BIOS底层集成智能USB保护功能，可设置仅识别键鼠，防止保密区域内的文件泄露</w:t>
            </w:r>
            <w:r>
              <w:rPr>
                <w:rFonts w:hint="eastAsia"/>
                <w:color w:val="auto"/>
                <w:sz w:val="21"/>
                <w:szCs w:val="21"/>
                <w:highlight w:val="none"/>
                <w:vertAlign w:val="baseline"/>
                <w:lang w:eastAsia="zh-CN"/>
              </w:rPr>
              <w:t>。</w:t>
            </w:r>
            <w:r>
              <w:rPr>
                <w:rFonts w:hint="eastAsia"/>
                <w:color w:val="auto"/>
                <w:sz w:val="21"/>
                <w:szCs w:val="21"/>
                <w:highlight w:val="none"/>
                <w:vertAlign w:val="baseline"/>
              </w:rPr>
              <w:t xml:space="preserve"> </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生理指标采集仪1套； </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音乐指导书籍1本；</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摇摆催眠仪1个； </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专业移动工作台1台； </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彩色打印机一台；</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音箱1台； </w:t>
            </w:r>
          </w:p>
          <w:p>
            <w:pPr>
              <w:keepNext w:val="0"/>
              <w:keepLines w:val="0"/>
              <w:pageBreakBefore w:val="0"/>
              <w:widowControl w:val="0"/>
              <w:numPr>
                <w:ilvl w:val="0"/>
                <w:numId w:val="27"/>
              </w:numPr>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高保真头戴耳机1套。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w:t>
            </w:r>
            <w:r>
              <w:rPr>
                <w:rFonts w:hint="eastAsia"/>
                <w:color w:val="auto"/>
                <w:sz w:val="21"/>
                <w:szCs w:val="21"/>
                <w:highlight w:val="none"/>
                <w:vertAlign w:val="baseline"/>
                <w:lang w:val="en-US" w:eastAsia="zh-CN"/>
              </w:rPr>
              <w:t>提供</w:t>
            </w:r>
            <w:r>
              <w:rPr>
                <w:rFonts w:hint="eastAsia"/>
                <w:color w:val="auto"/>
                <w:sz w:val="21"/>
                <w:szCs w:val="21"/>
                <w:highlight w:val="none"/>
                <w:vertAlign w:val="baseline"/>
              </w:rPr>
              <w:t>智能心理音乐反馈放松系统计算机作品著作权登记证书。</w:t>
            </w:r>
            <w:r>
              <w:rPr>
                <w:rFonts w:hint="eastAsia"/>
                <w:color w:val="auto"/>
                <w:sz w:val="21"/>
                <w:szCs w:val="21"/>
                <w:highlight w:val="none"/>
                <w:vertAlign w:val="baseline"/>
                <w:lang w:val="en-US" w:eastAsia="zh-CN"/>
              </w:rPr>
              <w:t>提供</w:t>
            </w:r>
            <w:r>
              <w:rPr>
                <w:rFonts w:hint="eastAsia"/>
                <w:color w:val="auto"/>
                <w:sz w:val="21"/>
                <w:szCs w:val="21"/>
                <w:highlight w:val="none"/>
                <w:vertAlign w:val="baseline"/>
              </w:rPr>
              <w:t>智能音乐放松沙发检测报告。</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14</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自助vr放松系统</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一、音乐按摩椅参数：按摩型音乐放松椅，将音乐和按摩完美结合，操作中同时兼顾心理和生理的双重功能；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1、大屏高端液晶触控、开关一键启动，可控制所有按摩程序及功能，使用起来一目了然；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2、头部按摩方式：U型气囊挤压；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3、颈椎按摩方式：4个按摩头 正反转揉捏按摩；</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4、肩部按摩方式：肩部两侧气囊挤压；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5、背部腰部按摩方式：18个大按摩头 正反转揉捏按摩；</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6、腰部：艾草热敷；</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7、手臂按摩方式：包裹式气囊挤压；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8、臀部按摩方式: 坐垫滚轮按摩；</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9、小腿按摩方式：包裹式气囊挤压；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10、脚底按摩方式:包裹式滚轮刮痧按摩；</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11、功能: 局部热疗气囊挤压 按摩强度调节 腿部弹簧自由伸缩  大屏液晶触控；</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12、摇篮模式搭配蓝牙音乐舒缓身心；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13、额定电压：220W；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14、规格尺寸：宽度74cm，坐立长度140cm，坐立椅高100cm；座椅躺下长173cm。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二、vr眼镜参数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1、心理疏导：冥想漫游、深度疏导 、美好人生、放松呼吸</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2、宣泄解压：立体绘画、自由飞翔、跳伞、翼装飞行、刺激过山车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3、场景解压：自然迷踪：琉璃，稀原、浅岛、青甸、起源、皑雪、幽海、晚秋、余辉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4、旅行解压：故宫、莫斯科、伦敦、北海道、威尼斯不丹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5、科普放松：海洋生物、印象风车、大鲸鲨、冰雪世界</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6、职业模拟：牙医、飞行员、宇航员、军人、工程师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7、产品系统组成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（1）主机：处理器≥高通骁龙835 ≥八核2.45GHz，64位，Kryo280 CPU，10nm制程工艺，Adreno 540 GPU，Hexagon 682 DSP；显示、音响、配件等硬件融为一体。无需安装、可随身携带、配有手柄、可佩戴眼镜使用、无需在网络环境下使用；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（2）存储：内存4GB LPDDR4X 1866MHz；闪存32GB UFS2.1；最高支持256GB Micro-SD卡扩展；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（3）显示屏：3840x2160，PPI:818，真4K分辨率，RGB排列，≥75Hz刷新率，Fast-Switch快速响应技术；镜片：菲涅尔镜片；视场角：101°；可佩戴眼镜设计，无需视力调节，自适应瞳距；</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（4）传感器：高精度九轴传感器、距离传感器、九轴姿态传感器；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（5）头盔：轻质聚合物机身，薄壁注塑工艺，航空级轻金属，织物材质前面板：T型佩戴结构，自适应顶部绑带；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（6）天线：802.11b/g/n/ac 2.4G/5G WIFI连接，支持MIMO技术，双频双天线；</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（7）电池：3500mAh 电池，约3小时影音连续使用时间；机身电池后置设计；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（8）手柄：两节AAA电池，约40小时使用时间。</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三、配置组成</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1.音乐按摩椅1台； 2.无线操控遥控器 1个； 3.VR主机系统1套； 4.充电系统一套； 5.音乐治疗导论1本。</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四、VR内容可根据实际使用需求开发2-3项：如学生心路历程，团体游戏VR呈现，心理沙盘VR呈现等。</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15</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VR虚拟现实运动放松系统</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简介：利用VR技术与心理健康教育主题融合打造VR心理单车骑行平台。体验者佩戴VR头盔，身骑动感单车可身临其境舒缓压力、漫游放松。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highlight w:val="none"/>
                <w:lang w:val="en-US" w:eastAsia="zh-CN"/>
              </w:rPr>
            </w:pPr>
            <w:r>
              <w:rPr>
                <w:rFonts w:hint="eastAsia"/>
                <w:color w:val="auto"/>
                <w:highlight w:val="none"/>
              </w:rPr>
              <w:t>VR心理骑行软件包含不少于30个场景的十大VR心理健康骑行软件，并具备以下功能</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一、VR心理沉浸骑行之旅：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1、天空场景：身处天空中可撞碎云朵，每一个云朵都代表着生活中的生活压力、经济压力、情感压力、学业压力，撞碎云朵后会有文字语音的提示，从而实现解压效果；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2、森林场景：身处森林场景中配有多种小动物模型，在不同环节中体验者可向小动物寻求帮助（小鹿、小兔子、小熊、小猫）通过小动物的帮助解决相关心理问题，达到脱敏解压的效果；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3、海边场景：身处海边场景中，到海边捡贝壳、漂流瓶、垃圾等互动功能回答相关问题，并解决心理焦虑问题。</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二、克服恐高体验：</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通过VR虚拟现实技术打造VR城市高楼高空体验场景。体验者身临其境在城市高楼顶端，通过一系列高空体验动作任务，从而达到从适应高空到克服恐高的心理转变。</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三、冥想漫游：</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冥想漫游VR软件可使用户身临其境的在宇宙、星云、粒子中进行深度漫游冥想，全程带有放松音乐。冥想可以有效的提升专注力、记忆力、工作效率和创造力。冥想也可助于抵御老化带来的脑体积损失。冥想被视为一种脑体操,能够键脑、延缓其衰老。VR深度冥想漫游更是能为冥想活动提供一种高科技新放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四、心理疏导：</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心理疏导VR软件由正念、解压、放松、疏导、四个心理模块组成，用户可选择所需的疏导模块，沉浸式进行心理疏导解压体验，全程带有专业的心理舒缓音乐与语音疏导师。VR心理疏导内容通过沉浸式身临其境体验的高科技方式对个人的情绪、心理等问题进行疏泄和引导。VR心理健康不但可快速起到舒缓解压的作用，还为心理健康治疗体验方式提供了一项全新的趣味选择。</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五、战场环境心理训练模块：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通过VR技术复原战场虚拟场景，在虚拟战场中体验爆炸、战争等高仿真场景，并在军事场景中通过VR骑行训练快速避障与逃生能力，从而训练体验者的战场应激适应能力与专注力。</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六、VR心理应激训练：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七、美好人生：</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体验者可身临其境进入多种美好生活场景中体验快乐瞬间，如：家人聚会、毕业、旅游、进入海洋等。从中领悟什么样的生活才可能叫做“美好人生”，激发体验者对于美好生活的向往。硬件参数（结合VR软件方可使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硬件参数（结合VR软件方可使用）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通过此硬件套装结合上述VR心理软件可达成沉浸式VR心理骑行体验；</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1、高性能骑行虚拟现实VR头盔*1套；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2、支持VirtualReality心理健康软件结合搭配使用；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3、骑行随动固件源：电压：AC220V、功率：1000W；</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4、骑行单车：高仿真动感车架，支持体验者身临其境骑行体验；</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5、骑行工作站：CPU≥I5、显卡≥1050；</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6、虚拟现实骑行硬件系统：骑行反馈控制系统:1套；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7、其它配套：屏幕:1套、鼠标键盘:1套、光学灯带1套；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8、外形尺寸：L2000*W1000*H2300、占地约1平米。</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color w:val="auto"/>
                <w:highlight w:val="none"/>
              </w:rPr>
              <w:t>★提供序号一、二、三、四项VR软件功能场景截图（加盖厂家公章）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16</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宣泄套装</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一、引导人们在一个安全的环境中将不良情绪发泄出，包含多种功能的宣泄器材，满足 2-3 人同时宣泄的需求。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二、功能参数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1、仿真宣泄人1 个（按照成年真人比例一比一开模制造，体重 19 公斤左右，整体高度为 180cm；圆形底座采用金属材质，尺寸为直径 55cm*高度 20cm（测量误差±2cm），使用高密度发泡海绵为填充物，着装为定制卫衣，衣物上无任何硬物，击打手感柔软，且不会误伤来访者。宣泄人手臂采用活动设计，可以自由</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调整任何手臂姿势。采用低电压震动系统，能够在极低的震动下做出响应，来访者在击打的时候可以随机发出不同的幽默语句）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2、硅胶宣泄人1 个，净重 21kg 左右，注水后可达 150kg，注沙后可达180kg；击打部分为硅胶材质，底部为 PVC 材质，圆筒注沙或注水，强力打击，也不易击倒，仿真人形设计，可更换多种表情脸谱，宣泄更加畅快。</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3、立式宣泄球 2 个（整体高度可调节约 125—150cm，净重 3kg，底座装水约 25kg，立式不倒，球体表面采用环保高级哑光 PU 皮，底部为 PVC 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心底座并配置高弹力弹簧）</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4、宣泄棒（加强）2 个（双层材料，长 80cm，内为进口 PVC 材质加厚</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内胆，外套迷彩布套）</w:t>
            </w:r>
          </w:p>
          <w:p>
            <w:pPr>
              <w:keepNext w:val="0"/>
              <w:keepLines w:val="0"/>
              <w:pageBreakBefore w:val="0"/>
              <w:widowControl w:val="0"/>
              <w:numPr>
                <w:ilvl w:val="0"/>
                <w:numId w:val="2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宣泄脸谱 4 个，全乳胶材质。</w:t>
            </w:r>
          </w:p>
          <w:p>
            <w:pPr>
              <w:keepNext w:val="0"/>
              <w:keepLines w:val="0"/>
              <w:pageBreakBefore w:val="0"/>
              <w:widowControl w:val="0"/>
              <w:numPr>
                <w:ilvl w:val="0"/>
                <w:numId w:val="2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宣泄手套 2 副（优质 PU 革，内部压缩海绵一次成型，有很好的透气</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性，可有效缓解撞击）</w:t>
            </w:r>
          </w:p>
          <w:p>
            <w:pPr>
              <w:keepNext w:val="0"/>
              <w:keepLines w:val="0"/>
              <w:pageBreakBefore w:val="0"/>
              <w:widowControl w:val="0"/>
              <w:numPr>
                <w:ilvl w:val="0"/>
                <w:numId w:val="2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宣泄挂图4 个（尺寸 60cm*40cm，厚 4mm，高档 PVC 版材质，高清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晰画质、永不退色）</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8：涂鸦墙 1、材质：带磁性的软胶，双层设计，厚度更大更耐用； 2、消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退速度：48小时；3、该墨水为植物精华提取，无毒无害，100%可以擦洗；4、尺寸：1600*1200*0.9mm 可定制，双层可更换。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color w:val="auto"/>
                <w:sz w:val="21"/>
                <w:szCs w:val="21"/>
                <w:highlight w:val="none"/>
                <w:vertAlign w:val="baseline"/>
              </w:rPr>
            </w:pP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17</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智能呐喊击打宣泄系统</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不仅适用于学生使用，同样适用于教师使用。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一、系统功能：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1、用户端：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（1）系统提供不少于3种登录方式：用户可自主注册登陆，指纹识别登录，管理员账号分配登录。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（2）系统功能模块包括：心理测评、音乐放松、主题宣泄、科普中心、互动调节、报告管理、个人中心。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（3）模式切换功能：系统主界面可进行模式切换，切换后软件系统进入切换模式下的内容状态，同时硬件系统自动发送相应启动命令至当下传感器，其余传感器处于待机状态，不影响系统工作模式。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心理测评模块：心理测评不少于9个测评量表：《A类行为问卷（TABP）》、《焦虑自评量表（SAS）》、《艾森克情绪稳定性测验》、《精神症状自我诊断量表》、《卡特尔十六项人格因素测验（16PF）》、《事件冲击量表（IES-R）》、《中国青年人格测验（CPI）量表》、《中中学生心理健康诊断测验（MHT）》、《自我和谐量表（SCCS）》；用户选择所需量表进行测评，测评过程中系统记录测评所用时间，完成测评后系统生成报告，报告内容包括测评量表名称及简介、用户基本信息、测评起始时间、结果图表、测评结果、分值对应级别及相关建议，支持测评报告导出打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音乐放松模块：系统提供不少于9种专业类型音乐37首（疲劳治疗类5首、失眠治疗类5首、躁狂治疗类5首、焦虑治疗类5首、忧郁治疗类5首、神经衰弱治疗类3首、压力舒缓类2首、振奋精神类5首、缓解悲伤类2首）。音乐播放过程中可根据需求进行音量调节和音乐切换。【支持管理端进行音乐类型自主修改和音乐内容的自主添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主题宣泄模块：系统提供击打呐喊两大类共24个真人语音引导的宣泄主题内容（放松能力、环境适应、焦虑紧张、情绪低落、社交障碍、生活工作、委屈郁闷、学习能力、应变能力、自卑自怨、自信能力；感情安慰、环境压力、坚持理想、肯定成就、肯定自我、乐观世界、潜能开发、时间生命、优势找寻、正面激励、正视挫折、直面人生）每种主题不少于3种动态场景，场景根据击打\呐喊指数进行切换，每个动态场景根据击打\呐喊数据采集进行动态变化，每种主题可使用时间为15分钟。如在使用过程中超过2分钟没有进行宣泄活动，系统自动提示并结束当前主题宣泄。击打\呐喊过程中可切换自由切换男女音色，并可进行音量调节。击打\呐喊结束后系统自动生成宣泄，宣泄报告包括宣泄频谱图——根据每次宣泄系统自动生成、宣泄指数、结果及建议，同时系统自动记录使用时长及起始时间，同时支持报告导出打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科普中心模块：不少于7种专业心理科普类型的内容模块63章（心理健康类10章、家庭关系类7章、个人成长类10章、心理自助类9章、人际交往类10章、心理案例类9章、情绪压力类10章）等，每章内容图文结合丰富，有效提升科普学习的有趣性和专业性。【支持管理端科普内容的自主添加和修改，无数量限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互动调节模块：不少于8种击打宣泄类游戏（美好家园、龙舟竞速、花开富贵、太空历险、萝卜丰收、飞屋环游、腾空万里、春暖花开）；每种游戏有简单模式、中等模式、困难模式3种模式选择，每种模式默认时间为90秒，选择游戏后，系统提供游戏介绍及宣泄注意事项页面。游戏完成后，系统自动判定游戏成功或失败，并弹出相应的介绍。自动生成调节报告，报告内容包括宣泄频谱图——根据游戏过程，宣泄系统自动生成、宣泄指数、结果及建议，同时系统自动记录使用时长及起始时间，同时支持报告导出打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（9）报告管理模块：提供心理测评报告、互动调节报告、主题宣泄报告报告管理功能；用户可根据自主需求进行报告检索和导出打印操作。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（10）个人中心模块：个人中心可进行指纹注册、登录密码修改和基本信息编辑功能。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（11）系统内部具有一键启动和一键关机的功能，无需多余电脑系统关机操作流程。</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2、管理端：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（1）用户管理：可新增、编辑及删除用户，新增用户无需注册可直接在用户端进行登录。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（2）部门管理：可进行组织架构管理，增加部门详情、进行部门描述和部门相关内容备注。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（3）报告管理：心理测评、互动调节、主题宣泄报告管理和检索。进行相关人员报告查看和导出打印操作。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（4）音乐管理：可进行音乐类型编辑和添加删除相关音乐。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（5）科普管理：可进行各类型科普内容的管理（检索、增加、删除、编辑）。</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（6）界面管理：用户单位可需求根据自主变更系统背景、及软件名称。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（7）个人中心：个人中心可进行登录密码修改和基本信息编辑功能。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（8）据测评预警情况获取训练方案，训练方案可在管理端自主添加。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二、设备结构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1、主机尺寸为180cm*104cm*40cm，整机重量为40公斤，机身材质为优质冷轧钢板材质，金属喷塑工艺处理，美观耐用。屏幕为43寸红外触摸屏一体机电脑，分辨为1920*1080，I3处理器、4G内存、120固态。</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2、击打靶高度为170cm，底座直径60cm可注水注沙，内置击打数据采集传感器，靶身采用软体海绵填充，数据采用有线传输功能，保证数据采集稳定性问题。</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3、呐喊采集模块MAX9814装置，具有自动增益控制（AGC）和低噪声麦克风偏置，保证呐喊过程中数据反馈的准确性、及时性。</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4、采用智能分频音响技术，消除金属结构带来的失真现象，通过开面式扬声器，提高声音品质，支持低音效果。【规格参数：（工作电压：5V）、（频率效应—40-18KHZ）、 （信噪比：95db）、（失真度：0.5-1.0） ——以上参数提供检测报告】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5、全自动人体感应装置，通过感应封锁时间，有效抑制负载切换过程中产生的各种干扰。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6、双通道智能分级同步感应LED灯（24位）：较强的可视效果，随着击打的力度、频率不同，通过分级LED灯柱智能显示不同的击打效果，LED灯应等级：多级分量显示，LED光源控制：IC芯片控制，多种可变彩色灯光。 </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7、指纹仪采用光学嵌入式指纹模块，以高速指纹对比算法ZKFingerV10.0为核心，支持不少于2000枚指纹模板储存。具有成像清晰、识别速度快等功能。有效采集面积为15.24*20.32mm（FAP20），畸变率小于1%，数据加密采用AES-256，灰度等级8bit，认假率小于0.0001%，拒真率小于1%，图像大小300*400pixel（FAP20）。</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18</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心理互动一体机</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一、互动宣泄主机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1、尺寸：不小于高169cm×宽90cm×厚46cm；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2、训练显示屏：不小于32英寸液晶屏幕，分辨率大于1024×768；</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3、训练机柜：钢材质，白色；</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4、输入电源：AC 220V/50Hz；</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5、训练控制主机系统：不低于100款互动宣泄游戏。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二、无线力学感应板：无线通讯传输，可承受250KG力学感应。</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三、互动宣泄系统遥控器：无线手持控制主手柄一个。</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四、系统功能：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人机互动宣泄——让使用者亲身参与各项活动，如网球、瑜伽、跑步等互动活动，提升来访者的逻辑思考能力、判断力、身体灵活性，释放不良情绪，达到良好的身心状态。系统提供不少于14款互动训练方案，在躯体运动的过程中，调用心理、智力同步训练，达到心理情绪疏导。</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无线智能感应技术——采用无线智能传感系统，训练者在规定感应范围内，无拘束任意活动、游戏训练，系统均能精准接收各种姿态信号，并实时反馈，真实感强。实时采集宣泄者多种动作姿态，实现人机互动宣泄，提供不少于100种以上的训练方案，模拟各种运动项目进行肢体、心理、大脑等同步训练，进而达到“身与心”的调节疏导，情绪宣泄，运动项目包括：跑步、乒乓球、足球、网球、高尔夫、拳击、击剑、滑冰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3、自主平衡训练系统——系统引入瑜伽训练，提供循序渐进的指导方法，并提供不少于9款平衡训练方案。</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4、训练数据跟踪趋势与评测——自动记录历次宣泄数据，并形成训练跟踪趋势图，方便用户自行进行对比、评估。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5、智能体能评测系统——提供宣泄目标设置功能，宣泄者根据已定的宣泄方案实现设置的宣泄目标。</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3D影象视觉效果——可根据不同的宣泄角色、不同的宣泄场景、不同的宣泄主题制定不同的宣泄方案，通过3D技术实时将宣泄过程与宣泄者同步，实现宣泄主题更生动、宣泄场景更逼真，宣泄效果更理想的新型宣泄方式。</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7、力学智能感应系统——系统支持250公斤压力感应，通过无线传感技术实时采集压力参数传输到数据处理单位，实现压力与互动同步。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8、支持人机互动和宣泄者之间共同竞赛比拼，提升宣泄趣味性；支持单人和团体互动宣泄。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五、产品配置</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1.由互动宣泄主机； 2.无线力学感应板； 3.互动宣泄系统遥控器。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★提供智能互动多感官反馈训练软件计算机软件著作权证书</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19</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宣泄墙</w:t>
            </w:r>
          </w:p>
        </w:tc>
        <w:tc>
          <w:tcPr>
            <w:tcW w:w="638"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m²</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1、填充：皮革+环保高弹性高密度海绵；</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2、规格：500mm*500mm*50mm；</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3、整体使用，更加美观，更结实，不易脱落。</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4、可依据心理教师喜好设置不同宣泄墙形状。</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20</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宣泄地板</w:t>
            </w:r>
          </w:p>
        </w:tc>
        <w:tc>
          <w:tcPr>
            <w:tcW w:w="638" w:type="dxa"/>
            <w:vAlign w:val="center"/>
          </w:tcPr>
          <w:p>
            <w:pPr>
              <w:jc w:val="center"/>
              <w:rPr>
                <w:color w:val="auto"/>
                <w:sz w:val="21"/>
                <w:szCs w:val="21"/>
                <w:highlight w:val="none"/>
                <w:vertAlign w:val="baseline"/>
              </w:rPr>
            </w:pPr>
            <w:r>
              <w:rPr>
                <w:rFonts w:hint="eastAsia"/>
                <w:color w:val="auto"/>
                <w:sz w:val="21"/>
                <w:szCs w:val="21"/>
                <w:highlight w:val="none"/>
                <w:vertAlign w:val="baseline"/>
                <w:lang w:val="en-US" w:eastAsia="zh-CN"/>
              </w:rPr>
              <w:t>m²</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1、独特条纹防滑设置；</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2、具吸音、隔音功能、防声、防震效果；</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3、绝缘性能好，具有抗静电功能；</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4、柔弹性能好、耐磨、耐气候；</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5、安全防护性能绝佳、跌倒时可将伤害减少到最低程度；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6、无毒性，符合环保、卫生要求；</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7、清洁方便，可用水冲洗及任何洁具清扫；</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8、铺设容易、快速；</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9、规格：1000mm×1000mm×40mm（蓝色、水波纹、黄色）；</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sz w:val="21"/>
                <w:szCs w:val="21"/>
                <w:highlight w:val="none"/>
                <w:vertAlign w:val="baseline"/>
              </w:rPr>
            </w:pPr>
            <w:r>
              <w:rPr>
                <w:rFonts w:hint="eastAsia"/>
                <w:color w:val="auto"/>
                <w:sz w:val="21"/>
                <w:szCs w:val="21"/>
                <w:highlight w:val="none"/>
                <w:vertAlign w:val="baseline"/>
              </w:rPr>
              <w:t xml:space="preserve">    10、材质：EVA。</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21</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心理挂图</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幅</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心理挂图可以根据咨询的需要，来传达一些极具启示意义的讯息:比如一些富有生机的风景画，可以让人领悟到生命的积极意义两可图让人意识到事物的多面性，要多方面看待问题，不要执于一念。</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1、心理挂图中的图片所包含内容有心理学家、不可能图形、两歧图形、错觉图形、心理趣味图和主题统觉图片等；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2、标准规格：60cm*40cm，可定制其他尺寸；</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sz w:val="21"/>
                <w:szCs w:val="21"/>
                <w:highlight w:val="none"/>
                <w:vertAlign w:val="baseline"/>
              </w:rPr>
            </w:pPr>
            <w:r>
              <w:rPr>
                <w:rFonts w:hint="eastAsia"/>
                <w:color w:val="auto"/>
                <w:sz w:val="21"/>
                <w:szCs w:val="21"/>
                <w:highlight w:val="none"/>
                <w:vertAlign w:val="baseline"/>
              </w:rPr>
              <w:t xml:space="preserve">    3、材质：实木画框、有机玻璃，高清相纸材质，更实用，更安全。</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22</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心理宣泄镜</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个</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1、材质：实木/密度板；</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2、镜面：不锈钢镜面，厚度0.7mm，8K高清镜面；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3、尺寸：180cm*60cm；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4、造型选择：水果系列、动物系列、卡通系列等时下造型。（成人款）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rPr>
              <w:t>5、可根据学校要求制作宣泄镜造型</w:t>
            </w:r>
            <w:r>
              <w:rPr>
                <w:rFonts w:hint="eastAsia"/>
                <w:color w:val="auto"/>
                <w:sz w:val="21"/>
                <w:szCs w:val="21"/>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eastAsia"/>
                <w:color w:val="auto"/>
                <w:sz w:val="21"/>
                <w:szCs w:val="21"/>
                <w:highlight w:val="none"/>
                <w:vertAlign w:val="baseline"/>
              </w:rPr>
            </w:pP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23</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可拼接团体活动桌椅组合</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个</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1、构造：金属框架，管材使用45圆管。管厚1.2mm.静电烤塑喷漆；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2、组合：8人一组，含8张椅子；</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3、桌面材质：高品质中纤板（人造木MDF）+有色三聚氰胺板；</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4、八个一组尺寸：1800mm*570mm；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5、六个一组尺寸：1600mm*570mm；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6、桌子:内宽350mm,外宽550mm,高740mm；</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7、椅子:360mm*360mm*440mm(板高)*740mm(背高)；</w:t>
            </w:r>
          </w:p>
          <w:p>
            <w:pPr>
              <w:keepNext w:val="0"/>
              <w:keepLines w:val="0"/>
              <w:pageBreakBefore w:val="0"/>
              <w:widowControl w:val="0"/>
              <w:kinsoku/>
              <w:wordWrap/>
              <w:overflowPunct/>
              <w:topLinePunct w:val="0"/>
              <w:autoSpaceDE/>
              <w:autoSpaceDN/>
              <w:bidi w:val="0"/>
              <w:adjustRightInd/>
              <w:snapToGrid/>
              <w:spacing w:line="300" w:lineRule="exact"/>
              <w:ind w:firstLine="189"/>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8、产品颜色：红色，黄色，蓝色，紫色搭配特点：色彩鲜艳，设计新颖，可自由组合拼搭成圆形、扇形、S型等。</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★提供团体活动桌检测报告</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24</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团体辅导箱</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lang w:val="en-US" w:eastAsia="zh-CN"/>
              </w:rPr>
              <w:t>一、</w:t>
            </w:r>
            <w:r>
              <w:rPr>
                <w:rFonts w:hint="eastAsia"/>
                <w:color w:val="auto"/>
                <w:sz w:val="21"/>
                <w:szCs w:val="21"/>
                <w:highlight w:val="none"/>
                <w:vertAlign w:val="baseline"/>
              </w:rPr>
              <w:t>产品内容：依据《中小学心理健康教育指导纲要（2012年修订）》精神，产品活动分为认识自我、学会学习、人际交往、情绪调适、升学择业以及生活和社会适应六个主题。同时，符合《纲要》提出的“培养学生积极心理品质，挖掘他们的心理潜能”要求，上述六大主题参照积极心理学理念，分为五个方面：积极情绪的培养、投入状态的激发、良好人际的构建、人生意义的探寻、成就体验的营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活动数量：根据中中学生个体身心发展特点，《纲要》六大主题中每个主题不少于5个活动，提供不少于30个活动的配套道具。道具包含模拟生活类、创意玩具类、心理文具类、辅助教案类、心理影音类、教育卡片类六大类，共提供道具不少于200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lang w:val="en-US" w:eastAsia="zh-CN"/>
              </w:rPr>
              <w:t>▲</w:t>
            </w:r>
            <w:r>
              <w:rPr>
                <w:rFonts w:hint="eastAsia"/>
                <w:color w:val="auto"/>
                <w:sz w:val="21"/>
                <w:szCs w:val="21"/>
                <w:highlight w:val="none"/>
                <w:vertAlign w:val="baseline"/>
              </w:rPr>
              <w:t>三、此教具箱内器材</w:t>
            </w:r>
            <w:r>
              <w:rPr>
                <w:rFonts w:hint="eastAsia"/>
                <w:color w:val="auto"/>
                <w:sz w:val="21"/>
                <w:szCs w:val="21"/>
                <w:highlight w:val="none"/>
                <w:vertAlign w:val="baseline"/>
                <w:lang w:val="en-US" w:eastAsia="zh-CN"/>
              </w:rPr>
              <w:t>应包含</w:t>
            </w:r>
            <w:r>
              <w:rPr>
                <w:rFonts w:hint="eastAsia"/>
                <w:color w:val="auto"/>
                <w:sz w:val="21"/>
                <w:szCs w:val="21"/>
                <w:highlight w:val="none"/>
                <w:vertAlign w:val="baseline"/>
              </w:rPr>
              <w:t>以下40个团体心理活动；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1、抱怨情绪呈现棒：材质高精度铝合金19mm对接式，总长度2.8米左右。2、心灵放逐3、双球平衡器4、智破蹊跷案5、能量传输6、汉诺塔7、中古世纪进化8、加减乘除9、团队竞标10、成语接龙、11、扑克脸12、团队21点13、找回自己、14、速度翻转15、扑克大战16、蒙眼排队17、超级赛车18、团队动力19、团队变形记20、紧急传递21、超级浣熊圈22、世纪穿越23、超级速度24、武松脱铐25、无轨电车26、击鼓颠球27、滚滚车轮28、价值拍卖29、指点江山30、护蛋母鸡31最佳拍档32、智慧树33、蜥蜴拼图34、手足情深35、盗梦空间36、沟通之塔37、艰难穿越38、方形速度洞39、透明金字塔 40、不可能的房子。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四、提供配套指导书籍，介绍团体心理辅导的概念与类型、功能、目标、理论基础、操作过程及常用技术，并将团体心理辅导与积极心理学相融合，阐述如何将积极心理学引入团体心理辅导活动中，培养中中学生的积极心理品质，提升中中学生的幸福感。每个活动均详细说明活动的设计理念、活动目标、心理学依据、活动所需道具、活动过程及所需注意的事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五、提供该团体辅导箱实际现场培训两天共100人次。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★提供</w:t>
            </w:r>
            <w:r>
              <w:rPr>
                <w:rFonts w:hint="eastAsia"/>
                <w:color w:val="auto"/>
                <w:sz w:val="21"/>
                <w:szCs w:val="21"/>
                <w:highlight w:val="none"/>
                <w:vertAlign w:val="baseline"/>
                <w:lang w:val="en-US" w:eastAsia="zh-CN"/>
              </w:rPr>
              <w:t>团体心理辅导活动手册作品登记证书</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25</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艺术治疗辅导箱</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艺术心理治疗又称“艺术治疗”，是心理治疗的一种。是将艺术作为重要媒介进行的一种心理治疗，富有着鲜明的特色。艺术心理治疗结合了艺术学、心理学和医学，属于心理治疗领域的新兴学科。它是以艺术作为形式、让人们通过参加艺术活动的过程，挖掘自身的积极资源和潜力，从而减轻其内心的困惑和痛苦、达到塑造完美人格的目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一、技术参数</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1、音乐心理艺术器具：旋律乐器，2种；无旋律乐器17种；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2、美术心理辅导器具：绘画类用品19种；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 xml:space="preserve">    3、舞动心理辅导器具：器具类5种。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1"/>
                <w:szCs w:val="21"/>
                <w:highlight w:val="none"/>
                <w:vertAlign w:val="baseline"/>
              </w:rPr>
            </w:pPr>
            <w:r>
              <w:rPr>
                <w:rFonts w:hint="eastAsia"/>
                <w:color w:val="auto"/>
                <w:sz w:val="21"/>
                <w:szCs w:val="21"/>
                <w:highlight w:val="none"/>
                <w:vertAlign w:val="baseline"/>
              </w:rPr>
              <w:t>二、配套书4本：《艺术疗法》《舞动治疗》、《音乐治疗》、《绘画治疗》。</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Theme="minorEastAsia"/>
                <w:color w:val="auto"/>
                <w:sz w:val="21"/>
                <w:szCs w:val="21"/>
                <w:highlight w:val="none"/>
                <w:vertAlign w:val="baseline"/>
                <w:lang w:eastAsia="zh-CN"/>
              </w:rPr>
            </w:pPr>
            <w:r>
              <w:rPr>
                <w:rFonts w:hint="eastAsia"/>
                <w:color w:val="auto"/>
                <w:sz w:val="21"/>
                <w:szCs w:val="21"/>
                <w:highlight w:val="none"/>
                <w:vertAlign w:val="baseline"/>
              </w:rPr>
              <w:t>三、可根据学校要求提供3-5项艺术辅导游戏配套教具</w:t>
            </w:r>
            <w:r>
              <w:rPr>
                <w:rFonts w:hint="eastAsia"/>
                <w:color w:val="auto"/>
                <w:sz w:val="21"/>
                <w:szCs w:val="21"/>
                <w:highlight w:val="none"/>
                <w:vertAlign w:val="baseline"/>
                <w:lang w:eastAsia="zh-CN"/>
              </w:rPr>
              <w:t>。</w:t>
            </w:r>
          </w:p>
        </w:tc>
        <w:tc>
          <w:tcPr>
            <w:tcW w:w="720"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26</w:t>
            </w:r>
          </w:p>
        </w:tc>
        <w:tc>
          <w:tcPr>
            <w:tcW w:w="1805" w:type="dxa"/>
            <w:vAlign w:val="center"/>
          </w:tcPr>
          <w:p>
            <w:pPr>
              <w:jc w:val="center"/>
              <w:rPr>
                <w:color w:val="auto"/>
                <w:sz w:val="21"/>
                <w:szCs w:val="21"/>
                <w:highlight w:val="none"/>
                <w:vertAlign w:val="baseline"/>
              </w:rPr>
            </w:pPr>
            <w:r>
              <w:rPr>
                <w:rFonts w:hint="eastAsia"/>
                <w:color w:val="auto"/>
                <w:sz w:val="21"/>
                <w:szCs w:val="21"/>
                <w:highlight w:val="none"/>
                <w:vertAlign w:val="baseline"/>
              </w:rPr>
              <w:t>团体辅导垫</w:t>
            </w:r>
          </w:p>
        </w:tc>
        <w:tc>
          <w:tcPr>
            <w:tcW w:w="638" w:type="dxa"/>
            <w:vAlign w:val="center"/>
          </w:tcPr>
          <w:p>
            <w:pPr>
              <w:jc w:val="center"/>
              <w:rPr>
                <w:rFonts w:hint="eastAsia"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00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sz w:val="21"/>
                <w:szCs w:val="21"/>
                <w:highlight w:val="none"/>
                <w:vertAlign w:val="baseline"/>
              </w:rPr>
            </w:pPr>
            <w:r>
              <w:rPr>
                <w:rFonts w:hint="eastAsia"/>
                <w:color w:val="auto"/>
                <w:sz w:val="21"/>
                <w:szCs w:val="21"/>
                <w:highlight w:val="none"/>
                <w:vertAlign w:val="baseline"/>
              </w:rPr>
              <w:t>根据学校要求设计形状,内部为海绵结构，大方美观。可移动团体活动垫色彩明亮,尺寸：50*50*15cm,，辅导垫在实际使用中同时可以作为装饰使用，很好的寓意加上特别的设计，是团体辅导室内不可或缺的配置。</w:t>
            </w:r>
          </w:p>
        </w:tc>
        <w:tc>
          <w:tcPr>
            <w:tcW w:w="720" w:type="dxa"/>
            <w:vAlign w:val="center"/>
          </w:tcPr>
          <w:p>
            <w:pPr>
              <w:jc w:val="center"/>
              <w:rPr>
                <w:rFonts w:hint="default" w:eastAsiaTheme="minor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40</w:t>
            </w:r>
          </w:p>
        </w:tc>
      </w:tr>
    </w:tbl>
    <w:p>
      <w:pPr>
        <w:spacing w:before="0" w:after="0" w:line="480" w:lineRule="auto"/>
        <w:ind w:right="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2、售后服务内容及要求：</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2.1质量保证：按本项目的行业规则或双方签订合同时的约定执行。</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w:t>
      </w:r>
      <w:r>
        <w:rPr>
          <w:rFonts w:hint="eastAsia" w:ascii="宋体" w:hAnsi="宋体" w:eastAsia="宋体" w:cs="宋体"/>
          <w:color w:val="auto"/>
          <w:spacing w:val="0"/>
          <w:position w:val="0"/>
          <w:sz w:val="24"/>
          <w:highlight w:val="none"/>
          <w:shd w:val="clear" w:fill="auto"/>
          <w:lang w:val="en-US" w:eastAsia="zh-CN"/>
        </w:rPr>
        <w:t>2</w:t>
      </w:r>
      <w:r>
        <w:rPr>
          <w:rFonts w:ascii="宋体" w:hAnsi="宋体" w:eastAsia="宋体" w:cs="宋体"/>
          <w:color w:val="auto"/>
          <w:spacing w:val="0"/>
          <w:position w:val="0"/>
          <w:sz w:val="24"/>
          <w:highlight w:val="none"/>
          <w:shd w:val="clear" w:fill="auto"/>
        </w:rPr>
        <w:t>交货地点：采购人指定地点。</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w:t>
      </w:r>
      <w:r>
        <w:rPr>
          <w:rFonts w:hint="eastAsia" w:ascii="宋体" w:hAnsi="宋体" w:eastAsia="宋体" w:cs="宋体"/>
          <w:color w:val="auto"/>
          <w:spacing w:val="0"/>
          <w:position w:val="0"/>
          <w:sz w:val="24"/>
          <w:highlight w:val="none"/>
          <w:shd w:val="clear" w:fill="auto"/>
          <w:lang w:val="en-US" w:eastAsia="zh-CN"/>
        </w:rPr>
        <w:t>3供货期</w:t>
      </w:r>
      <w:r>
        <w:rPr>
          <w:rFonts w:ascii="宋体" w:hAnsi="宋体" w:eastAsia="宋体" w:cs="宋体"/>
          <w:color w:val="auto"/>
          <w:spacing w:val="0"/>
          <w:position w:val="0"/>
          <w:sz w:val="24"/>
          <w:highlight w:val="none"/>
          <w:shd w:val="clear" w:fill="auto"/>
        </w:rPr>
        <w:t>：双方签订合同后</w:t>
      </w:r>
      <w:r>
        <w:rPr>
          <w:rFonts w:ascii="宋体" w:hAnsi="宋体" w:eastAsia="宋体" w:cs="宋体"/>
          <w:color w:val="auto"/>
          <w:spacing w:val="0"/>
          <w:position w:val="0"/>
          <w:sz w:val="24"/>
          <w:highlight w:val="none"/>
          <w:u w:val="single"/>
          <w:shd w:val="clear" w:fill="auto"/>
        </w:rPr>
        <w:t xml:space="preserve"> </w:t>
      </w:r>
      <w:r>
        <w:rPr>
          <w:rFonts w:hint="eastAsia" w:ascii="宋体" w:hAnsi="宋体" w:eastAsia="宋体" w:cs="宋体"/>
          <w:color w:val="auto"/>
          <w:spacing w:val="0"/>
          <w:position w:val="0"/>
          <w:sz w:val="24"/>
          <w:highlight w:val="none"/>
          <w:u w:val="single"/>
          <w:shd w:val="clear" w:fill="auto"/>
          <w:lang w:val="en-US" w:eastAsia="zh-CN"/>
        </w:rPr>
        <w:t>7</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日内。</w:t>
      </w:r>
    </w:p>
    <w:p>
      <w:pPr>
        <w:spacing w:before="0" w:after="0" w:line="42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w:t>
      </w:r>
      <w:r>
        <w:rPr>
          <w:rFonts w:hint="eastAsia" w:ascii="宋体" w:hAnsi="宋体" w:eastAsia="宋体" w:cs="宋体"/>
          <w:color w:val="auto"/>
          <w:spacing w:val="0"/>
          <w:position w:val="0"/>
          <w:sz w:val="24"/>
          <w:highlight w:val="none"/>
          <w:shd w:val="clear" w:fill="auto"/>
          <w:lang w:val="en-US" w:eastAsia="zh-CN"/>
        </w:rPr>
        <w:t>4</w:t>
      </w:r>
      <w:r>
        <w:rPr>
          <w:rFonts w:ascii="宋体" w:hAnsi="宋体" w:eastAsia="宋体" w:cs="宋体"/>
          <w:color w:val="auto"/>
          <w:spacing w:val="0"/>
          <w:position w:val="0"/>
          <w:sz w:val="24"/>
          <w:highlight w:val="none"/>
          <w:shd w:val="clear" w:fill="auto"/>
        </w:rPr>
        <w:t>验收：由最终用户组织验收。</w:t>
      </w:r>
    </w:p>
    <w:p>
      <w:pPr>
        <w:spacing w:before="0" w:after="0" w:line="480" w:lineRule="auto"/>
        <w:ind w:left="0" w:right="0" w:firstLine="0"/>
        <w:jc w:val="center"/>
        <w:rPr>
          <w:rFonts w:ascii="宋体" w:hAnsi="宋体" w:eastAsia="宋体" w:cs="宋体"/>
          <w:b/>
          <w:bCs/>
          <w:color w:val="auto"/>
          <w:spacing w:val="0"/>
          <w:position w:val="0"/>
          <w:sz w:val="24"/>
          <w:highlight w:val="none"/>
          <w:shd w:val="clear" w:fill="auto"/>
        </w:rPr>
        <w:sectPr>
          <w:pgSz w:w="11906" w:h="16838"/>
          <w:cols w:space="720" w:num="1"/>
          <w:docGrid w:type="lines" w:linePitch="312" w:charSpace="0"/>
        </w:sectPr>
      </w:pPr>
    </w:p>
    <w:p>
      <w:pPr>
        <w:spacing w:before="0" w:after="0" w:line="480" w:lineRule="auto"/>
        <w:ind w:left="0" w:right="0" w:firstLine="0"/>
        <w:jc w:val="center"/>
        <w:rPr>
          <w:rFonts w:ascii="宋体" w:hAnsi="宋体" w:eastAsia="宋体" w:cs="宋体"/>
          <w:b/>
          <w:bCs/>
          <w:color w:val="auto"/>
          <w:spacing w:val="0"/>
          <w:position w:val="0"/>
          <w:sz w:val="24"/>
          <w:highlight w:val="none"/>
          <w:shd w:val="clear" w:fill="auto"/>
        </w:rPr>
      </w:pPr>
      <w:r>
        <w:rPr>
          <w:rFonts w:ascii="宋体" w:hAnsi="宋体" w:eastAsia="宋体" w:cs="宋体"/>
          <w:b/>
          <w:bCs/>
          <w:color w:val="auto"/>
          <w:spacing w:val="0"/>
          <w:position w:val="0"/>
          <w:sz w:val="24"/>
          <w:highlight w:val="none"/>
          <w:shd w:val="clear" w:fill="auto"/>
        </w:rPr>
        <w:t>第四章  响应性文件内容及格式</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注：请供应商按照以下文件的要求格式、内容，顺序制作响应性文件，并编制目录及页码，否则可能将影响对响应性文件的评价。 </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重要提示：</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．供应商在编制响应性文件时，对于给定格式的文件内容，必须按照给定的标准格式进行填报；对于没有给定标准格式的文件内容，可以由供应商自行设计。</w:t>
      </w:r>
    </w:p>
    <w:p>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w:t>
      </w:r>
      <w:r>
        <w:rPr>
          <w:rFonts w:ascii="宋体" w:hAnsi="宋体" w:eastAsia="宋体" w:cs="宋体"/>
          <w:color w:val="auto"/>
          <w:spacing w:val="0"/>
          <w:position w:val="0"/>
          <w:sz w:val="24"/>
          <w:highlight w:val="none"/>
          <w:shd w:val="clear" w:fill="auto"/>
        </w:rPr>
        <w:t>.法定代表人本人参加竞争性磋商的，不需提供授权委托书。</w:t>
      </w: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格式2-1</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法定代表人身份证明书</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 xml:space="preserve"> </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同志，系我单位法定代表人，任</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职务。</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特此证明。</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附：联系地址：               </w:t>
      </w:r>
    </w:p>
    <w:p>
      <w:pPr>
        <w:spacing w:before="0" w:after="0" w:line="360" w:lineRule="auto"/>
        <w:ind w:left="0" w:right="0" w:firstLine="96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联系电话：</w:t>
      </w:r>
    </w:p>
    <w:tbl>
      <w:tblPr>
        <w:tblStyle w:val="15"/>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（※附：法定代表人身份证复印件</w:t>
            </w:r>
            <w:r>
              <w:rPr>
                <w:rFonts w:hint="eastAsia" w:ascii="宋体" w:hAnsi="宋体" w:eastAsia="宋体" w:cs="宋体"/>
                <w:b/>
                <w:color w:val="auto"/>
                <w:spacing w:val="0"/>
                <w:position w:val="0"/>
                <w:sz w:val="24"/>
                <w:highlight w:val="none"/>
                <w:shd w:val="clear" w:fill="auto"/>
                <w:lang w:val="en-US" w:eastAsia="zh-CN"/>
              </w:rPr>
              <w:t>正反面</w:t>
            </w:r>
            <w:r>
              <w:rPr>
                <w:rFonts w:ascii="宋体" w:hAnsi="宋体" w:eastAsia="宋体" w:cs="宋体"/>
                <w:b/>
                <w:color w:val="auto"/>
                <w:spacing w:val="0"/>
                <w:position w:val="0"/>
                <w:sz w:val="24"/>
                <w:highlight w:val="none"/>
                <w:shd w:val="clear" w:fill="auto"/>
              </w:rPr>
              <w:t>※）</w:t>
            </w:r>
          </w:p>
          <w:p>
            <w:pPr>
              <w:spacing w:before="0" w:after="0" w:line="48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480" w:lineRule="auto"/>
              <w:ind w:left="0" w:right="0" w:firstLine="0"/>
              <w:jc w:val="both"/>
              <w:rPr>
                <w:rFonts w:ascii="宋体" w:hAnsi="宋体" w:eastAsia="宋体" w:cs="宋体"/>
                <w:color w:val="auto"/>
                <w:spacing w:val="0"/>
                <w:position w:val="0"/>
                <w:highlight w:val="none"/>
                <w:shd w:val="clear" w:fill="auto"/>
              </w:rPr>
            </w:pPr>
          </w:p>
        </w:tc>
      </w:tr>
    </w:tbl>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38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投标人电子签章： </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格式2-2</w:t>
      </w:r>
    </w:p>
    <w:p>
      <w:pPr>
        <w:spacing w:before="0" w:after="0" w:line="360" w:lineRule="auto"/>
        <w:ind w:left="0" w:right="0" w:firstLine="48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授权委托书</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 xml:space="preserve"> </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委托人授权（被委托人的姓名、职务）为委托人的委托代理人，就项目编号为的项目及合同的执行，以本单位名义处理一切与之有关的事务。</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本授权书于年月日签字生效，特此声明。</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被委托人：</w:t>
      </w:r>
    </w:p>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w:t>
      </w:r>
    </w:p>
    <w:tbl>
      <w:tblPr>
        <w:tblStyle w:val="15"/>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48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（※附：被委托人身份证复印件</w:t>
            </w:r>
            <w:r>
              <w:rPr>
                <w:rFonts w:hint="eastAsia" w:ascii="宋体" w:hAnsi="宋体" w:eastAsia="宋体" w:cs="宋体"/>
                <w:b/>
                <w:color w:val="auto"/>
                <w:spacing w:val="0"/>
                <w:position w:val="0"/>
                <w:sz w:val="24"/>
                <w:highlight w:val="none"/>
                <w:shd w:val="clear" w:fill="auto"/>
                <w:lang w:val="en-US" w:eastAsia="zh-CN"/>
              </w:rPr>
              <w:t>正反面</w:t>
            </w:r>
            <w:r>
              <w:rPr>
                <w:rFonts w:ascii="宋体" w:hAnsi="宋体" w:eastAsia="宋体" w:cs="宋体"/>
                <w:b/>
                <w:color w:val="auto"/>
                <w:spacing w:val="0"/>
                <w:position w:val="0"/>
                <w:sz w:val="24"/>
                <w:highlight w:val="none"/>
                <w:shd w:val="clear" w:fill="auto"/>
              </w:rPr>
              <w:t>※）</w:t>
            </w:r>
          </w:p>
        </w:tc>
      </w:tr>
    </w:tbl>
    <w:p>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pStyle w:val="22"/>
        <w:rPr>
          <w:color w:val="auto"/>
          <w:highlight w:val="none"/>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格式2-3</w:t>
      </w: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供应商资格其他资料</w:t>
      </w: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格式3</w:t>
      </w:r>
    </w:p>
    <w:p>
      <w:pPr>
        <w:spacing w:before="0" w:after="0" w:line="5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投标函</w:t>
      </w:r>
    </w:p>
    <w:p>
      <w:pPr>
        <w:widowControl w:val="0"/>
        <w:spacing w:before="0" w:after="0" w:line="360" w:lineRule="auto"/>
        <w:ind w:left="0" w:right="0" w:firstLine="0"/>
        <w:jc w:val="left"/>
        <w:rPr>
          <w:rFonts w:hint="eastAsia" w:ascii="宋体" w:hAnsi="宋体" w:eastAsia="宋体" w:cs="宋体"/>
          <w:color w:val="auto"/>
          <w:spacing w:val="0"/>
          <w:position w:val="0"/>
          <w:sz w:val="24"/>
          <w:highlight w:val="none"/>
          <w:shd w:val="clear" w:fill="FFFFFF"/>
          <w:lang w:val="en-US" w:eastAsia="zh-CN"/>
        </w:rPr>
      </w:pPr>
      <w:r>
        <w:rPr>
          <w:rFonts w:ascii="宋体" w:hAnsi="宋体" w:eastAsia="宋体" w:cs="宋体"/>
          <w:color w:val="auto"/>
          <w:spacing w:val="0"/>
          <w:position w:val="0"/>
          <w:sz w:val="24"/>
          <w:highlight w:val="none"/>
          <w:shd w:val="clear" w:fill="FFFFFF"/>
        </w:rPr>
        <w:t>致：周口市公共资源交易中心</w:t>
      </w:r>
      <w:r>
        <w:rPr>
          <w:rFonts w:hint="eastAsia" w:ascii="宋体" w:hAnsi="宋体" w:eastAsia="宋体" w:cs="宋体"/>
          <w:color w:val="auto"/>
          <w:spacing w:val="0"/>
          <w:position w:val="0"/>
          <w:sz w:val="24"/>
          <w:highlight w:val="none"/>
          <w:shd w:val="clear" w:fill="FFFFFF"/>
          <w:lang w:eastAsia="zh-CN"/>
        </w:rPr>
        <w:t>（</w:t>
      </w:r>
      <w:r>
        <w:rPr>
          <w:rFonts w:ascii="宋体" w:hAnsi="宋体" w:eastAsia="宋体" w:cs="宋体"/>
          <w:color w:val="auto"/>
          <w:spacing w:val="0"/>
          <w:position w:val="0"/>
          <w:sz w:val="24"/>
          <w:highlight w:val="none"/>
          <w:shd w:val="clear" w:fill="FFFFFF"/>
        </w:rPr>
        <w:t>政府采购中心</w:t>
      </w:r>
      <w:r>
        <w:rPr>
          <w:rFonts w:hint="eastAsia" w:ascii="宋体" w:hAnsi="宋体" w:eastAsia="宋体" w:cs="宋体"/>
          <w:color w:val="auto"/>
          <w:spacing w:val="0"/>
          <w:position w:val="0"/>
          <w:sz w:val="24"/>
          <w:highlight w:val="none"/>
          <w:shd w:val="clear" w:fill="FFFFFF"/>
          <w:lang w:val="en-US" w:eastAsia="zh-CN"/>
        </w:rPr>
        <w:t>)</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widowControl w:val="0"/>
        <w:spacing w:before="0" w:after="0" w:line="240" w:lineRule="auto"/>
        <w:ind w:left="0" w:right="0" w:firstLine="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根据贵方              项目的竞争性磋商邀请（项目编号：          ），委托代理人      (全名、职务)</w:t>
      </w:r>
      <w:r>
        <w:rPr>
          <w:rFonts w:hint="eastAsia" w:ascii="宋体" w:hAnsi="宋体" w:eastAsia="宋体" w:cs="宋体"/>
          <w:color w:val="auto"/>
          <w:spacing w:val="0"/>
          <w:position w:val="0"/>
          <w:sz w:val="24"/>
          <w:highlight w:val="none"/>
          <w:shd w:val="clear" w:fill="auto"/>
          <w:lang w:eastAsia="zh-CN"/>
        </w:rPr>
        <w:t>签字，</w:t>
      </w:r>
      <w:r>
        <w:rPr>
          <w:rFonts w:ascii="宋体" w:hAnsi="宋体" w:eastAsia="宋体" w:cs="宋体"/>
          <w:color w:val="auto"/>
          <w:spacing w:val="0"/>
          <w:position w:val="0"/>
          <w:sz w:val="24"/>
          <w:highlight w:val="none"/>
          <w:shd w:val="clear" w:fill="auto"/>
        </w:rPr>
        <w:t>代表              供应商名称、地址)提交投标文件，报价为</w:t>
      </w:r>
      <w:r>
        <w:rPr>
          <w:rFonts w:ascii="宋体" w:hAnsi="宋体" w:eastAsia="宋体" w:cs="宋体"/>
          <w:color w:val="auto"/>
          <w:spacing w:val="0"/>
          <w:position w:val="0"/>
          <w:sz w:val="24"/>
          <w:highlight w:val="none"/>
          <w:u w:val="single"/>
          <w:shd w:val="clear" w:fill="auto"/>
        </w:rPr>
        <w:t>：    元，</w:t>
      </w:r>
      <w:r>
        <w:rPr>
          <w:rFonts w:ascii="宋体" w:hAnsi="宋体" w:eastAsia="宋体" w:cs="宋体"/>
          <w:color w:val="auto"/>
          <w:spacing w:val="0"/>
          <w:position w:val="0"/>
          <w:sz w:val="24"/>
          <w:highlight w:val="none"/>
          <w:shd w:val="clear" w:fill="auto"/>
        </w:rPr>
        <w:t>并对之负法律责任。</w:t>
      </w:r>
    </w:p>
    <w:p>
      <w:pPr>
        <w:spacing w:before="0" w:after="0" w:line="240" w:lineRule="auto"/>
        <w:ind w:left="0" w:right="0" w:firstLine="56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据此函，宣布同意如下：</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(1)我们完全理解贵方不一定要接受最低报价，并同意本文件规定的响应性文件有效期。</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(2)我们已详细审核全部竞争性磋商文件，我们知道必须放弃提出含糊不清或误解的问题的权利。</w:t>
      </w:r>
    </w:p>
    <w:p>
      <w:pPr>
        <w:numPr>
          <w:ilvl w:val="0"/>
          <w:numId w:val="29"/>
        </w:num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同意向贵方提供贵方可能另外要求的与其竞争性磋商有关的任何证据和资料。</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(4)一旦我们成交，我们将严格履行合同责任和义务。</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(5)我们完全理解不向未成交人解释未成交理由的义务。</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(6)与本次竞争性磋商有关的正式通讯地址为：</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                  邮 编：</w:t>
      </w:r>
    </w:p>
    <w:p>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电 话：                  传 真：</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我们保证：</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(1)不提供虚假材料谋取成交；</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(2)不以不正当手段抵毁、排挤其他供应商；</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(3)不与采购人和其它供应商恶意串通；</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(4)不向采购人和采购代理机构提供不正当利益；</w:t>
      </w:r>
    </w:p>
    <w:p>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(5)不拒绝有关部门监督检查或提供虚假情况。</w:t>
      </w:r>
    </w:p>
    <w:p>
      <w:pPr>
        <w:spacing w:before="0" w:after="0" w:line="560" w:lineRule="auto"/>
        <w:ind w:left="0" w:right="0" w:firstLine="72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联系人：              联系电话：</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336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格式4</w:t>
      </w:r>
    </w:p>
    <w:p>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一．报价一览表</w:t>
      </w:r>
    </w:p>
    <w:tbl>
      <w:tblPr>
        <w:tblStyle w:val="15"/>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最终投标报价（包：）</w:t>
            </w:r>
          </w:p>
          <w:p>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 xml:space="preserve">投标总价：       大写：           </w:t>
            </w: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val="en-US" w:eastAsia="zh-CN"/>
              </w:rPr>
              <w:t>供货期</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sz w:val="24"/>
                <w:highlight w:val="none"/>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highlight w:val="none"/>
                <w:shd w:val="clear" w:fill="auto"/>
              </w:rPr>
            </w:pPr>
          </w:p>
        </w:tc>
      </w:tr>
    </w:tbl>
    <w:p>
      <w:pPr>
        <w:spacing w:before="100" w:after="100" w:line="360" w:lineRule="auto"/>
        <w:ind w:left="0" w:right="0" w:firstLine="492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备注：</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1、此表用于开标会唱标之用。</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2、表中最终投标报价即为优惠后报价，并作为评审及定标依据。任何有选择或有条件的最终投标报价，或者表中某一包填写多个报价，均为无效报价。</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格式5</w:t>
      </w:r>
    </w:p>
    <w:p>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．投标分项报价表</w:t>
      </w: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谈判供应商名称：</w:t>
      </w: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单位：元</w:t>
      </w:r>
    </w:p>
    <w:tbl>
      <w:tblPr>
        <w:tblStyle w:val="15"/>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小计</w:t>
            </w: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总价（人民币大写）：￥</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元</w:t>
            </w:r>
          </w:p>
        </w:tc>
      </w:tr>
    </w:tbl>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谈判供应商代表签字：谈判供应商公章日期：</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格式6                     </w:t>
      </w:r>
      <w:r>
        <w:rPr>
          <w:rFonts w:ascii="宋体" w:hAnsi="宋体" w:eastAsia="宋体" w:cs="宋体"/>
          <w:b/>
          <w:color w:val="auto"/>
          <w:spacing w:val="0"/>
          <w:position w:val="0"/>
          <w:sz w:val="24"/>
          <w:highlight w:val="none"/>
          <w:shd w:val="clear" w:fill="auto"/>
        </w:rPr>
        <w:t>技术参数响应表</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5"/>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按投标人所投内容填写</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偏离说明</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bl>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(可根据需求自行更改)</w:t>
      </w: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5250" w:right="0" w:firstLine="2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60" w:lineRule="auto"/>
        <w:ind w:left="0" w:right="0" w:firstLine="0"/>
        <w:jc w:val="righ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sectPr>
          <w:pgSz w:w="11906" w:h="16838"/>
          <w:cols w:space="720" w:num="1"/>
          <w:docGrid w:type="lines" w:linePitch="312" w:charSpace="0"/>
        </w:sectPr>
      </w:pPr>
    </w:p>
    <w:p>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格式7</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售后服务承诺</w:t>
      </w:r>
    </w:p>
    <w:p>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80" w:lineRule="auto"/>
        <w:ind w:left="0" w:right="0" w:firstLine="36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400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pPr>
        <w:spacing w:before="0" w:after="0" w:line="380" w:lineRule="auto"/>
        <w:ind w:left="0" w:right="640" w:firstLine="4680"/>
        <w:jc w:val="both"/>
        <w:rPr>
          <w:rFonts w:ascii="宋体" w:hAnsi="宋体" w:eastAsia="宋体" w:cs="宋体"/>
          <w:color w:val="auto"/>
          <w:spacing w:val="0"/>
          <w:position w:val="0"/>
          <w:sz w:val="24"/>
          <w:highlight w:val="none"/>
          <w:shd w:val="clear" w:fill="auto"/>
        </w:rPr>
      </w:pPr>
    </w:p>
    <w:p>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pPr>
        <w:spacing w:before="0" w:after="0" w:line="380" w:lineRule="auto"/>
        <w:ind w:left="0" w:right="0" w:firstLine="3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80" w:lineRule="auto"/>
        <w:ind w:left="0" w:right="0" w:firstLine="360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color w:val="auto"/>
          <w:highlight w:val="none"/>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格式8</w:t>
      </w:r>
    </w:p>
    <w:p>
      <w:pPr>
        <w:spacing w:before="0" w:after="0" w:line="360" w:lineRule="auto"/>
        <w:ind w:left="0" w:right="0" w:firstLine="16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pStyle w:val="24"/>
        <w:rPr>
          <w:color w:val="auto"/>
          <w:highlight w:val="none"/>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80" w:lineRule="auto"/>
        <w:ind w:left="0" w:right="0" w:firstLine="336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rFonts w:ascii="宋体" w:hAnsi="宋体" w:eastAsia="宋体" w:cs="宋体"/>
          <w:b/>
          <w:color w:val="auto"/>
          <w:spacing w:val="0"/>
          <w:position w:val="0"/>
          <w:sz w:val="24"/>
          <w:highlight w:val="none"/>
          <w:shd w:val="clear" w:fill="auto"/>
        </w:rPr>
      </w:pPr>
    </w:p>
    <w:p>
      <w:pPr>
        <w:pStyle w:val="24"/>
        <w:rPr>
          <w:rFonts w:ascii="宋体" w:hAnsi="宋体" w:eastAsia="宋体" w:cs="宋体"/>
          <w:b/>
          <w:color w:val="auto"/>
          <w:spacing w:val="0"/>
          <w:position w:val="0"/>
          <w:sz w:val="24"/>
          <w:highlight w:val="none"/>
          <w:shd w:val="clear" w:fill="auto"/>
        </w:rPr>
      </w:pPr>
    </w:p>
    <w:p>
      <w:pPr>
        <w:pStyle w:val="6"/>
        <w:rPr>
          <w:rFonts w:ascii="宋体" w:hAnsi="宋体" w:eastAsia="宋体" w:cs="宋体"/>
          <w:b/>
          <w:color w:val="auto"/>
          <w:spacing w:val="0"/>
          <w:position w:val="0"/>
          <w:sz w:val="24"/>
          <w:highlight w:val="none"/>
          <w:shd w:val="clear" w:fill="auto"/>
        </w:rPr>
      </w:pPr>
    </w:p>
    <w:p>
      <w:pPr>
        <w:rPr>
          <w:color w:val="auto"/>
          <w:highlight w:val="none"/>
        </w:rPr>
      </w:pPr>
    </w:p>
    <w:p>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格式9</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供的货物全部由符合政策要求的中小企业制造。相关企业</w:t>
      </w:r>
      <w:r>
        <w:rPr>
          <w:rFonts w:hint="eastAsia" w:ascii="宋体" w:hAnsi="宋体" w:eastAsia="宋体" w:cs="宋体"/>
          <w:color w:val="auto"/>
          <w:sz w:val="24"/>
          <w:szCs w:val="24"/>
          <w:highlight w:val="none"/>
          <w:u w:val="none"/>
        </w:rPr>
        <w:t>（含联合体中的中小企业、签订分包意向协议的中小企业）</w:t>
      </w:r>
      <w:r>
        <w:rPr>
          <w:rFonts w:hint="eastAsia" w:ascii="宋体" w:hAnsi="宋体" w:eastAsia="宋体" w:cs="宋体"/>
          <w:color w:val="auto"/>
          <w:sz w:val="24"/>
          <w:szCs w:val="24"/>
          <w:highlight w:val="none"/>
        </w:rPr>
        <w:t>的具体情况如下：</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pPr>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before="0" w:after="0" w:line="360" w:lineRule="auto"/>
        <w:ind w:left="0" w:right="0" w:firstLine="5040" w:firstLineChars="210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z w:val="24"/>
          <w:szCs w:val="24"/>
          <w:highlight w:val="none"/>
        </w:rPr>
        <w:t>日 期：</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2.本项目如是只面向中小企业采购的应当必须提供。</w:t>
      </w: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6"/>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6"/>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pStyle w:val="22"/>
        <w:rPr>
          <w:rFonts w:ascii="宋体" w:hAnsi="宋体" w:eastAsia="宋体" w:cs="宋体"/>
          <w:color w:val="auto"/>
          <w:spacing w:val="0"/>
          <w:position w:val="0"/>
          <w:sz w:val="24"/>
          <w:highlight w:val="none"/>
          <w:shd w:val="clear" w:fill="auto"/>
        </w:rPr>
      </w:pPr>
    </w:p>
    <w:p>
      <w:pPr>
        <w:spacing w:before="0" w:after="0" w:line="360" w:lineRule="auto"/>
        <w:ind w:left="0" w:right="0" w:firstLine="480"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w:t>
      </w:r>
      <w:r>
        <w:rPr>
          <w:rFonts w:hint="eastAsia" w:ascii="宋体" w:hAnsi="宋体" w:eastAsia="宋体" w:cs="宋体"/>
          <w:color w:val="auto"/>
          <w:spacing w:val="0"/>
          <w:position w:val="0"/>
          <w:sz w:val="24"/>
          <w:highlight w:val="none"/>
          <w:shd w:val="clear" w:fill="auto"/>
          <w:lang w:val="en-US" w:eastAsia="zh-CN"/>
        </w:rPr>
        <w:t>10</w:t>
      </w:r>
      <w:r>
        <w:rPr>
          <w:rFonts w:ascii="宋体" w:hAnsi="宋体" w:eastAsia="宋体" w:cs="宋体"/>
          <w:color w:val="auto"/>
          <w:spacing w:val="0"/>
          <w:position w:val="0"/>
          <w:sz w:val="24"/>
          <w:highlight w:val="none"/>
          <w:shd w:val="clear" w:fill="auto"/>
        </w:rPr>
        <w:t xml:space="preserve">  其他资料</w:t>
      </w: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6"/>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6"/>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rFonts w:ascii="宋体" w:hAnsi="宋体" w:eastAsia="宋体" w:cs="宋体"/>
          <w:color w:val="auto"/>
          <w:spacing w:val="0"/>
          <w:position w:val="0"/>
          <w:sz w:val="24"/>
          <w:highlight w:val="none"/>
          <w:shd w:val="clear" w:fill="auto"/>
        </w:rPr>
      </w:pPr>
    </w:p>
    <w:p>
      <w:pPr>
        <w:pStyle w:val="6"/>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eastAsia="zh-CN"/>
        </w:rPr>
        <w:t>、</w:t>
      </w:r>
    </w:p>
    <w:p>
      <w:pPr>
        <w:pStyle w:val="22"/>
        <w:rPr>
          <w:rFonts w:hint="eastAsia" w:ascii="宋体" w:hAnsi="宋体" w:eastAsia="宋体" w:cs="宋体"/>
          <w:color w:val="auto"/>
          <w:spacing w:val="0"/>
          <w:position w:val="0"/>
          <w:sz w:val="24"/>
          <w:highlight w:val="none"/>
          <w:shd w:val="clear" w:fill="auto"/>
          <w:lang w:eastAsia="zh-CN"/>
        </w:rPr>
      </w:pPr>
    </w:p>
    <w:p>
      <w:pPr>
        <w:pStyle w:val="22"/>
        <w:rPr>
          <w:rFonts w:hint="eastAsia" w:ascii="宋体" w:hAnsi="宋体" w:eastAsia="宋体" w:cs="宋体"/>
          <w:color w:val="auto"/>
          <w:spacing w:val="0"/>
          <w:position w:val="0"/>
          <w:sz w:val="24"/>
          <w:highlight w:val="none"/>
          <w:shd w:val="clear" w:fill="auto"/>
          <w:lang w:eastAsia="zh-CN"/>
        </w:rPr>
      </w:pPr>
    </w:p>
    <w:p>
      <w:pPr>
        <w:pStyle w:val="22"/>
        <w:rPr>
          <w:rFonts w:hint="eastAsia" w:ascii="宋体" w:hAnsi="宋体" w:eastAsia="宋体" w:cs="宋体"/>
          <w:color w:val="auto"/>
          <w:spacing w:val="0"/>
          <w:position w:val="0"/>
          <w:sz w:val="24"/>
          <w:highlight w:val="none"/>
          <w:shd w:val="clear" w:fill="auto"/>
          <w:lang w:eastAsia="zh-CN"/>
        </w:rPr>
      </w:pPr>
    </w:p>
    <w:p>
      <w:pPr>
        <w:pStyle w:val="24"/>
        <w:rPr>
          <w:rFonts w:ascii="宋体" w:hAnsi="宋体" w:eastAsia="宋体" w:cs="宋体"/>
          <w:color w:val="auto"/>
          <w:spacing w:val="0"/>
          <w:position w:val="0"/>
          <w:sz w:val="24"/>
          <w:highlight w:val="none"/>
          <w:shd w:val="clear" w:fill="auto"/>
        </w:rPr>
      </w:pPr>
    </w:p>
    <w:p>
      <w:pPr>
        <w:pStyle w:val="6"/>
        <w:rPr>
          <w:rFonts w:ascii="宋体" w:hAnsi="宋体" w:eastAsia="宋体" w:cs="宋体"/>
          <w:color w:val="auto"/>
          <w:spacing w:val="0"/>
          <w:position w:val="0"/>
          <w:sz w:val="24"/>
          <w:highlight w:val="none"/>
          <w:shd w:val="clear" w:fill="auto"/>
        </w:rPr>
      </w:pPr>
    </w:p>
    <w:p>
      <w:pPr>
        <w:rPr>
          <w:rFonts w:ascii="宋体" w:hAnsi="宋体" w:eastAsia="宋体" w:cs="宋体"/>
          <w:color w:val="auto"/>
          <w:spacing w:val="0"/>
          <w:position w:val="0"/>
          <w:sz w:val="24"/>
          <w:highlight w:val="none"/>
          <w:shd w:val="clear" w:fill="auto"/>
        </w:rPr>
      </w:pPr>
    </w:p>
    <w:p>
      <w:pPr>
        <w:pStyle w:val="24"/>
        <w:rPr>
          <w:color w:val="auto"/>
          <w:highlight w:val="none"/>
        </w:rPr>
      </w:pPr>
    </w:p>
    <w:p>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pPr>
        <w:spacing w:before="0" w:after="0" w:line="360" w:lineRule="auto"/>
        <w:ind w:left="0" w:right="0" w:firstLine="0"/>
        <w:jc w:val="both"/>
        <w:rPr>
          <w:rFonts w:hint="eastAsia" w:ascii="宋体" w:hAnsi="宋体" w:eastAsia="宋体" w:cs="宋体"/>
          <w:b/>
          <w:color w:val="auto"/>
          <w:spacing w:val="0"/>
          <w:position w:val="0"/>
          <w:sz w:val="21"/>
          <w:szCs w:val="21"/>
          <w:highlight w:val="none"/>
          <w:shd w:val="clear" w:fill="auto"/>
          <w:lang w:eastAsia="zh-CN"/>
        </w:rPr>
      </w:pPr>
      <w:r>
        <w:rPr>
          <w:rFonts w:hint="eastAsia" w:ascii="宋体" w:hAnsi="宋体" w:eastAsia="宋体" w:cs="宋体"/>
          <w:color w:val="auto"/>
          <w:spacing w:val="0"/>
          <w:position w:val="0"/>
          <w:sz w:val="21"/>
          <w:szCs w:val="21"/>
          <w:highlight w:val="none"/>
          <w:shd w:val="clear" w:fill="auto"/>
        </w:rPr>
        <w:t>格式1</w:t>
      </w:r>
      <w:r>
        <w:rPr>
          <w:rFonts w:hint="eastAsia" w:ascii="宋体" w:hAnsi="宋体" w:eastAsia="宋体" w:cs="宋体"/>
          <w:color w:val="auto"/>
          <w:spacing w:val="0"/>
          <w:position w:val="0"/>
          <w:sz w:val="21"/>
          <w:szCs w:val="21"/>
          <w:highlight w:val="none"/>
          <w:shd w:val="clear" w:fill="auto"/>
          <w:lang w:val="en-US" w:eastAsia="zh-CN"/>
        </w:rPr>
        <w:t>1</w:t>
      </w:r>
    </w:p>
    <w:p>
      <w:pPr>
        <w:spacing w:before="0" w:after="0" w:line="380" w:lineRule="auto"/>
        <w:ind w:left="0" w:right="0" w:firstLine="0"/>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政府采购供应商诚信承诺书</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72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（一）提供虚假材料谋取中标;</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（二）采取不正当手段诋毁、排挤其他供应商;</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（三）与招标采购单位、其他投标人恶意串通;</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（四）向招标采购单位或提供其他不正当利益;</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（五）在招标过程中与招标采购单位进行协商谈判、不按照招标文件和投标文件订立合同，或者与采购人另立背离合同实质性内容协议;</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（六）开标后擅自撤销投标，影响招标继续进行的或领取招标文件纳投标保证金后不投标导致废标;</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（七）中标后无正当理由，在规定时间内不与采购单位签订合同;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（八）将中标项目转让给他人或非法分包他人;</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（九）无正当理由，拒绝履行合同义务;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（十）无正当理由放弃中标（成交）项目;</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（十ー）撞自或与与采购人串通或接受采购人要求，在履约合同中通过减少货物数量，更换品牌、降低配置、技术要求、质量和服务标准等，却仍按原合同进行虚假验收或终止政府采购合同;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（十二）与采购人串通，对尚未履约完毕的采购项目出具虚假验收报告；</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（十三）无不可抗力因素，拒绝提供售后服务、售后服务态度恶劣、故意提高维修配件价格（高于市场平均价）；</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（十四）开标后对招标文件的相关内容再进行质疑；</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（十五）恶意投诉的行为：投诉经查无实据的、捏造事实或者提供虚假设诉材料；</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（十六）拒绝有关部门监督检查或者提供虚假情况；</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ind w:left="0" w:right="0" w:firstLine="0"/>
        <w:jc w:val="both"/>
        <w:textAlignment w:val="auto"/>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（十七）政府采购监管部门认定的其他政府采购活动中的不诚信行为。</w:t>
      </w: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供应商名称：（盖章）</w:t>
      </w: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法人代表</w:t>
      </w:r>
      <w:r>
        <w:rPr>
          <w:rFonts w:hint="eastAsia" w:ascii="宋体" w:hAnsi="宋体" w:eastAsia="宋体" w:cs="宋体"/>
          <w:color w:val="auto"/>
          <w:spacing w:val="0"/>
          <w:position w:val="0"/>
          <w:sz w:val="21"/>
          <w:szCs w:val="21"/>
          <w:highlight w:val="none"/>
          <w:shd w:val="clear" w:fill="auto"/>
          <w:lang w:val="en-US" w:eastAsia="zh-CN"/>
        </w:rPr>
        <w:t>和</w:t>
      </w:r>
      <w:r>
        <w:rPr>
          <w:rFonts w:hint="eastAsia" w:ascii="宋体" w:hAnsi="宋体" w:eastAsia="宋体" w:cs="宋体"/>
          <w:color w:val="auto"/>
          <w:spacing w:val="0"/>
          <w:position w:val="0"/>
          <w:sz w:val="21"/>
          <w:szCs w:val="21"/>
          <w:highlight w:val="none"/>
          <w:shd w:val="clear" w:fill="auto"/>
        </w:rPr>
        <w:t>授权委托人：（签字）</w:t>
      </w:r>
    </w:p>
    <w:p>
      <w:pPr>
        <w:spacing w:before="0" w:after="0" w:line="240" w:lineRule="auto"/>
        <w:ind w:left="0" w:right="0" w:firstLine="3360"/>
        <w:jc w:val="both"/>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3360"/>
        <w:jc w:val="both"/>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日期：年月日</w:t>
      </w:r>
    </w:p>
    <w:p>
      <w:pPr>
        <w:spacing w:before="0" w:after="0" w:line="240" w:lineRule="auto"/>
        <w:ind w:left="0" w:right="0" w:firstLine="0"/>
        <w:jc w:val="center"/>
        <w:rPr>
          <w:rFonts w:hint="eastAsia" w:ascii="宋体" w:hAnsi="宋体" w:eastAsia="宋体" w:cs="宋体"/>
          <w:b/>
          <w:color w:val="auto"/>
          <w:spacing w:val="0"/>
          <w:position w:val="0"/>
          <w:sz w:val="21"/>
          <w:szCs w:val="21"/>
          <w:highlight w:val="none"/>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pPr>
        <w:spacing w:before="0" w:after="0" w:line="240" w:lineRule="auto"/>
        <w:ind w:left="0" w:right="0" w:firstLine="321"/>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周口市政府采购合同融资政策告知函</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各供应商：</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欢迎贵公司参与周口市政府采购活动！</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贷款渠道和提供贷款的金融机构，可在河南省政府采购网“河南省政府采购合同融资平台”查询联系。</w:t>
      </w:r>
    </w:p>
    <w:p>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pPr>
        <w:pStyle w:val="24"/>
        <w:rPr>
          <w:rFonts w:hint="eastAsia" w:ascii="宋体" w:hAnsi="宋体" w:eastAsia="宋体" w:cs="宋体"/>
          <w:b/>
          <w:color w:val="auto"/>
          <w:spacing w:val="0"/>
          <w:position w:val="0"/>
          <w:sz w:val="21"/>
          <w:szCs w:val="21"/>
          <w:highlight w:val="none"/>
          <w:shd w:val="clear" w:fill="auto"/>
        </w:rPr>
      </w:pPr>
    </w:p>
    <w:p>
      <w:pPr>
        <w:pStyle w:val="6"/>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6"/>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6"/>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6"/>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rFonts w:ascii="宋体" w:hAnsi="宋体" w:eastAsia="宋体" w:cs="宋体"/>
          <w:b/>
          <w:color w:val="auto"/>
          <w:spacing w:val="0"/>
          <w:position w:val="0"/>
          <w:sz w:val="28"/>
          <w:highlight w:val="none"/>
          <w:shd w:val="clear" w:fill="auto"/>
        </w:rPr>
      </w:pPr>
    </w:p>
    <w:p>
      <w:pPr>
        <w:pStyle w:val="6"/>
        <w:rPr>
          <w:rFonts w:ascii="宋体" w:hAnsi="宋体" w:eastAsia="宋体" w:cs="宋体"/>
          <w:b/>
          <w:color w:val="auto"/>
          <w:spacing w:val="0"/>
          <w:position w:val="0"/>
          <w:sz w:val="28"/>
          <w:highlight w:val="none"/>
          <w:shd w:val="clear" w:fill="auto"/>
        </w:rPr>
      </w:pPr>
    </w:p>
    <w:p>
      <w:pPr>
        <w:rPr>
          <w:rFonts w:ascii="宋体" w:hAnsi="宋体" w:eastAsia="宋体" w:cs="宋体"/>
          <w:b/>
          <w:color w:val="auto"/>
          <w:spacing w:val="0"/>
          <w:position w:val="0"/>
          <w:sz w:val="28"/>
          <w:highlight w:val="none"/>
          <w:shd w:val="clear" w:fill="auto"/>
        </w:rPr>
      </w:pPr>
    </w:p>
    <w:p>
      <w:pPr>
        <w:pStyle w:val="24"/>
        <w:rPr>
          <w:color w:val="auto"/>
          <w:highlight w:val="none"/>
        </w:rPr>
      </w:pPr>
    </w:p>
    <w:p>
      <w:pPr>
        <w:numPr>
          <w:ilvl w:val="0"/>
          <w:numId w:val="30"/>
        </w:numPr>
        <w:spacing w:before="0" w:after="0" w:line="360" w:lineRule="auto"/>
        <w:ind w:left="0" w:right="0" w:firstLine="0"/>
        <w:jc w:val="center"/>
        <w:rPr>
          <w:rFonts w:ascii="宋体" w:hAnsi="宋体" w:eastAsia="宋体" w:cs="宋体"/>
          <w:b/>
          <w:color w:val="auto"/>
          <w:spacing w:val="0"/>
          <w:position w:val="0"/>
          <w:sz w:val="28"/>
          <w:highlight w:val="none"/>
          <w:shd w:val="clear" w:fill="auto"/>
        </w:rPr>
      </w:pPr>
    </w:p>
    <w:p>
      <w:pPr>
        <w:numPr>
          <w:ilvl w:val="0"/>
          <w:numId w:val="30"/>
        </w:numPr>
        <w:spacing w:before="0" w:after="0" w:line="360" w:lineRule="auto"/>
        <w:ind w:left="0" w:right="0" w:firstLine="0"/>
        <w:jc w:val="center"/>
        <w:rPr>
          <w:rFonts w:ascii="宋体" w:hAnsi="宋体" w:eastAsia="宋体" w:cs="宋体"/>
          <w:b/>
          <w:color w:val="auto"/>
          <w:spacing w:val="0"/>
          <w:position w:val="0"/>
          <w:sz w:val="28"/>
          <w:highlight w:val="none"/>
          <w:shd w:val="clear" w:fill="auto"/>
        </w:rPr>
      </w:pPr>
      <w:r>
        <w:rPr>
          <w:rFonts w:ascii="宋体" w:hAnsi="宋体" w:eastAsia="宋体" w:cs="宋体"/>
          <w:b/>
          <w:color w:val="auto"/>
          <w:spacing w:val="0"/>
          <w:position w:val="0"/>
          <w:sz w:val="28"/>
          <w:highlight w:val="none"/>
          <w:shd w:val="clear" w:fill="auto"/>
        </w:rPr>
        <w:t xml:space="preserve"> </w:t>
      </w:r>
    </w:p>
    <w:p>
      <w:pPr>
        <w:spacing w:before="0" w:after="0" w:line="50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周口市政府采购合同（货物类）标准文本</w:t>
      </w:r>
    </w:p>
    <w:p>
      <w:pPr>
        <w:spacing w:before="0" w:after="0" w:line="240" w:lineRule="auto"/>
        <w:ind w:left="0" w:right="0" w:firstLine="0"/>
        <w:jc w:val="both"/>
        <w:rPr>
          <w:rFonts w:ascii="黑体" w:hAnsi="黑体" w:eastAsia="黑体" w:cs="黑体"/>
          <w:color w:val="auto"/>
          <w:spacing w:val="0"/>
          <w:position w:val="0"/>
          <w:sz w:val="32"/>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政府采购项目名称：</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政府采购项目编号：</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采      购    人：</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供      应    商：</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 订 地：</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签订 时 间：</w:t>
      </w: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p>
    <w:p>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p>
    <w:p>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合同签订指引</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一、采购人在签订合同时应提供的资料：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、该政府采购项目的招标采购文件（以网上发布内容为准）；</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、该政府采购项目招标文件的澄清和修改内容（公告内容）；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、该政府采购项目评审报告；</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、采购单位法人授权委托书（法人到场并签字的除外）；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、采购单位被授权人身份证件（法人到场并签字的除外）；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、采购人和中标供应商约定的其它内容（不得超出招标采购文件实质性内容）。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二、供应商在签订合同时应提供的资料：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、该政府采购项目的投标文件（纸质或</w:t>
      </w:r>
      <w:r>
        <w:rPr>
          <w:rFonts w:ascii="Times New Roman" w:hAnsi="Times New Roman" w:eastAsia="Times New Roman" w:cs="Times New Roman"/>
          <w:color w:val="auto"/>
          <w:spacing w:val="0"/>
          <w:position w:val="0"/>
          <w:sz w:val="21"/>
          <w:highlight w:val="none"/>
          <w:shd w:val="clear" w:fill="auto"/>
        </w:rPr>
        <w:t>DPF</w:t>
      </w:r>
      <w:r>
        <w:rPr>
          <w:rFonts w:ascii="宋体" w:hAnsi="宋体" w:eastAsia="宋体" w:cs="宋体"/>
          <w:color w:val="auto"/>
          <w:spacing w:val="0"/>
          <w:position w:val="0"/>
          <w:sz w:val="21"/>
          <w:highlight w:val="none"/>
          <w:shd w:val="clear" w:fill="auto"/>
        </w:rPr>
        <w:t>格式的电子投标文件）；</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、针对该项目评审时评审委员会提出的质询答复（纸质并签章）；</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、该政府采购项目中标通知书；</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、供应商法人授权委托书（法人到场并签字的除外）；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、供应商和采购人约定的其它内容（不得超出招标采购文件实质性内容）。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highlight w:val="none"/>
          <w:shd w:val="clear" w:fill="auto"/>
        </w:rPr>
      </w:pPr>
      <w:r>
        <w:rPr>
          <w:rFonts w:ascii="宋体" w:hAnsi="宋体" w:eastAsia="宋体" w:cs="宋体"/>
          <w:color w:val="auto"/>
          <w:spacing w:val="0"/>
          <w:position w:val="0"/>
          <w:sz w:val="21"/>
          <w:highlight w:val="none"/>
          <w:shd w:val="clear" w:fill="auto"/>
        </w:rPr>
        <w:t>三、本合同签订后二个工作日内有采购人在“周口市政府采购网”上进行合同公示。</w:t>
      </w: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供应商履约验收指引</w:t>
      </w:r>
    </w:p>
    <w:p>
      <w:pPr>
        <w:widowControl w:val="0"/>
        <w:numPr>
          <w:ilvl w:val="0"/>
          <w:numId w:val="31"/>
        </w:numPr>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供应商不得擅自变更合同标的物内容；</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2、不得以次充好、高投低配，确因在合同执行中不可抗力因素造成的，应提供相关依据；</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3、对因客观上采购人采购需求发生变化造成的，应提供采、供双方的纸质备忘录材料；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、在满足验收条件</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个工作日内通知采购人组织验收；</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、供应商应提供需验收物品的清单、参数、使用手册、人员培训情况等资料；</w:t>
      </w:r>
    </w:p>
    <w:p>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6、采、供双方约定的验收机构及相关人员组成情况。</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7、督促采购人在项目验收结束并达到相关要求后一个工作日内，在“周口市政府采购网”上进行“履约验收”公示。</w:t>
      </w:r>
    </w:p>
    <w:p>
      <w:pPr>
        <w:spacing w:before="0" w:after="0" w:line="520" w:lineRule="auto"/>
        <w:ind w:left="0" w:right="0" w:firstLine="0"/>
        <w:jc w:val="center"/>
        <w:rPr>
          <w:rFonts w:ascii="宋体" w:hAnsi="宋体" w:eastAsia="宋体" w:cs="宋体"/>
          <w:color w:val="auto"/>
          <w:spacing w:val="0"/>
          <w:position w:val="0"/>
          <w:sz w:val="28"/>
          <w:highlight w:val="none"/>
          <w:shd w:val="clear" w:fill="auto"/>
        </w:rPr>
        <w:sectPr>
          <w:pgSz w:w="11906" w:h="16838"/>
          <w:cols w:space="720" w:num="1"/>
          <w:docGrid w:type="lines" w:linePitch="312" w:charSpace="0"/>
        </w:sectPr>
      </w:pPr>
    </w:p>
    <w:p>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采购合同内容</w:t>
      </w:r>
    </w:p>
    <w:p>
      <w:pPr>
        <w:spacing w:before="0" w:after="0" w:line="52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供应商（乙方）：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签订地点：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项目名称：</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项目编号：</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财政委托号：</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财政资金项目必须填写</w:t>
      </w:r>
      <w:r>
        <w:rPr>
          <w:rFonts w:ascii="Times New Roman" w:hAnsi="Times New Roman" w:eastAsia="Times New Roman" w:cs="Times New Roman"/>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本项目经批准采用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b/>
          <w:color w:val="auto"/>
          <w:spacing w:val="0"/>
          <w:position w:val="0"/>
          <w:sz w:val="21"/>
          <w:highlight w:val="none"/>
          <w:shd w:val="clear" w:fill="auto"/>
        </w:rPr>
        <w:t>第一条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产品的名称、品种、规格、数量和价格：（若产品过多则见附表，如有附表则必须加盖印章）</w:t>
      </w:r>
    </w:p>
    <w:tbl>
      <w:tblPr>
        <w:tblStyle w:val="15"/>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w:t>
            </w: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合同总价款（大小写）：</w:t>
            </w:r>
          </w:p>
          <w:p>
            <w:pPr>
              <w:spacing w:before="0" w:after="0" w:line="360" w:lineRule="auto"/>
              <w:ind w:left="0" w:right="0" w:firstLine="420"/>
              <w:jc w:val="both"/>
              <w:rPr>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备注：上述产品报价含产品生产、运输</w:t>
            </w:r>
            <w:r>
              <w:rPr>
                <w:rFonts w:ascii="Times New Roman" w:hAnsi="Times New Roman" w:eastAsia="Times New Roman" w:cs="Times New Roman"/>
                <w:color w:val="auto"/>
                <w:spacing w:val="0"/>
                <w:position w:val="0"/>
                <w:sz w:val="21"/>
                <w:highlight w:val="none"/>
                <w:shd w:val="clear" w:fill="auto"/>
              </w:rPr>
              <w:t>&lt;</w:t>
            </w:r>
            <w:r>
              <w:rPr>
                <w:rFonts w:ascii="宋体" w:hAnsi="宋体" w:eastAsia="宋体" w:cs="宋体"/>
                <w:color w:val="auto"/>
                <w:spacing w:val="0"/>
                <w:position w:val="0"/>
                <w:sz w:val="21"/>
                <w:highlight w:val="none"/>
                <w:shd w:val="clear" w:fill="auto"/>
              </w:rPr>
              <w:t>送达至甲方指定地点并下货</w:t>
            </w:r>
            <w:r>
              <w:rPr>
                <w:rFonts w:ascii="Times New Roman" w:hAnsi="Times New Roman" w:eastAsia="Times New Roman" w:cs="Times New Roman"/>
                <w:color w:val="auto"/>
                <w:spacing w:val="0"/>
                <w:position w:val="0"/>
                <w:sz w:val="21"/>
                <w:highlight w:val="none"/>
                <w:shd w:val="clear" w:fill="auto"/>
              </w:rPr>
              <w:t>&gt;</w:t>
            </w:r>
            <w:r>
              <w:rPr>
                <w:rFonts w:ascii="宋体" w:hAnsi="宋体" w:eastAsia="宋体" w:cs="宋体"/>
                <w:color w:val="auto"/>
                <w:spacing w:val="0"/>
                <w:position w:val="0"/>
                <w:sz w:val="21"/>
                <w:highlight w:val="none"/>
                <w:shd w:val="clear" w:fill="auto"/>
              </w:rPr>
              <w:t>、安装、调试、检验及售后服务、税金、劳保基金、人员培训等费用。</w:t>
            </w:r>
          </w:p>
        </w:tc>
      </w:tr>
    </w:tbl>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第二条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产品的技术标准（包括质量要求），按下列第（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①按国家标准执行；②按部颁标准执行；③若无以上标准，则应不低于同行业质量标准；④有特殊要求的，按甲乙双方在合同中商定的技术条件、样品或补充的技术要求执行；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进口产品的质量标准为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before="0" w:after="120" w:line="360" w:lineRule="auto"/>
        <w:ind w:right="0" w:firstLine="482"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第三条</w:t>
      </w:r>
      <w:r>
        <w:rPr>
          <w:rFonts w:ascii="宋体" w:hAnsi="宋体" w:eastAsia="宋体" w:cs="宋体"/>
          <w:color w:val="auto"/>
          <w:spacing w:val="0"/>
          <w:position w:val="0"/>
          <w:sz w:val="24"/>
          <w:highlight w:val="none"/>
          <w:shd w:val="clear" w:fill="auto"/>
        </w:rPr>
        <w:t>产品的包装标准和包装物的供应与回收</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（国家或行业主管部门有技术规定的，按技术规定执行；国家与行业主管部门无技术规定的，由甲乙双方商定。）</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【注：合同中约定的包装标准应与乙方在投标文件中承诺的一致，且投标文件应作为合同附件与合同具有同等法律效力。】</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产品的交货方法、到货地点和交货期限</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交货方法，按下列第（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①乙方送货上门；②乙方代运；③甲方自提自运。</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到货地点：</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甲方指定的任何地点，安装并调试</w:t>
      </w:r>
      <w:r>
        <w:rPr>
          <w:rFonts w:ascii="Times New Roman" w:hAnsi="Times New Roman" w:eastAsia="Times New Roman" w:cs="Times New Roman"/>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产品的交货期限</w:t>
      </w:r>
      <w:r>
        <w:rPr>
          <w:rFonts w:ascii="宋体" w:hAnsi="宋体" w:eastAsia="宋体" w:cs="宋体"/>
          <w:color w:val="auto"/>
          <w:spacing w:val="0"/>
          <w:position w:val="0"/>
          <w:sz w:val="21"/>
          <w:highlight w:val="none"/>
          <w:u w:val="single"/>
          <w:shd w:val="clear" w:fill="auto"/>
        </w:rPr>
        <w:t>                         </w:t>
      </w:r>
      <w:r>
        <w:rPr>
          <w:rFonts w:ascii="宋体" w:hAnsi="宋体" w:eastAsia="宋体" w:cs="宋体"/>
          <w:color w:val="auto"/>
          <w:spacing w:val="0"/>
          <w:position w:val="0"/>
          <w:sz w:val="21"/>
          <w:highlight w:val="none"/>
          <w:shd w:val="clear" w:fill="auto"/>
        </w:rPr>
        <w:t>。</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第五条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合同总价款</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合同总价款（大小写）：</w:t>
      </w:r>
      <w:r>
        <w:rPr>
          <w:rFonts w:ascii="Times New Roman" w:hAnsi="Times New Roman" w:eastAsia="Times New Roman" w:cs="Times New Roman"/>
          <w:color w:val="auto"/>
          <w:spacing w:val="0"/>
          <w:position w:val="0"/>
          <w:sz w:val="21"/>
          <w:highlight w:val="none"/>
          <w:u w:val="single"/>
          <w:shd w:val="clear" w:fill="auto"/>
        </w:rPr>
        <w:t xml:space="preserve">                        </w:t>
      </w:r>
    </w:p>
    <w:p>
      <w:pPr>
        <w:numPr>
          <w:ilvl w:val="0"/>
          <w:numId w:val="32"/>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付款条件</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本合同以人民币付款。</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该项目是否实行预付款：</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实行预付款的条件和比例：</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合同款项结算方式和支付比例：</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b/>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具体付款方式</w:t>
      </w:r>
      <w:r>
        <w:rPr>
          <w:rFonts w:ascii="宋体" w:hAnsi="宋体" w:eastAsia="宋体" w:cs="宋体"/>
          <w:color w:val="auto"/>
          <w:spacing w:val="0"/>
          <w:position w:val="0"/>
          <w:sz w:val="21"/>
          <w:highlight w:val="none"/>
          <w:u w:val="single"/>
          <w:shd w:val="clear" w:fill="auto"/>
        </w:rPr>
        <w:t>按投标人须知前附表以及采、购双方的具体约定</w:t>
      </w:r>
    </w:p>
    <w:p>
      <w:pPr>
        <w:numPr>
          <w:ilvl w:val="0"/>
          <w:numId w:val="33"/>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验收方法</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乙方安装调试后，在</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天内通知甲方组织验收，采购代理机构保留受托参与本项目验收的权利。验收不合格的，乙方应负责重新提供达到本合同约定的质量要求的产品。</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甲、乙双方应严格履行合同有关条款，如果验收过程中发现乙方在没有征得采购人同意的情况下擅自变更合同标的物，将拒绝通过验收，由此引起的一切后果及损失由乙方承担。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、甲方视情况可以邀请参加本项目的其他投标人或者第三方机构参与验收，参与验收的投标人或者第三方机构的意见作为验收书的参考资料一并存档。</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涉及安全、消防、环保等其他需要由质检或行业主管部门进行验收的项目，必须邀请相关部门或相关专家参与验收。</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检测、验收费用承担方式：</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第八条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对产品提出异议的时间和办法</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工作日内向乙方书面提出异议，并抄送采购代理机构，具体说明产品不符合规定的内容并附相关验收材料，同时提出不符合规定产品的处理意见。</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甲方因使用、保管、保养不善等造成产品质量下降的，不得提出异议。</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乙方在接到甲方异议后，应在</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工作日内负责处理，否则，即视为默认甲方提出的异议和处理意见。</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第九条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乙方应提供完善周到的技术支持和售后服务，否则甲方视情节轻重从乙方的质量保证金中扣除部分或全部补偿甲方。</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保修</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乙方对其所提供的货物免费保修</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年，保修期从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开始。乙方应在接到报修通知后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天内上门维修，负责更换有瑕疵的货物、部件或提供相应的质量保证期内的服务。由此造成的损失，甲方保留索赔的权利。</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如果乙方在收到报修通知后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天内没有弥补缺陷，甲方可采取必要的补救措施，但费用和风险由乙方承担。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维修</w:t>
      </w:r>
    </w:p>
    <w:p>
      <w:pPr>
        <w:spacing w:before="0" w:after="12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保修期届满后，乙方应对其提供的货物负有维修义务，但所涉及的费用由甲方承担。</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乙方不能交货的，应向甲方偿付不能交货部分货款的</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30%</w:t>
      </w:r>
      <w:r>
        <w:rPr>
          <w:rFonts w:ascii="宋体" w:hAnsi="宋体" w:eastAsia="宋体" w:cs="宋体"/>
          <w:color w:val="auto"/>
          <w:spacing w:val="0"/>
          <w:position w:val="0"/>
          <w:sz w:val="21"/>
          <w:highlight w:val="none"/>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同时，乙方应按规定，对更换件相应延长质量保证期，并赔偿甲方相应的损失。乙方不能修理或者不能调换的，按不能交货处理。</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highlight w:val="none"/>
          <w:shd w:val="clear" w:fill="auto"/>
        </w:rPr>
        <w:t>0.5%</w:t>
      </w:r>
      <w:r>
        <w:rPr>
          <w:rFonts w:ascii="宋体" w:hAnsi="宋体" w:eastAsia="宋体" w:cs="宋体"/>
          <w:color w:val="auto"/>
          <w:spacing w:val="0"/>
          <w:position w:val="0"/>
          <w:sz w:val="21"/>
          <w:highlight w:val="none"/>
          <w:shd w:val="clear" w:fill="auto"/>
        </w:rPr>
        <w:t>计收。但违约金的最高限额为迟交货物或提供服务合同价的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。一周按</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天计算，不足</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天按一周计算。如果达到最高限额，甲方应考虑终止合同，由此给甲方造成的损失由乙方承担。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乙方提前交货的产品、多交的产品和不符合合同规定的产品，甲方在代保管期内实际支付的保管、保养等费用以及非因甲方保管不善而发生的损失，应当由乙方承担。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乙方应对其所提供的货物承担所有权担保责任，并应保证甲方在中华人民共和国内使用该货物时不侵犯第三人的知识产权。否则乙方应承担由此引起的一切法律责任及费用。</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违约金。</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甲方的违约责任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甲方中途退货，应向乙方偿付退货部分货款</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15%-30%</w:t>
      </w:r>
      <w:r>
        <w:rPr>
          <w:rFonts w:ascii="宋体" w:hAnsi="宋体" w:eastAsia="宋体" w:cs="宋体"/>
          <w:color w:val="auto"/>
          <w:spacing w:val="0"/>
          <w:position w:val="0"/>
          <w:sz w:val="21"/>
          <w:highlight w:val="none"/>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甲方违反合同规定拒绝接货的，应当承担由此造成的损失。</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Times New Roman" w:hAnsi="Times New Roman" w:eastAsia="Times New Roman" w:cs="Times New Roman"/>
          <w:color w:val="auto"/>
          <w:spacing w:val="0"/>
          <w:position w:val="0"/>
          <w:sz w:val="21"/>
          <w:highlight w:val="none"/>
          <w:shd w:val="clear" w:fill="auto"/>
        </w:rPr>
        <w:t xml:space="preserve">3. </w:t>
      </w:r>
      <w:r>
        <w:rPr>
          <w:rFonts w:ascii="宋体" w:hAnsi="宋体" w:eastAsia="宋体" w:cs="宋体"/>
          <w:color w:val="auto"/>
          <w:spacing w:val="0"/>
          <w:position w:val="0"/>
          <w:sz w:val="21"/>
          <w:highlight w:val="none"/>
          <w:shd w:val="clear" w:fill="auto"/>
        </w:rPr>
        <w:t>甲方未按照合同约定支付货款，应向乙方违约金</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元。</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第十二条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不可抗力</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第十三条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履约（或质量）保证金</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本项目不收取履约保证金。确需收取履约保证金的，甲方不得要求乙方以现款的形式提供。乙方提供的履约保证金按规定格式以银行保函形式提供，与此有关的费用由卖方承担。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若确需质量保证金的，质量保证金不得超过合同总价款的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如乙方未能履行其合同规定的任何义务，甲方有权从履约保证金中取得补偿。</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转让与分包</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除甲方事先书面同意外，乙方不得部分转让或全部转让其应履行的合同义务。</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乙方应在投标文件中或以其他书面形式对甲方确认本合同项下所授予的所有分包合同。但该确认不解除乙方承担的本合同下的任何责任或义务。意即在本合同项下，乙方对甲方负总责。</w:t>
      </w:r>
    </w:p>
    <w:p>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第十五条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合同文件及资料的使用</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乙方在未经甲方同意的情况下，不得将合同、合同中的规定、有关计划、图纸、样本或甲方为上述内容向乙方提供的资料透露给任何人。</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除非执行合同需要，在事先未得到甲方同意的情况下，乙方不得使用前款所列的任何文件和资料。</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第十六条 </w:t>
      </w:r>
      <w:r>
        <w:rPr>
          <w:rFonts w:ascii="宋体" w:hAnsi="宋体" w:eastAsia="宋体" w:cs="宋体"/>
          <w:color w:val="auto"/>
          <w:spacing w:val="0"/>
          <w:position w:val="0"/>
          <w:sz w:val="21"/>
          <w:highlight w:val="none"/>
          <w:shd w:val="clear" w:fill="auto"/>
        </w:rPr>
        <w:t>合同纠纷调处</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天内，按银行规定的结算办法付清，否则按逾期付款处理。但任何一方不得自行扣发货物或扣付货款来充抵。</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）项方式处理：①根据《中华人民共和国仲裁法》的规定向</w:t>
      </w:r>
      <w:r>
        <w:rPr>
          <w:rFonts w:ascii="宋体" w:hAnsi="宋体" w:eastAsia="宋体" w:cs="宋体"/>
          <w:b/>
          <w:color w:val="auto"/>
          <w:spacing w:val="0"/>
          <w:position w:val="0"/>
          <w:sz w:val="21"/>
          <w:highlight w:val="none"/>
          <w:u w:val="single"/>
          <w:shd w:val="clear" w:fill="auto"/>
        </w:rPr>
        <w:t>周口仲裁委员会</w:t>
      </w:r>
      <w:r>
        <w:rPr>
          <w:rFonts w:ascii="宋体" w:hAnsi="宋体" w:eastAsia="宋体" w:cs="宋体"/>
          <w:color w:val="auto"/>
          <w:spacing w:val="0"/>
          <w:position w:val="0"/>
          <w:sz w:val="21"/>
          <w:highlight w:val="none"/>
          <w:shd w:val="clear" w:fill="auto"/>
        </w:rPr>
        <w:t>申请仲裁。②向合同签订地有级别管辖权的人民法院起诉。</w:t>
      </w:r>
    </w:p>
    <w:p>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、甲、乙双方均有权利向本项目具有监管职能的政府采购监督管理部门举报反映对方在合同履约中的违法违纪行为。</w:t>
      </w:r>
    </w:p>
    <w:p>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第十七条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下列关于周口市公共资源交易中心政府采购代理机构名称</w:t>
      </w:r>
      <w:r>
        <w:rPr>
          <w:rFonts w:ascii="宋体" w:hAnsi="宋体" w:eastAsia="宋体" w:cs="宋体"/>
          <w:color w:val="auto"/>
          <w:spacing w:val="0"/>
          <w:position w:val="0"/>
          <w:sz w:val="21"/>
          <w:highlight w:val="none"/>
          <w:u w:val="single"/>
          <w:shd w:val="clear" w:fill="auto"/>
        </w:rPr>
        <w:t>某项目（项目编号：某编号）</w:t>
      </w:r>
      <w:r>
        <w:rPr>
          <w:rFonts w:ascii="宋体" w:hAnsi="宋体" w:eastAsia="宋体" w:cs="宋体"/>
          <w:color w:val="auto"/>
          <w:spacing w:val="0"/>
          <w:position w:val="0"/>
          <w:sz w:val="21"/>
          <w:highlight w:val="none"/>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本合同一式</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份，甲乙双方各执</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份，自双方当事人签字盖章之日起生效。</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供货人（乙方）：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地址：</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地址：</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法定代表人：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法定代表人：</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委托代理人：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委托代理人：</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电话：</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电话：</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开户银行：</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开户银行：</w:t>
      </w:r>
    </w:p>
    <w:p>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账号：</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账号：</w:t>
      </w:r>
    </w:p>
    <w:p>
      <w:pPr>
        <w:spacing w:before="0" w:after="0" w:line="640" w:lineRule="auto"/>
        <w:ind w:left="0" w:right="0" w:firstLine="1575"/>
        <w:jc w:val="both"/>
        <w:rPr>
          <w:rFonts w:ascii="Times New Roman" w:hAnsi="Times New Roman" w:eastAsia="Times New Roman" w:cs="Times New Roman"/>
          <w:color w:val="auto"/>
          <w:spacing w:val="0"/>
          <w:position w:val="0"/>
          <w:sz w:val="21"/>
          <w:highlight w:val="none"/>
          <w:u w:val="single"/>
          <w:shd w:val="clear" w:fill="auto"/>
        </w:rPr>
      </w:pPr>
    </w:p>
    <w:p>
      <w:pPr>
        <w:spacing w:before="0" w:after="0" w:line="500" w:lineRule="auto"/>
        <w:ind w:left="0" w:right="0" w:firstLine="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p>
    <w:p>
      <w:pPr>
        <w:spacing w:before="0" w:after="0" w:line="240" w:lineRule="auto"/>
        <w:ind w:left="0" w:right="0" w:firstLine="321"/>
        <w:jc w:val="center"/>
        <w:rPr>
          <w:rFonts w:ascii="Times New Roman" w:hAnsi="Times New Roman" w:eastAsia="Times New Roman" w:cs="Times New Roman"/>
          <w:b/>
          <w:color w:val="auto"/>
          <w:spacing w:val="0"/>
          <w:position w:val="0"/>
          <w:sz w:val="32"/>
          <w:highlight w:val="none"/>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413D4A-53EC-4C10-BF96-0E0E081E89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embedRegular r:id="rId2" w:fontKey="{492B4C33-2479-4A70-9A56-87CD472CBF88}"/>
  </w:font>
  <w:font w:name="仿宋_GB2312">
    <w:panose1 w:val="02010609030101010101"/>
    <w:charset w:val="86"/>
    <w:family w:val="auto"/>
    <w:pitch w:val="default"/>
    <w:sig w:usb0="00000001" w:usb1="080E0000" w:usb2="00000000" w:usb3="00000000" w:csb0="00040000" w:csb1="00000000"/>
    <w:embedRegular r:id="rId3" w:fontKey="{93B04648-232F-48F1-85C5-6EECF945A111}"/>
  </w:font>
  <w:font w:name="微软简标宋">
    <w:altName w:val="宋体"/>
    <w:panose1 w:val="00000000000000000000"/>
    <w:charset w:val="00"/>
    <w:family w:val="auto"/>
    <w:pitch w:val="default"/>
    <w:sig w:usb0="00000000" w:usb1="00000000" w:usb2="00000000" w:usb3="00000000" w:csb0="00000000" w:csb1="00000000"/>
    <w:embedRegular r:id="rId4" w:fontKey="{63024A21-9ABF-4CD6-9CEC-3C845E5EBC3D}"/>
  </w:font>
  <w:font w:name="方正小标宋简体">
    <w:panose1 w:val="03000509000000000000"/>
    <w:charset w:val="86"/>
    <w:family w:val="auto"/>
    <w:pitch w:val="default"/>
    <w:sig w:usb0="00000001" w:usb1="080E0000" w:usb2="00000000" w:usb3="00000000" w:csb0="00040000" w:csb1="00000000"/>
    <w:embedRegular r:id="rId5" w:fontKey="{7AD77DCB-14C3-4652-885B-8BAC3215CB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multilevel"/>
    <w:tmpl w:val="0248C179"/>
    <w:lvl w:ilvl="0" w:tentative="0">
      <w:start w:val="1"/>
      <w:numFmt w:val="bullet"/>
      <w:lvlText w:val="•"/>
      <w:lvlJc w:val="left"/>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3">
    <w:nsid w:val="03D62ECE"/>
    <w:multiLevelType w:val="singleLevel"/>
    <w:tmpl w:val="03D62ECE"/>
    <w:lvl w:ilvl="0" w:tentative="0">
      <w:start w:val="1"/>
      <w:numFmt w:val="bullet"/>
      <w:lvlText w:val="•"/>
      <w:lvlJc w:val="left"/>
    </w:lvl>
  </w:abstractNum>
  <w:abstractNum w:abstractNumId="14">
    <w:nsid w:val="0CC971D5"/>
    <w:multiLevelType w:val="singleLevel"/>
    <w:tmpl w:val="0CC971D5"/>
    <w:lvl w:ilvl="0" w:tentative="0">
      <w:start w:val="1"/>
      <w:numFmt w:val="decimal"/>
      <w:suff w:val="nothing"/>
      <w:lvlText w:val="%1、"/>
      <w:lvlJc w:val="left"/>
    </w:lvl>
  </w:abstractNum>
  <w:abstractNum w:abstractNumId="15">
    <w:nsid w:val="0E640482"/>
    <w:multiLevelType w:val="singleLevel"/>
    <w:tmpl w:val="0E640482"/>
    <w:lvl w:ilvl="0" w:tentative="0">
      <w:start w:val="1"/>
      <w:numFmt w:val="bullet"/>
      <w:lvlText w:val="•"/>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2EA44CD3"/>
    <w:multiLevelType w:val="singleLevel"/>
    <w:tmpl w:val="2EA44CD3"/>
    <w:lvl w:ilvl="0" w:tentative="0">
      <w:start w:val="5"/>
      <w:numFmt w:val="decimal"/>
      <w:suff w:val="nothing"/>
      <w:lvlText w:val="%1、"/>
      <w:lvlJc w:val="left"/>
      <w:pPr>
        <w:ind w:left="0" w:leftChars="0" w:firstLine="0" w:firstLineChars="0"/>
      </w:pPr>
    </w:lvl>
  </w:abstractNum>
  <w:abstractNum w:abstractNumId="20">
    <w:nsid w:val="31B58A6C"/>
    <w:multiLevelType w:val="singleLevel"/>
    <w:tmpl w:val="31B58A6C"/>
    <w:lvl w:ilvl="0" w:tentative="0">
      <w:start w:val="4"/>
      <w:numFmt w:val="decimal"/>
      <w:lvlText w:val="%1."/>
      <w:lvlJc w:val="left"/>
      <w:pPr>
        <w:tabs>
          <w:tab w:val="left" w:pos="312"/>
        </w:tabs>
      </w:pPr>
    </w:lvl>
  </w:abstractNum>
  <w:abstractNum w:abstractNumId="21">
    <w:nsid w:val="39A0D9AC"/>
    <w:multiLevelType w:val="singleLevel"/>
    <w:tmpl w:val="39A0D9AC"/>
    <w:lvl w:ilvl="0" w:tentative="0">
      <w:start w:val="1"/>
      <w:numFmt w:val="bullet"/>
      <w:lvlText w:val="•"/>
      <w:lvlJc w:val="left"/>
    </w:lvl>
  </w:abstractNum>
  <w:abstractNum w:abstractNumId="22">
    <w:nsid w:val="42D02975"/>
    <w:multiLevelType w:val="multilevel"/>
    <w:tmpl w:val="42D02975"/>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3">
    <w:nsid w:val="46A08BB8"/>
    <w:multiLevelType w:val="singleLevel"/>
    <w:tmpl w:val="46A08BB8"/>
    <w:lvl w:ilvl="0" w:tentative="0">
      <w:start w:val="1"/>
      <w:numFmt w:val="bullet"/>
      <w:lvlText w:val="•"/>
      <w:lvlJc w:val="left"/>
    </w:lvl>
  </w:abstractNum>
  <w:abstractNum w:abstractNumId="24">
    <w:nsid w:val="4C1BAE26"/>
    <w:multiLevelType w:val="singleLevel"/>
    <w:tmpl w:val="4C1BAE26"/>
    <w:lvl w:ilvl="0" w:tentative="0">
      <w:start w:val="1"/>
      <w:numFmt w:val="bullet"/>
      <w:lvlText w:val="•"/>
      <w:lvlJc w:val="left"/>
    </w:lvl>
  </w:abstractNum>
  <w:abstractNum w:abstractNumId="25">
    <w:nsid w:val="4D4DC07F"/>
    <w:multiLevelType w:val="singleLevel"/>
    <w:tmpl w:val="4D4DC07F"/>
    <w:lvl w:ilvl="0" w:tentative="0">
      <w:start w:val="1"/>
      <w:numFmt w:val="bullet"/>
      <w:lvlText w:val="•"/>
      <w:lvlJc w:val="left"/>
    </w:lvl>
  </w:abstractNum>
  <w:abstractNum w:abstractNumId="26">
    <w:nsid w:val="59ADCABA"/>
    <w:multiLevelType w:val="singleLevel"/>
    <w:tmpl w:val="59ADCABA"/>
    <w:lvl w:ilvl="0" w:tentative="0">
      <w:start w:val="1"/>
      <w:numFmt w:val="bullet"/>
      <w:lvlText w:val="•"/>
      <w:lvlJc w:val="left"/>
    </w:lvl>
  </w:abstractNum>
  <w:abstractNum w:abstractNumId="27">
    <w:nsid w:val="5A241D34"/>
    <w:multiLevelType w:val="singleLevel"/>
    <w:tmpl w:val="5A241D34"/>
    <w:lvl w:ilvl="0" w:tentative="0">
      <w:start w:val="1"/>
      <w:numFmt w:val="bullet"/>
      <w:lvlText w:val="•"/>
      <w:lvlJc w:val="left"/>
    </w:lvl>
  </w:abstractNum>
  <w:abstractNum w:abstractNumId="28">
    <w:nsid w:val="60382F6E"/>
    <w:multiLevelType w:val="singleLevel"/>
    <w:tmpl w:val="60382F6E"/>
    <w:lvl w:ilvl="0" w:tentative="0">
      <w:start w:val="1"/>
      <w:numFmt w:val="bullet"/>
      <w:lvlText w:val="•"/>
      <w:lvlJc w:val="left"/>
    </w:lvl>
  </w:abstractNum>
  <w:abstractNum w:abstractNumId="29">
    <w:nsid w:val="629F7852"/>
    <w:multiLevelType w:val="singleLevel"/>
    <w:tmpl w:val="629F7852"/>
    <w:lvl w:ilvl="0" w:tentative="0">
      <w:start w:val="1"/>
      <w:numFmt w:val="decimal"/>
      <w:lvlText w:val="%1."/>
      <w:lvlJc w:val="left"/>
    </w:lvl>
  </w:abstractNum>
  <w:abstractNum w:abstractNumId="30">
    <w:nsid w:val="72183CF9"/>
    <w:multiLevelType w:val="singleLevel"/>
    <w:tmpl w:val="72183CF9"/>
    <w:lvl w:ilvl="0" w:tentative="0">
      <w:start w:val="1"/>
      <w:numFmt w:val="bullet"/>
      <w:lvlText w:val="•"/>
      <w:lvlJc w:val="left"/>
    </w:lvl>
  </w:abstractNum>
  <w:abstractNum w:abstractNumId="31">
    <w:nsid w:val="77ECEA79"/>
    <w:multiLevelType w:val="singleLevel"/>
    <w:tmpl w:val="77ECEA79"/>
    <w:lvl w:ilvl="0" w:tentative="0">
      <w:start w:val="1"/>
      <w:numFmt w:val="decimal"/>
      <w:lvlText w:val="%1."/>
      <w:lvlJc w:val="left"/>
    </w:lvl>
  </w:abstractNum>
  <w:abstractNum w:abstractNumId="32">
    <w:nsid w:val="7C246926"/>
    <w:multiLevelType w:val="singleLevel"/>
    <w:tmpl w:val="7C246926"/>
    <w:lvl w:ilvl="0" w:tentative="0">
      <w:start w:val="1"/>
      <w:numFmt w:val="decimal"/>
      <w:lvlText w:val="%1."/>
      <w:lvlJc w:val="left"/>
    </w:lvl>
  </w:abstractNum>
  <w:num w:numId="1">
    <w:abstractNumId w:val="22"/>
  </w:num>
  <w:num w:numId="2">
    <w:abstractNumId w:val="11"/>
  </w:num>
  <w:num w:numId="3">
    <w:abstractNumId w:val="7"/>
  </w:num>
  <w:num w:numId="4">
    <w:abstractNumId w:val="26"/>
  </w:num>
  <w:num w:numId="5">
    <w:abstractNumId w:val="5"/>
  </w:num>
  <w:num w:numId="6">
    <w:abstractNumId w:val="3"/>
  </w:num>
  <w:num w:numId="7">
    <w:abstractNumId w:val="13"/>
  </w:num>
  <w:num w:numId="8">
    <w:abstractNumId w:val="17"/>
  </w:num>
  <w:num w:numId="9">
    <w:abstractNumId w:val="30"/>
  </w:num>
  <w:num w:numId="10">
    <w:abstractNumId w:val="12"/>
  </w:num>
  <w:num w:numId="11">
    <w:abstractNumId w:val="0"/>
  </w:num>
  <w:num w:numId="12">
    <w:abstractNumId w:val="18"/>
  </w:num>
  <w:num w:numId="13">
    <w:abstractNumId w:val="27"/>
  </w:num>
  <w:num w:numId="14">
    <w:abstractNumId w:val="6"/>
  </w:num>
  <w:num w:numId="15">
    <w:abstractNumId w:val="25"/>
  </w:num>
  <w:num w:numId="16">
    <w:abstractNumId w:val="10"/>
  </w:num>
  <w:num w:numId="17">
    <w:abstractNumId w:val="16"/>
  </w:num>
  <w:num w:numId="18">
    <w:abstractNumId w:val="9"/>
  </w:num>
  <w:num w:numId="19">
    <w:abstractNumId w:val="8"/>
  </w:num>
  <w:num w:numId="20">
    <w:abstractNumId w:val="2"/>
  </w:num>
  <w:num w:numId="21">
    <w:abstractNumId w:val="24"/>
  </w:num>
  <w:num w:numId="22">
    <w:abstractNumId w:val="28"/>
  </w:num>
  <w:num w:numId="23">
    <w:abstractNumId w:val="15"/>
  </w:num>
  <w:num w:numId="24">
    <w:abstractNumId w:val="23"/>
  </w:num>
  <w:num w:numId="25">
    <w:abstractNumId w:val="14"/>
  </w:num>
  <w:num w:numId="26">
    <w:abstractNumId w:val="32"/>
  </w:num>
  <w:num w:numId="27">
    <w:abstractNumId w:val="20"/>
  </w:num>
  <w:num w:numId="28">
    <w:abstractNumId w:val="19"/>
  </w:num>
  <w:num w:numId="29">
    <w:abstractNumId w:val="31"/>
  </w:num>
  <w:num w:numId="30">
    <w:abstractNumId w:val="4"/>
  </w:num>
  <w:num w:numId="31">
    <w:abstractNumId w:val="29"/>
  </w:num>
  <w:num w:numId="32">
    <w:abstractNumId w:val="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2MzOGE3YTQ4OTdlZjJjMWMxMTM3OWRlN2U3MmIifQ=="/>
  </w:docVars>
  <w:rsids>
    <w:rsidRoot w:val="00000000"/>
    <w:rsid w:val="00C25DC4"/>
    <w:rsid w:val="02E21879"/>
    <w:rsid w:val="03571952"/>
    <w:rsid w:val="03EB5E79"/>
    <w:rsid w:val="04640B52"/>
    <w:rsid w:val="05942874"/>
    <w:rsid w:val="05A5591B"/>
    <w:rsid w:val="089873F6"/>
    <w:rsid w:val="09742A87"/>
    <w:rsid w:val="09DC47EA"/>
    <w:rsid w:val="0AC769A1"/>
    <w:rsid w:val="0B0D0DC2"/>
    <w:rsid w:val="0B8D5973"/>
    <w:rsid w:val="0BCD088E"/>
    <w:rsid w:val="0C4A0F50"/>
    <w:rsid w:val="0CD110D6"/>
    <w:rsid w:val="0D336E17"/>
    <w:rsid w:val="0E2B3F92"/>
    <w:rsid w:val="0E3F6CC6"/>
    <w:rsid w:val="0E6A4ABA"/>
    <w:rsid w:val="0F2C7FC2"/>
    <w:rsid w:val="0FDE34AD"/>
    <w:rsid w:val="12F2321C"/>
    <w:rsid w:val="136C4E31"/>
    <w:rsid w:val="13D65F26"/>
    <w:rsid w:val="1484072D"/>
    <w:rsid w:val="16C57C0B"/>
    <w:rsid w:val="190A277E"/>
    <w:rsid w:val="1C190A5B"/>
    <w:rsid w:val="1C535580"/>
    <w:rsid w:val="1CD221A8"/>
    <w:rsid w:val="1D230D15"/>
    <w:rsid w:val="1D7B50A2"/>
    <w:rsid w:val="1DE30BC9"/>
    <w:rsid w:val="1F35597B"/>
    <w:rsid w:val="1FA86C0B"/>
    <w:rsid w:val="20570B93"/>
    <w:rsid w:val="20D149F6"/>
    <w:rsid w:val="21C66054"/>
    <w:rsid w:val="23906CE4"/>
    <w:rsid w:val="24084847"/>
    <w:rsid w:val="240C4401"/>
    <w:rsid w:val="270A57B1"/>
    <w:rsid w:val="28904CC6"/>
    <w:rsid w:val="29347478"/>
    <w:rsid w:val="2CBB5CE4"/>
    <w:rsid w:val="2CF040EF"/>
    <w:rsid w:val="2F48043E"/>
    <w:rsid w:val="304204AA"/>
    <w:rsid w:val="31C53C32"/>
    <w:rsid w:val="320504D2"/>
    <w:rsid w:val="32CE5A64"/>
    <w:rsid w:val="33915BE2"/>
    <w:rsid w:val="3436271A"/>
    <w:rsid w:val="34906FBA"/>
    <w:rsid w:val="349437F1"/>
    <w:rsid w:val="34C957E7"/>
    <w:rsid w:val="3525321D"/>
    <w:rsid w:val="361E09AE"/>
    <w:rsid w:val="3A654B5F"/>
    <w:rsid w:val="3AA865FF"/>
    <w:rsid w:val="3AF702C7"/>
    <w:rsid w:val="3B0A71ED"/>
    <w:rsid w:val="3E0D2F0E"/>
    <w:rsid w:val="3E6D4DC0"/>
    <w:rsid w:val="3ED93AD8"/>
    <w:rsid w:val="3F337D86"/>
    <w:rsid w:val="3F7D3D9E"/>
    <w:rsid w:val="420D2C9E"/>
    <w:rsid w:val="44C30432"/>
    <w:rsid w:val="44EC51A0"/>
    <w:rsid w:val="45AB5E03"/>
    <w:rsid w:val="483E1C57"/>
    <w:rsid w:val="495450A4"/>
    <w:rsid w:val="49601FFF"/>
    <w:rsid w:val="4AF00899"/>
    <w:rsid w:val="4D3A32CE"/>
    <w:rsid w:val="4DFC67D6"/>
    <w:rsid w:val="4E6E5EAB"/>
    <w:rsid w:val="5142067F"/>
    <w:rsid w:val="51A90A23"/>
    <w:rsid w:val="53C802D0"/>
    <w:rsid w:val="55E36458"/>
    <w:rsid w:val="58700DA8"/>
    <w:rsid w:val="593411F0"/>
    <w:rsid w:val="59371E3F"/>
    <w:rsid w:val="59984BED"/>
    <w:rsid w:val="5C035309"/>
    <w:rsid w:val="5C2B7379"/>
    <w:rsid w:val="5D0128BF"/>
    <w:rsid w:val="61557FBA"/>
    <w:rsid w:val="624B5761"/>
    <w:rsid w:val="62600C89"/>
    <w:rsid w:val="63D70E99"/>
    <w:rsid w:val="64ED59C5"/>
    <w:rsid w:val="65296215"/>
    <w:rsid w:val="656A0ABD"/>
    <w:rsid w:val="683D4DCE"/>
    <w:rsid w:val="689934CB"/>
    <w:rsid w:val="6CD803A4"/>
    <w:rsid w:val="6FE54EC4"/>
    <w:rsid w:val="6FE73A98"/>
    <w:rsid w:val="70495773"/>
    <w:rsid w:val="71153FAB"/>
    <w:rsid w:val="747C5A5B"/>
    <w:rsid w:val="74992CD1"/>
    <w:rsid w:val="75CB05D8"/>
    <w:rsid w:val="76D0242A"/>
    <w:rsid w:val="793E1270"/>
    <w:rsid w:val="7A953307"/>
    <w:rsid w:val="7BA17641"/>
    <w:rsid w:val="7BB3735C"/>
    <w:rsid w:val="7C107170"/>
    <w:rsid w:val="7C185920"/>
    <w:rsid w:val="7D545C6A"/>
    <w:rsid w:val="7D893333"/>
    <w:rsid w:val="7F2A644F"/>
    <w:rsid w:val="7F427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autoRedefine/>
    <w:unhideWhenUsed/>
    <w:qFormat/>
    <w:uiPriority w:val="0"/>
    <w:pPr>
      <w:keepNext/>
      <w:keepLines/>
      <w:numPr>
        <w:ilvl w:val="1"/>
        <w:numId w:val="1"/>
      </w:numPr>
      <w:spacing w:before="50" w:beforeLines="50" w:after="50" w:afterLines="50" w:line="276" w:lineRule="auto"/>
      <w:ind w:left="575" w:hanging="575"/>
      <w:jc w:val="left"/>
      <w:outlineLvl w:val="1"/>
    </w:pPr>
    <w:rPr>
      <w:rFonts w:ascii="Times New Roman" w:hAnsi="Times New Roman" w:eastAsia="宋体" w:cs="Times New Roman"/>
      <w:b/>
      <w:bCs/>
      <w:sz w:val="28"/>
      <w:szCs w:val="24"/>
      <w:lang w:val="zh-CN"/>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semiHidden/>
    <w:unhideWhenUsed/>
    <w:qFormat/>
    <w:uiPriority w:val="99"/>
    <w:pPr>
      <w:ind w:firstLine="420" w:firstLineChars="200"/>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eastAsia="宋体" w:cs="Times New Roman"/>
    </w:r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8"/>
    <w:autoRedefine/>
    <w:qFormat/>
    <w:uiPriority w:val="0"/>
    <w:pPr>
      <w:spacing w:after="120"/>
    </w:pPr>
  </w:style>
  <w:style w:type="paragraph" w:customStyle="1" w:styleId="8">
    <w:name w:val="Default"/>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qFormat/>
    <w:uiPriority w:val="0"/>
    <w:pPr>
      <w:adjustRightInd w:val="0"/>
      <w:snapToGrid w:val="0"/>
      <w:spacing w:after="120" w:afterLines="0" w:afterAutospacing="0" w:line="480" w:lineRule="auto"/>
    </w:pPr>
    <w:rPr>
      <w:sz w:val="24"/>
    </w:rPr>
  </w:style>
  <w:style w:type="paragraph" w:styleId="12">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13">
    <w:name w:val="Body Text First Indent"/>
    <w:basedOn w:val="7"/>
    <w:next w:val="14"/>
    <w:autoRedefine/>
    <w:qFormat/>
    <w:uiPriority w:val="0"/>
    <w:pPr>
      <w:spacing w:line="312" w:lineRule="auto"/>
      <w:ind w:firstLine="420"/>
    </w:pPr>
  </w:style>
  <w:style w:type="paragraph" w:styleId="14">
    <w:name w:val="Body Text First Indent 2"/>
    <w:basedOn w:val="4"/>
    <w:next w:val="1"/>
    <w:autoRedefine/>
    <w:qFormat/>
    <w:uiPriority w:val="0"/>
    <w:pPr>
      <w:ind w:firstLine="420" w:firstLineChars="200"/>
    </w:pPr>
  </w:style>
  <w:style w:type="table" w:styleId="16">
    <w:name w:val="Table Grid"/>
    <w:basedOn w:val="15"/>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FollowedHyperlink"/>
    <w:basedOn w:val="17"/>
    <w:autoRedefine/>
    <w:qFormat/>
    <w:uiPriority w:val="0"/>
    <w:rPr>
      <w:color w:val="000000"/>
      <w:u w:val="none"/>
    </w:rPr>
  </w:style>
  <w:style w:type="character" w:styleId="20">
    <w:name w:val="Hyperlink"/>
    <w:basedOn w:val="17"/>
    <w:autoRedefine/>
    <w:qFormat/>
    <w:uiPriority w:val="0"/>
    <w:rPr>
      <w:color w:val="000000"/>
      <w:u w:val="none"/>
    </w:rPr>
  </w:style>
  <w:style w:type="paragraph" w:customStyle="1" w:styleId="2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22">
    <w:name w:val="BodyText1I"/>
    <w:basedOn w:val="23"/>
    <w:autoRedefine/>
    <w:qFormat/>
    <w:uiPriority w:val="99"/>
    <w:pPr>
      <w:ind w:firstLine="420" w:firstLineChars="100"/>
    </w:pPr>
  </w:style>
  <w:style w:type="paragraph" w:customStyle="1" w:styleId="23">
    <w:name w:val="BodyText"/>
    <w:basedOn w:val="1"/>
    <w:autoRedefine/>
    <w:qFormat/>
    <w:uiPriority w:val="99"/>
    <w:pPr>
      <w:spacing w:after="120"/>
    </w:pPr>
  </w:style>
  <w:style w:type="paragraph" w:customStyle="1" w:styleId="24">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styleId="25">
    <w:name w:val="List Paragraph"/>
    <w:basedOn w:val="1"/>
    <w:autoRedefine/>
    <w:qFormat/>
    <w:uiPriority w:val="34"/>
    <w:pPr>
      <w:ind w:firstLine="420" w:firstLineChars="200"/>
    </w:pPr>
  </w:style>
  <w:style w:type="character" w:customStyle="1" w:styleId="26">
    <w:name w:val="NormalCharacter"/>
    <w:autoRedefine/>
    <w:semiHidden/>
    <w:qFormat/>
    <w:uiPriority w:val="0"/>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26205</Words>
  <Characters>27944</Characters>
  <TotalTime>5</TotalTime>
  <ScaleCrop>false</ScaleCrop>
  <LinksUpToDate>false</LinksUpToDate>
  <CharactersWithSpaces>29199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a1</cp:lastModifiedBy>
  <dcterms:modified xsi:type="dcterms:W3CDTF">2024-01-11T07:03:08Z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697B7A593D924D8C99453891F761129F_13</vt:lpwstr>
  </property>
</Properties>
</file>