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2A1B7">
      <w:pPr>
        <w:tabs>
          <w:tab w:val="left" w:pos="420"/>
        </w:tabs>
        <w:spacing w:line="1700" w:lineRule="exact"/>
        <w:jc w:val="center"/>
        <w:rPr>
          <w:rFonts w:ascii="Arial Black" w:hAnsi="Arial Black" w:eastAsia="黑体"/>
          <w:b/>
          <w:color w:val="auto"/>
          <w:spacing w:val="36"/>
          <w:sz w:val="52"/>
          <w:szCs w:val="52"/>
          <w:highlight w:val="none"/>
        </w:rPr>
      </w:pPr>
      <w:r>
        <w:rPr>
          <w:rFonts w:hint="eastAsia" w:ascii="Arial Black" w:hAnsi="Arial Black" w:eastAsia="黑体"/>
          <w:b/>
          <w:bCs/>
          <w:color w:val="auto"/>
          <w:spacing w:val="36"/>
          <w:sz w:val="52"/>
          <w:szCs w:val="52"/>
          <w:highlight w:val="none"/>
        </w:rPr>
        <w:t>周口市公共资源交易中心</w:t>
      </w:r>
    </w:p>
    <w:p w14:paraId="602468F2">
      <w:pPr>
        <w:tabs>
          <w:tab w:val="left" w:pos="315"/>
          <w:tab w:val="left" w:pos="8820"/>
        </w:tabs>
        <w:spacing w:line="500" w:lineRule="exact"/>
        <w:ind w:right="267" w:rightChars="127"/>
        <w:jc w:val="center"/>
        <w:rPr>
          <w:rFonts w:ascii="仿宋_GB2312" w:eastAsia="仿宋_GB2312"/>
          <w:b/>
          <w:bCs/>
          <w:color w:val="auto"/>
          <w:sz w:val="48"/>
          <w:highlight w:val="none"/>
        </w:rPr>
      </w:pPr>
    </w:p>
    <w:p w14:paraId="447CA1FE">
      <w:pPr>
        <w:tabs>
          <w:tab w:val="left" w:pos="315"/>
          <w:tab w:val="left" w:pos="8820"/>
        </w:tabs>
        <w:spacing w:line="500" w:lineRule="exact"/>
        <w:ind w:right="267" w:rightChars="127"/>
        <w:jc w:val="center"/>
        <w:rPr>
          <w:rFonts w:ascii="仿宋_GB2312" w:eastAsia="仿宋_GB2312"/>
          <w:b/>
          <w:bCs/>
          <w:color w:val="auto"/>
          <w:sz w:val="48"/>
          <w:highlight w:val="none"/>
        </w:rPr>
      </w:pPr>
    </w:p>
    <w:p w14:paraId="7FB20006">
      <w:pPr>
        <w:tabs>
          <w:tab w:val="left" w:pos="315"/>
          <w:tab w:val="left" w:pos="8820"/>
        </w:tabs>
        <w:spacing w:line="500" w:lineRule="exact"/>
        <w:ind w:right="267" w:rightChars="127"/>
        <w:jc w:val="center"/>
        <w:rPr>
          <w:rFonts w:ascii="仿宋_GB2312" w:eastAsia="仿宋_GB2312"/>
          <w:b/>
          <w:bCs/>
          <w:color w:val="auto"/>
          <w:sz w:val="48"/>
          <w:highlight w:val="none"/>
        </w:rPr>
      </w:pPr>
    </w:p>
    <w:p w14:paraId="05199BAB">
      <w:pPr>
        <w:tabs>
          <w:tab w:val="left" w:pos="315"/>
          <w:tab w:val="left" w:pos="8820"/>
        </w:tabs>
        <w:spacing w:line="500" w:lineRule="exact"/>
        <w:ind w:right="267" w:rightChars="127"/>
        <w:jc w:val="center"/>
        <w:rPr>
          <w:rFonts w:ascii="仿宋_GB2312" w:eastAsia="仿宋_GB2312"/>
          <w:b/>
          <w:bCs/>
          <w:color w:val="auto"/>
          <w:sz w:val="48"/>
          <w:highlight w:val="none"/>
        </w:rPr>
      </w:pPr>
    </w:p>
    <w:p w14:paraId="6F3E6740">
      <w:pPr>
        <w:tabs>
          <w:tab w:val="left" w:pos="315"/>
          <w:tab w:val="left" w:pos="8820"/>
        </w:tabs>
        <w:spacing w:line="500" w:lineRule="exact"/>
        <w:ind w:right="267" w:rightChars="127"/>
        <w:jc w:val="center"/>
        <w:rPr>
          <w:rFonts w:ascii="仿宋_GB2312" w:eastAsia="仿宋_GB2312"/>
          <w:b/>
          <w:bCs/>
          <w:color w:val="auto"/>
          <w:sz w:val="48"/>
          <w:highlight w:val="none"/>
        </w:rPr>
      </w:pPr>
    </w:p>
    <w:p w14:paraId="09CFF94D">
      <w:pPr>
        <w:tabs>
          <w:tab w:val="left" w:pos="315"/>
          <w:tab w:val="left" w:pos="8820"/>
        </w:tabs>
        <w:spacing w:line="500" w:lineRule="exact"/>
        <w:ind w:right="267" w:rightChars="127"/>
        <w:jc w:val="center"/>
        <w:rPr>
          <w:rFonts w:ascii="仿宋_GB2312" w:eastAsia="仿宋_GB2312"/>
          <w:b/>
          <w:bCs/>
          <w:color w:val="auto"/>
          <w:sz w:val="48"/>
          <w:highlight w:val="none"/>
        </w:rPr>
      </w:pPr>
    </w:p>
    <w:p w14:paraId="0099A171">
      <w:pPr>
        <w:tabs>
          <w:tab w:val="left" w:pos="315"/>
          <w:tab w:val="left" w:pos="8820"/>
        </w:tabs>
        <w:spacing w:line="500" w:lineRule="exact"/>
        <w:ind w:right="267" w:rightChars="127"/>
        <w:jc w:val="center"/>
        <w:rPr>
          <w:rFonts w:ascii="仿宋_GB2312" w:eastAsia="仿宋_GB2312"/>
          <w:b/>
          <w:bCs/>
          <w:color w:val="auto"/>
          <w:sz w:val="48"/>
          <w:highlight w:val="none"/>
        </w:rPr>
      </w:pPr>
    </w:p>
    <w:p w14:paraId="208FA44D">
      <w:pPr>
        <w:tabs>
          <w:tab w:val="left" w:pos="315"/>
          <w:tab w:val="left" w:pos="8820"/>
        </w:tabs>
        <w:spacing w:line="240" w:lineRule="auto"/>
        <w:ind w:right="267" w:rightChars="127"/>
        <w:jc w:val="center"/>
        <w:rPr>
          <w:rFonts w:ascii="微软简标宋" w:eastAsia="黑体"/>
          <w:b/>
          <w:bCs/>
          <w:color w:val="auto"/>
          <w:sz w:val="52"/>
          <w:highlight w:val="none"/>
        </w:rPr>
      </w:pPr>
      <w:r>
        <w:rPr>
          <w:rFonts w:hint="eastAsia" w:ascii="微软简标宋" w:eastAsia="黑体"/>
          <w:b/>
          <w:bCs/>
          <w:color w:val="auto"/>
          <w:sz w:val="52"/>
          <w:highlight w:val="none"/>
        </w:rPr>
        <w:t>竞争性磋商文件</w:t>
      </w:r>
    </w:p>
    <w:p w14:paraId="350EDB79">
      <w:pPr>
        <w:tabs>
          <w:tab w:val="left" w:pos="315"/>
          <w:tab w:val="left" w:pos="8820"/>
        </w:tabs>
        <w:spacing w:line="500" w:lineRule="exact"/>
        <w:ind w:right="267" w:rightChars="127"/>
        <w:jc w:val="center"/>
        <w:rPr>
          <w:rFonts w:ascii="仿宋_GB2312" w:eastAsia="仿宋_GB2312"/>
          <w:color w:val="auto"/>
          <w:sz w:val="44"/>
          <w:highlight w:val="none"/>
        </w:rPr>
      </w:pPr>
    </w:p>
    <w:p w14:paraId="054C76A3">
      <w:pPr>
        <w:tabs>
          <w:tab w:val="left" w:pos="315"/>
          <w:tab w:val="left" w:pos="8820"/>
        </w:tabs>
        <w:ind w:right="267" w:rightChars="127"/>
        <w:jc w:val="center"/>
        <w:rPr>
          <w:rFonts w:ascii="仿宋_GB2312" w:eastAsia="仿宋_GB2312"/>
          <w:color w:val="auto"/>
          <w:sz w:val="44"/>
          <w:highlight w:val="none"/>
        </w:rPr>
      </w:pPr>
    </w:p>
    <w:p w14:paraId="626AA527">
      <w:pPr>
        <w:tabs>
          <w:tab w:val="left" w:pos="315"/>
          <w:tab w:val="left" w:pos="8820"/>
        </w:tabs>
        <w:ind w:right="267" w:rightChars="127"/>
        <w:jc w:val="center"/>
        <w:rPr>
          <w:rFonts w:ascii="仿宋_GB2312" w:eastAsia="仿宋_GB2312"/>
          <w:color w:val="auto"/>
          <w:sz w:val="44"/>
          <w:highlight w:val="none"/>
        </w:rPr>
      </w:pPr>
    </w:p>
    <w:p w14:paraId="5ECA2F98">
      <w:pPr>
        <w:tabs>
          <w:tab w:val="left" w:pos="315"/>
          <w:tab w:val="left" w:pos="8820"/>
        </w:tabs>
        <w:ind w:right="267" w:rightChars="127"/>
        <w:jc w:val="center"/>
        <w:rPr>
          <w:rFonts w:ascii="仿宋_GB2312" w:eastAsia="仿宋_GB2312"/>
          <w:color w:val="auto"/>
          <w:sz w:val="44"/>
          <w:highlight w:val="none"/>
        </w:rPr>
      </w:pPr>
    </w:p>
    <w:p w14:paraId="05D9968E">
      <w:pPr>
        <w:tabs>
          <w:tab w:val="left" w:pos="315"/>
          <w:tab w:val="left" w:pos="8820"/>
        </w:tabs>
        <w:spacing w:line="500" w:lineRule="exact"/>
        <w:ind w:right="267" w:rightChars="127"/>
        <w:jc w:val="center"/>
        <w:rPr>
          <w:rFonts w:ascii="仿宋_GB2312" w:eastAsia="仿宋_GB2312"/>
          <w:b/>
          <w:bCs/>
          <w:color w:val="auto"/>
          <w:sz w:val="36"/>
          <w:highlight w:val="none"/>
        </w:rPr>
      </w:pPr>
    </w:p>
    <w:p w14:paraId="385FE502">
      <w:pPr>
        <w:tabs>
          <w:tab w:val="left" w:pos="315"/>
          <w:tab w:val="left" w:pos="8820"/>
        </w:tabs>
        <w:spacing w:line="500" w:lineRule="exact"/>
        <w:ind w:right="267" w:rightChars="127"/>
        <w:jc w:val="center"/>
        <w:rPr>
          <w:rFonts w:ascii="仿宋_GB2312" w:eastAsia="仿宋_GB2312"/>
          <w:b/>
          <w:bCs/>
          <w:color w:val="auto"/>
          <w:sz w:val="36"/>
          <w:highlight w:val="none"/>
        </w:rPr>
      </w:pPr>
    </w:p>
    <w:p w14:paraId="115A8190">
      <w:pPr>
        <w:tabs>
          <w:tab w:val="left" w:pos="315"/>
          <w:tab w:val="left" w:pos="8820"/>
        </w:tabs>
        <w:spacing w:line="500" w:lineRule="exact"/>
        <w:ind w:right="267" w:rightChars="127"/>
        <w:jc w:val="center"/>
        <w:rPr>
          <w:rFonts w:ascii="宋体" w:hAnsi="宋体"/>
          <w:color w:val="auto"/>
          <w:sz w:val="32"/>
          <w:highlight w:val="none"/>
        </w:rPr>
      </w:pPr>
    </w:p>
    <w:p w14:paraId="4930999D">
      <w:pPr>
        <w:tabs>
          <w:tab w:val="left" w:pos="315"/>
          <w:tab w:val="left" w:pos="8820"/>
        </w:tabs>
        <w:spacing w:line="600" w:lineRule="exact"/>
        <w:ind w:left="1506" w:right="267" w:rightChars="127" w:hanging="1506" w:hangingChars="500"/>
        <w:jc w:val="left"/>
        <w:rPr>
          <w:rFonts w:ascii="微软简标宋" w:eastAsia="黑体"/>
          <w:b/>
          <w:bCs/>
          <w:color w:val="auto"/>
          <w:sz w:val="30"/>
          <w:szCs w:val="30"/>
          <w:highlight w:val="none"/>
        </w:rPr>
      </w:pPr>
      <w:r>
        <w:rPr>
          <w:rFonts w:hint="eastAsia" w:ascii="微软简标宋" w:eastAsia="黑体"/>
          <w:b/>
          <w:bCs/>
          <w:color w:val="auto"/>
          <w:sz w:val="30"/>
          <w:szCs w:val="30"/>
          <w:highlight w:val="none"/>
        </w:rPr>
        <w:t>项目名称:关于郸城县生活垃圾分类基础设施建设项目图纸设计采购申请项目</w:t>
      </w:r>
    </w:p>
    <w:p w14:paraId="033A34E9">
      <w:pPr>
        <w:tabs>
          <w:tab w:val="left" w:pos="315"/>
          <w:tab w:val="left" w:pos="8820"/>
        </w:tabs>
        <w:spacing w:line="600" w:lineRule="exact"/>
        <w:ind w:right="267" w:rightChars="127"/>
        <w:jc w:val="left"/>
        <w:rPr>
          <w:rFonts w:hint="default" w:ascii="微软简标宋" w:eastAsia="黑体"/>
          <w:b/>
          <w:bCs/>
          <w:color w:val="auto"/>
          <w:sz w:val="30"/>
          <w:szCs w:val="30"/>
          <w:highlight w:val="none"/>
          <w:lang w:val="en-US" w:eastAsia="zh-CN"/>
        </w:rPr>
      </w:pPr>
      <w:r>
        <w:rPr>
          <w:rFonts w:hint="eastAsia" w:ascii="微软简标宋" w:eastAsia="黑体"/>
          <w:b/>
          <w:bCs/>
          <w:color w:val="auto"/>
          <w:sz w:val="30"/>
          <w:szCs w:val="30"/>
          <w:highlight w:val="none"/>
        </w:rPr>
        <w:t>项目编号:</w:t>
      </w:r>
      <w:r>
        <w:rPr>
          <w:rFonts w:hint="eastAsia" w:ascii="微软简标宋" w:eastAsia="黑体"/>
          <w:b/>
          <w:bCs/>
          <w:color w:val="auto"/>
          <w:sz w:val="30"/>
          <w:szCs w:val="30"/>
          <w:highlight w:val="none"/>
          <w:lang w:val="en-US" w:eastAsia="zh-CN"/>
        </w:rPr>
        <w:t>郸财磋商采购-2025-54</w:t>
      </w:r>
    </w:p>
    <w:p w14:paraId="7F5FC024">
      <w:pPr>
        <w:pStyle w:val="8"/>
        <w:jc w:val="center"/>
        <w:rPr>
          <w:rFonts w:hint="eastAsia" w:ascii="宋体" w:hAnsi="宋体" w:eastAsia="宋体" w:cs="Times New Roman"/>
          <w:b/>
          <w:color w:val="auto"/>
          <w:sz w:val="32"/>
          <w:highlight w:val="none"/>
        </w:rPr>
      </w:pPr>
      <w:r>
        <w:rPr>
          <w:rFonts w:hint="eastAsia" w:ascii="宋体" w:hAnsi="宋体" w:eastAsia="宋体" w:cs="Times New Roman"/>
          <w:b/>
          <w:color w:val="auto"/>
          <w:sz w:val="32"/>
          <w:highlight w:val="none"/>
          <w:lang w:val="en-US" w:eastAsia="zh-CN"/>
        </w:rPr>
        <w:t>2025</w:t>
      </w:r>
      <w:r>
        <w:rPr>
          <w:rFonts w:hint="eastAsia" w:ascii="宋体" w:hAnsi="宋体" w:eastAsia="宋体" w:cs="Times New Roman"/>
          <w:b/>
          <w:color w:val="auto"/>
          <w:sz w:val="32"/>
          <w:highlight w:val="none"/>
        </w:rPr>
        <w:t>年</w:t>
      </w:r>
      <w:r>
        <w:rPr>
          <w:rFonts w:hint="eastAsia" w:ascii="宋体" w:hAnsi="宋体" w:eastAsia="宋体" w:cs="Times New Roman"/>
          <w:b/>
          <w:color w:val="auto"/>
          <w:sz w:val="32"/>
          <w:highlight w:val="none"/>
          <w:lang w:val="en-US" w:eastAsia="zh-CN"/>
        </w:rPr>
        <w:t>07</w:t>
      </w:r>
      <w:r>
        <w:rPr>
          <w:rFonts w:hint="eastAsia" w:ascii="宋体" w:hAnsi="宋体" w:eastAsia="宋体" w:cs="Times New Roman"/>
          <w:b/>
          <w:color w:val="auto"/>
          <w:sz w:val="32"/>
          <w:highlight w:val="none"/>
        </w:rPr>
        <w:t>月</w:t>
      </w:r>
      <w:r>
        <w:rPr>
          <w:rFonts w:hint="eastAsia" w:ascii="宋体" w:hAnsi="宋体" w:eastAsia="宋体" w:cs="Times New Roman"/>
          <w:b/>
          <w:color w:val="auto"/>
          <w:sz w:val="32"/>
          <w:highlight w:val="none"/>
          <w:lang w:val="en-US" w:eastAsia="zh-CN"/>
        </w:rPr>
        <w:t>14</w:t>
      </w:r>
      <w:r>
        <w:rPr>
          <w:rFonts w:hint="eastAsia" w:ascii="宋体" w:hAnsi="宋体" w:eastAsia="宋体" w:cs="Times New Roman"/>
          <w:b/>
          <w:color w:val="auto"/>
          <w:sz w:val="32"/>
          <w:highlight w:val="none"/>
        </w:rPr>
        <w:t>日</w:t>
      </w:r>
    </w:p>
    <w:sdt>
      <w:sdtPr>
        <w:rPr>
          <w:rFonts w:ascii="宋体" w:hAnsi="宋体" w:eastAsia="宋体" w:cs="Times New Roman"/>
          <w:b/>
          <w:bCs/>
          <w:color w:val="auto"/>
          <w:kern w:val="2"/>
          <w:sz w:val="28"/>
          <w:szCs w:val="28"/>
          <w:highlight w:val="none"/>
          <w:lang w:val="en-US" w:eastAsia="zh-CN" w:bidi="ar-SA"/>
        </w:rPr>
        <w:id w:val="147465901"/>
        <w15:color w:val="DBDBDB"/>
        <w:docPartObj>
          <w:docPartGallery w:val="Table of Contents"/>
          <w:docPartUnique/>
        </w:docPartObj>
      </w:sdtPr>
      <w:sdtEndPr>
        <w:rPr>
          <w:rFonts w:hint="eastAsia" w:ascii="宋体" w:hAnsi="宋体" w:eastAsia="宋体" w:cs="宋体"/>
          <w:b/>
          <w:bCs/>
          <w:color w:val="auto"/>
          <w:kern w:val="2"/>
          <w:sz w:val="24"/>
          <w:szCs w:val="24"/>
          <w:highlight w:val="none"/>
          <w:lang w:val="en-US" w:eastAsia="zh-CN" w:bidi="ar-SA"/>
        </w:rPr>
      </w:sdtEndPr>
      <w:sdtContent>
        <w:p w14:paraId="52EBB466">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b/>
              <w:bCs/>
              <w:color w:val="auto"/>
              <w:sz w:val="28"/>
              <w:szCs w:val="28"/>
              <w:highlight w:val="none"/>
            </w:rPr>
          </w:pPr>
          <w:r>
            <w:rPr>
              <w:rFonts w:ascii="宋体" w:hAnsi="宋体" w:eastAsia="宋体"/>
              <w:b/>
              <w:bCs/>
              <w:color w:val="auto"/>
              <w:sz w:val="28"/>
              <w:szCs w:val="28"/>
              <w:highlight w:val="none"/>
            </w:rPr>
            <w:t>目录</w:t>
          </w:r>
        </w:p>
        <w:p w14:paraId="6C7D9A2B">
          <w:pPr>
            <w:pStyle w:val="2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TOC \o "1-3" \h \u </w:instrText>
          </w:r>
          <w:r>
            <w:rPr>
              <w:rFonts w:hint="eastAsia" w:ascii="宋体" w:hAnsi="宋体" w:cs="宋体"/>
              <w:b/>
              <w:color w:val="auto"/>
              <w:sz w:val="24"/>
              <w:szCs w:val="24"/>
              <w:highlight w:val="none"/>
            </w:rPr>
            <w:fldChar w:fldCharType="separate"/>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_Toc8707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第一章 竞争性磋商邀请函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_Toc8707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32978781">
          <w:pPr>
            <w:pStyle w:val="2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_Toc21762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第二章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_Toc21762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18C3FC97">
          <w:pPr>
            <w:pStyle w:val="2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_Toc14467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第三章 采购项目内容及要求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_Toc14467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3F64D811">
          <w:pPr>
            <w:pStyle w:val="2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_Toc23608 </w:instrText>
          </w:r>
          <w:r>
            <w:rPr>
              <w:rFonts w:hint="eastAsia" w:ascii="宋体" w:hAnsi="宋体" w:cs="宋体"/>
              <w:color w:val="auto"/>
              <w:sz w:val="24"/>
              <w:szCs w:val="24"/>
              <w:highlight w:val="none"/>
            </w:rPr>
            <w:fldChar w:fldCharType="separate"/>
          </w:r>
          <w:r>
            <w:rPr>
              <w:rFonts w:hint="eastAsia" w:ascii="宋体" w:hAnsi="宋体" w:cs="宋体"/>
              <w:bCs/>
              <w:color w:val="auto"/>
              <w:sz w:val="24"/>
              <w:szCs w:val="24"/>
              <w:highlight w:val="none"/>
            </w:rPr>
            <w:t>第四章 响应性文件内容及格式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_Toc23608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196C4653">
          <w:pPr>
            <w:pStyle w:val="2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_Toc31581 </w:instrText>
          </w:r>
          <w:r>
            <w:rPr>
              <w:rFonts w:hint="eastAsia" w:ascii="宋体" w:hAnsi="宋体" w:cs="宋体"/>
              <w:color w:val="auto"/>
              <w:sz w:val="24"/>
              <w:szCs w:val="24"/>
              <w:highlight w:val="none"/>
            </w:rPr>
            <w:fldChar w:fldCharType="separate"/>
          </w:r>
          <w:r>
            <w:rPr>
              <w:rFonts w:hint="eastAsia" w:ascii="宋体" w:hAnsi="宋体" w:cs="宋体"/>
              <w:bCs w:val="0"/>
              <w:color w:val="auto"/>
              <w:sz w:val="24"/>
              <w:szCs w:val="24"/>
              <w:highlight w:val="none"/>
            </w:rPr>
            <w:t xml:space="preserve">第五章  </w:t>
          </w:r>
          <w:r>
            <w:rPr>
              <w:rFonts w:hint="eastAsia" w:ascii="宋体" w:hAnsi="宋体" w:eastAsia="宋体" w:cs="宋体"/>
              <w:bCs w:val="0"/>
              <w:color w:val="auto"/>
              <w:w w:val="92"/>
              <w:sz w:val="24"/>
              <w:szCs w:val="24"/>
              <w:highlight w:val="none"/>
              <w:lang w:val="en-US"/>
            </w:rPr>
            <w:t>周口市</w:t>
          </w:r>
          <w:r>
            <w:rPr>
              <w:rFonts w:hint="eastAsia" w:ascii="宋体" w:hAnsi="宋体" w:eastAsia="宋体" w:cs="宋体"/>
              <w:bCs w:val="0"/>
              <w:color w:val="auto"/>
              <w:sz w:val="24"/>
              <w:szCs w:val="24"/>
              <w:highlight w:val="none"/>
              <w:lang w:val="en-US"/>
            </w:rPr>
            <w:t>政府采购合同（服务类）标准文本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_Toc31581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432973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hAnsi="宋体" w:cs="宋体"/>
              <w:color w:val="auto"/>
              <w:sz w:val="24"/>
              <w:szCs w:val="24"/>
              <w:highlight w:val="none"/>
            </w:rPr>
            <w:fldChar w:fldCharType="end"/>
          </w:r>
        </w:p>
      </w:sdtContent>
    </w:sdt>
    <w:p w14:paraId="4A60CFD7">
      <w:pPr>
        <w:jc w:val="center"/>
        <w:outlineLvl w:val="0"/>
        <w:rPr>
          <w:rFonts w:ascii="宋体" w:hAnsi="宋体" w:cs="宋体"/>
          <w:b/>
          <w:color w:val="auto"/>
          <w:sz w:val="32"/>
          <w:szCs w:val="32"/>
          <w:highlight w:val="none"/>
        </w:rPr>
      </w:pPr>
      <w:r>
        <w:rPr>
          <w:rFonts w:hint="eastAsia" w:ascii="仿宋_GB2312" w:eastAsia="仿宋_GB2312"/>
          <w:b/>
          <w:color w:val="auto"/>
          <w:sz w:val="32"/>
          <w:szCs w:val="32"/>
          <w:highlight w:val="none"/>
        </w:rPr>
        <w:br w:type="page"/>
      </w:r>
      <w:bookmarkStart w:id="0" w:name="_Toc8707"/>
      <w:r>
        <w:rPr>
          <w:rFonts w:hint="eastAsia" w:ascii="宋体" w:hAnsi="宋体" w:cs="宋体"/>
          <w:b/>
          <w:color w:val="auto"/>
          <w:sz w:val="32"/>
          <w:szCs w:val="32"/>
          <w:highlight w:val="none"/>
        </w:rPr>
        <w:t>第一章 竞争性磋商邀请函</w:t>
      </w:r>
      <w:bookmarkEnd w:id="0"/>
    </w:p>
    <w:p w14:paraId="48DA0D56">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w:t>
      </w:r>
    </w:p>
    <w:p w14:paraId="43EEF02E">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关于郸城县生活垃圾分类基础设施建设项目图纸设计采购申请项目招标项目的潜在投标人应在周口市公共资源交易中心网（http://jyzx.zhoukou.gov.cn）获取招标文件，并于2025年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25</w:t>
      </w:r>
      <w:bookmarkStart w:id="35" w:name="_GoBack"/>
      <w:bookmarkEnd w:id="35"/>
      <w:r>
        <w:rPr>
          <w:rFonts w:hint="eastAsia" w:ascii="宋体" w:hAnsi="宋体" w:eastAsia="宋体" w:cs="宋体"/>
          <w:color w:val="auto"/>
          <w:sz w:val="24"/>
          <w:szCs w:val="24"/>
          <w:highlight w:val="none"/>
          <w:lang w:val="en-US" w:eastAsia="zh-CN"/>
        </w:rPr>
        <w:t>日10时00分（北京时间）前递交投标文件。</w:t>
      </w:r>
    </w:p>
    <w:p w14:paraId="41F6C4A9">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rPr>
      </w:pPr>
      <w:bookmarkStart w:id="1" w:name="_Toc28359012"/>
      <w:bookmarkStart w:id="2" w:name="_Toc35393798"/>
      <w:bookmarkStart w:id="3" w:name="_Toc28359089"/>
      <w:bookmarkStart w:id="4" w:name="_Toc35393629"/>
      <w:r>
        <w:rPr>
          <w:rFonts w:hint="eastAsia" w:ascii="宋体" w:hAnsi="宋体" w:eastAsia="宋体" w:cs="宋体"/>
          <w:color w:val="auto"/>
          <w:sz w:val="24"/>
          <w:szCs w:val="24"/>
          <w:highlight w:val="none"/>
        </w:rPr>
        <w:t>一、项目基本情况</w:t>
      </w:r>
      <w:bookmarkEnd w:id="1"/>
      <w:bookmarkEnd w:id="2"/>
      <w:bookmarkEnd w:id="3"/>
      <w:bookmarkEnd w:id="4"/>
    </w:p>
    <w:p w14:paraId="5E893E80">
      <w:pPr>
        <w:keepNext w:val="0"/>
        <w:keepLines w:val="0"/>
        <w:pageBreakBefore w:val="0"/>
        <w:kinsoku/>
        <w:wordWrap/>
        <w:overflowPunct/>
        <w:topLinePunct w:val="0"/>
        <w:autoSpaceDE/>
        <w:autoSpaceDN/>
        <w:bidi w:val="0"/>
        <w:spacing w:line="520" w:lineRule="exact"/>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郸财磋商采购-2025-54</w:t>
      </w:r>
    </w:p>
    <w:p w14:paraId="07FC6347">
      <w:pPr>
        <w:keepNext w:val="0"/>
        <w:keepLines w:val="0"/>
        <w:pageBreakBefore w:val="0"/>
        <w:kinsoku/>
        <w:wordWrap/>
        <w:overflowPunct/>
        <w:topLinePunct w:val="0"/>
        <w:autoSpaceDE/>
        <w:autoSpaceDN/>
        <w:bidi w:val="0"/>
        <w:spacing w:line="52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项目名称：关于郸城县生活垃圾分类基础设施建设项目图纸设计采购申请项目</w:t>
      </w:r>
    </w:p>
    <w:p w14:paraId="0BF27D33">
      <w:pPr>
        <w:keepNext w:val="0"/>
        <w:keepLines w:val="0"/>
        <w:pageBreakBefore w:val="0"/>
        <w:kinsoku/>
        <w:wordWrap/>
        <w:overflowPunct/>
        <w:topLinePunct w:val="0"/>
        <w:autoSpaceDE/>
        <w:autoSpaceDN/>
        <w:bidi w:val="0"/>
        <w:spacing w:line="52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采购方式：竞争性</w:t>
      </w:r>
      <w:r>
        <w:rPr>
          <w:rFonts w:hint="eastAsia" w:ascii="宋体" w:hAnsi="宋体" w:eastAsia="宋体" w:cs="宋体"/>
          <w:color w:val="auto"/>
          <w:sz w:val="24"/>
          <w:szCs w:val="24"/>
          <w:highlight w:val="none"/>
          <w:lang w:val="en-US" w:eastAsia="zh-CN"/>
        </w:rPr>
        <w:t>磋商</w:t>
      </w:r>
    </w:p>
    <w:p w14:paraId="4739DF51">
      <w:pPr>
        <w:keepNext w:val="0"/>
        <w:keepLines w:val="0"/>
        <w:pageBreakBefore w:val="0"/>
        <w:kinsoku/>
        <w:wordWrap/>
        <w:overflowPunct/>
        <w:topLinePunct w:val="0"/>
        <w:autoSpaceDE/>
        <w:autoSpaceDN/>
        <w:bidi w:val="0"/>
        <w:spacing w:line="520" w:lineRule="exact"/>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725000.00元</w:t>
      </w:r>
    </w:p>
    <w:p w14:paraId="61A9E694">
      <w:pPr>
        <w:keepNext w:val="0"/>
        <w:keepLines w:val="0"/>
        <w:pageBreakBefore w:val="0"/>
        <w:kinsoku/>
        <w:wordWrap/>
        <w:overflowPunct/>
        <w:topLinePunct w:val="0"/>
        <w:autoSpaceDE/>
        <w:autoSpaceDN/>
        <w:bidi w:val="0"/>
        <w:spacing w:line="520" w:lineRule="exact"/>
        <w:ind w:firstLine="720" w:firstLineChars="3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725000元</w:t>
      </w:r>
    </w:p>
    <w:tbl>
      <w:tblPr>
        <w:tblStyle w:val="28"/>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536"/>
        <w:gridCol w:w="1887"/>
        <w:gridCol w:w="1212"/>
        <w:gridCol w:w="1774"/>
        <w:gridCol w:w="1368"/>
        <w:gridCol w:w="1571"/>
      </w:tblGrid>
      <w:tr w14:paraId="758A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14:paraId="247DCD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536" w:type="dxa"/>
            <w:vAlign w:val="center"/>
          </w:tcPr>
          <w:p w14:paraId="7A737D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包号</w:t>
            </w:r>
          </w:p>
        </w:tc>
        <w:tc>
          <w:tcPr>
            <w:tcW w:w="1887" w:type="dxa"/>
            <w:vAlign w:val="center"/>
          </w:tcPr>
          <w:p w14:paraId="54CFC2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包名称</w:t>
            </w:r>
          </w:p>
        </w:tc>
        <w:tc>
          <w:tcPr>
            <w:tcW w:w="1212" w:type="dxa"/>
            <w:vAlign w:val="center"/>
          </w:tcPr>
          <w:p w14:paraId="2718D4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包预算（元）</w:t>
            </w:r>
          </w:p>
        </w:tc>
        <w:tc>
          <w:tcPr>
            <w:tcW w:w="1774" w:type="dxa"/>
            <w:vAlign w:val="center"/>
          </w:tcPr>
          <w:p w14:paraId="55FE1E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包最高限价（元）</w:t>
            </w:r>
          </w:p>
        </w:tc>
        <w:tc>
          <w:tcPr>
            <w:tcW w:w="1368" w:type="dxa"/>
            <w:vAlign w:val="center"/>
          </w:tcPr>
          <w:p w14:paraId="043D84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是否专门面向中小企业</w:t>
            </w:r>
          </w:p>
        </w:tc>
        <w:tc>
          <w:tcPr>
            <w:tcW w:w="1571" w:type="dxa"/>
            <w:vAlign w:val="center"/>
          </w:tcPr>
          <w:p w14:paraId="07EFD2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采购预留金额（元）</w:t>
            </w:r>
          </w:p>
        </w:tc>
      </w:tr>
      <w:tr w14:paraId="01FF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14:paraId="094012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536" w:type="dxa"/>
            <w:vAlign w:val="center"/>
          </w:tcPr>
          <w:p w14:paraId="18DDE7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887" w:type="dxa"/>
            <w:vAlign w:val="center"/>
          </w:tcPr>
          <w:p w14:paraId="20ED1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vertAlign w:val="baseline"/>
                <w:lang w:val="en-US"/>
              </w:rPr>
            </w:pPr>
            <w:r>
              <w:rPr>
                <w:rFonts w:hint="default" w:ascii="宋体" w:hAnsi="宋体" w:eastAsia="宋体" w:cs="宋体"/>
                <w:color w:val="auto"/>
                <w:sz w:val="24"/>
                <w:szCs w:val="24"/>
                <w:highlight w:val="none"/>
                <w:vertAlign w:val="baseline"/>
                <w:lang w:val="en-US"/>
              </w:rPr>
              <w:t>关于郸城县生活垃圾分类基础设施建设项目图纸设计采购申请项目</w:t>
            </w:r>
          </w:p>
        </w:tc>
        <w:tc>
          <w:tcPr>
            <w:tcW w:w="1212" w:type="dxa"/>
            <w:vAlign w:val="center"/>
          </w:tcPr>
          <w:p w14:paraId="4ABC92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725000</w:t>
            </w:r>
          </w:p>
        </w:tc>
        <w:tc>
          <w:tcPr>
            <w:tcW w:w="1774" w:type="dxa"/>
            <w:vAlign w:val="center"/>
          </w:tcPr>
          <w:p w14:paraId="5C8524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725000</w:t>
            </w:r>
          </w:p>
        </w:tc>
        <w:tc>
          <w:tcPr>
            <w:tcW w:w="1368" w:type="dxa"/>
            <w:vAlign w:val="center"/>
          </w:tcPr>
          <w:p w14:paraId="1C43A2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是</w:t>
            </w:r>
          </w:p>
        </w:tc>
        <w:tc>
          <w:tcPr>
            <w:tcW w:w="1571" w:type="dxa"/>
            <w:vAlign w:val="center"/>
          </w:tcPr>
          <w:p w14:paraId="4EC155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725000</w:t>
            </w:r>
          </w:p>
        </w:tc>
      </w:tr>
    </w:tbl>
    <w:p w14:paraId="18459CF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采购需求：（包括但不限于标的的名称、数量、简要技术需求或服务要求等）详见磋商文件</w:t>
      </w:r>
    </w:p>
    <w:p w14:paraId="351C7C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合同签订后30日历天完成</w:t>
      </w:r>
    </w:p>
    <w:p w14:paraId="5122399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bookmarkStart w:id="5" w:name="_Toc28359013"/>
      <w:bookmarkStart w:id="6" w:name="_Toc35393630"/>
      <w:bookmarkStart w:id="7" w:name="_Toc28359090"/>
      <w:bookmarkStart w:id="8" w:name="_Toc35393799"/>
      <w:r>
        <w:rPr>
          <w:rFonts w:hint="eastAsia" w:ascii="宋体" w:hAnsi="宋体" w:eastAsia="宋体" w:cs="宋体"/>
          <w:color w:val="auto"/>
          <w:sz w:val="24"/>
          <w:szCs w:val="24"/>
          <w:highlight w:val="none"/>
          <w:lang w:val="en-US" w:eastAsia="zh-CN"/>
        </w:rPr>
        <w:t>7、本项目是否接受联合体投标：否</w:t>
      </w:r>
    </w:p>
    <w:p w14:paraId="481D37E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8、是否接受进口产品：否</w:t>
      </w:r>
    </w:p>
    <w:p w14:paraId="06CDC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9、是否专门面向中小企业：</w:t>
      </w:r>
      <w:r>
        <w:rPr>
          <w:rFonts w:hint="eastAsia" w:ascii="宋体" w:hAnsi="宋体" w:eastAsia="宋体" w:cs="宋体"/>
          <w:color w:val="auto"/>
          <w:sz w:val="24"/>
          <w:szCs w:val="24"/>
          <w:highlight w:val="none"/>
          <w:lang w:val="en-US" w:eastAsia="zh-CN"/>
        </w:rPr>
        <w:t>是</w:t>
      </w:r>
    </w:p>
    <w:p w14:paraId="072E149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bookmarkEnd w:id="5"/>
      <w:bookmarkEnd w:id="6"/>
      <w:bookmarkEnd w:id="7"/>
      <w:bookmarkEnd w:id="8"/>
    </w:p>
    <w:p w14:paraId="4D8FC5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24406D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5B719B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0A9CFC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181F0B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2C6E5C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763A44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041A40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bookmarkStart w:id="9" w:name="_Toc28359091"/>
      <w:bookmarkStart w:id="10" w:name="_Toc28359014"/>
      <w:r>
        <w:rPr>
          <w:rFonts w:hint="eastAsia" w:ascii="宋体" w:hAnsi="宋体" w:eastAsia="宋体" w:cs="宋体"/>
          <w:color w:val="auto"/>
          <w:sz w:val="24"/>
          <w:szCs w:val="24"/>
          <w:highlight w:val="none"/>
        </w:rPr>
        <w:t>2.落实政府采购政策需满足的资格要求：促进中小企业和监狱企业发展扶持政策、政府强制采购节能产品强制采购、节能产品及环境标志产品优先采购、促进残疾人就业政府采购政策。</w:t>
      </w:r>
    </w:p>
    <w:p w14:paraId="01FA9B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0F0C1D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（1）根据《关于在政府采购活动中查询及使用信用记录有关问题的通知》(财库[2016]125号)和豫财购【2016】15号的规定，对列入“信用中国”网站（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"http://www.creditchina.gov.cn/"</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重大税收违法失信主体</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失信被执行人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和“中国政府采购”网站(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"http://www.ccgp.gov.cn/"</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)的“政府采购严重违法失信行为记录名单”的供应商，将拒绝其参加政府采购活动；在标书中附加盖公章的网页查询扫描件，查询日期为公告发布之日起至投标截止之日止。</w:t>
      </w:r>
    </w:p>
    <w:p w14:paraId="4A7CEA2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须具有建设行政主管部门核发的建筑行业(建筑工程)专业设计甲级资质或建筑行业设计乙级及以上资质或工程设计综合甲级资质。拟派项目负责人须具有一级注册建筑师及相关专业高级及以上职称。</w:t>
      </w:r>
    </w:p>
    <w:p w14:paraId="3BA0E7D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bookmarkStart w:id="11" w:name="_Toc35393631"/>
      <w:bookmarkStart w:id="12" w:name="_Toc35393800"/>
      <w:r>
        <w:rPr>
          <w:rFonts w:hint="eastAsia" w:ascii="宋体" w:hAnsi="宋体" w:eastAsia="宋体" w:cs="宋体"/>
          <w:color w:val="auto"/>
          <w:sz w:val="24"/>
          <w:szCs w:val="24"/>
          <w:highlight w:val="none"/>
        </w:rPr>
        <w:t>三、获取采购文件</w:t>
      </w:r>
      <w:bookmarkEnd w:id="9"/>
      <w:bookmarkEnd w:id="10"/>
      <w:bookmarkEnd w:id="11"/>
      <w:bookmarkEnd w:id="12"/>
    </w:p>
    <w:p w14:paraId="2859A4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1.时间：2025年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日至2025年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日，每天上午00:00至12:00，下午12:00至23:59（北京时间，法定节假日除外。）</w:t>
      </w:r>
    </w:p>
    <w:p w14:paraId="35997E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地点：周口市公共资源交易中心网（http://jyzx.zhoukou.gov.cn）</w:t>
      </w:r>
    </w:p>
    <w:p w14:paraId="58BF85F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方式：供应商请在网站自主注册后下载采购文件（zkzf格式）及资料，需办理CA数字证书后方可提交响应文件，具体办理事宜请查阅周口市公共资源交易中心网站。</w:t>
      </w:r>
    </w:p>
    <w:p w14:paraId="466F77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lang w:val="en-US" w:eastAsia="zh-CN"/>
        </w:rPr>
        <w:t>0</w:t>
      </w:r>
    </w:p>
    <w:p w14:paraId="14CB3D8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bookmarkStart w:id="13" w:name="_Toc28359015"/>
      <w:bookmarkStart w:id="14" w:name="_Toc35393632"/>
      <w:bookmarkStart w:id="15" w:name="_Toc35393801"/>
      <w:bookmarkStart w:id="16" w:name="_Toc28359092"/>
      <w:r>
        <w:rPr>
          <w:rFonts w:hint="eastAsia" w:ascii="宋体" w:hAnsi="宋体" w:eastAsia="宋体" w:cs="宋体"/>
          <w:color w:val="auto"/>
          <w:sz w:val="24"/>
          <w:szCs w:val="24"/>
          <w:highlight w:val="none"/>
        </w:rPr>
        <w:t>四、响应文件提交</w:t>
      </w:r>
      <w:bookmarkEnd w:id="13"/>
      <w:bookmarkEnd w:id="14"/>
      <w:bookmarkEnd w:id="15"/>
      <w:bookmarkEnd w:id="16"/>
    </w:p>
    <w:p w14:paraId="5744E6B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val="en-US" w:eastAsia="zh-CN"/>
        </w:rPr>
        <w:t>2025年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日10时00分</w:t>
      </w:r>
      <w:r>
        <w:rPr>
          <w:rFonts w:hint="eastAsia" w:ascii="宋体" w:hAnsi="宋体" w:eastAsia="宋体" w:cs="宋体"/>
          <w:color w:val="auto"/>
          <w:sz w:val="24"/>
          <w:szCs w:val="24"/>
          <w:highlight w:val="none"/>
        </w:rPr>
        <w:t>（北京时间）</w:t>
      </w:r>
    </w:p>
    <w:p w14:paraId="28C9AB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地点：加密电子响应文件须在投标截止时间前通过周口市公共资源交易中心网（网址http://jyzx.zhoukou.gov.cn）。</w:t>
      </w:r>
    </w:p>
    <w:p w14:paraId="6190E14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bookmarkStart w:id="17" w:name="_Toc35393802"/>
      <w:bookmarkStart w:id="18" w:name="_Toc28359093"/>
      <w:bookmarkStart w:id="19" w:name="_Toc28359016"/>
      <w:bookmarkStart w:id="20" w:name="_Toc35393633"/>
      <w:r>
        <w:rPr>
          <w:rFonts w:hint="eastAsia" w:ascii="宋体" w:hAnsi="宋体" w:eastAsia="宋体" w:cs="宋体"/>
          <w:color w:val="auto"/>
          <w:sz w:val="24"/>
          <w:szCs w:val="24"/>
          <w:highlight w:val="none"/>
        </w:rPr>
        <w:t>五、</w:t>
      </w:r>
      <w:bookmarkEnd w:id="17"/>
      <w:bookmarkEnd w:id="18"/>
      <w:bookmarkEnd w:id="19"/>
      <w:bookmarkEnd w:id="20"/>
      <w:r>
        <w:rPr>
          <w:rFonts w:hint="eastAsia" w:ascii="宋体" w:hAnsi="宋体" w:eastAsia="宋体" w:cs="宋体"/>
          <w:color w:val="auto"/>
          <w:sz w:val="24"/>
          <w:szCs w:val="24"/>
          <w:highlight w:val="none"/>
        </w:rPr>
        <w:t>响应文件开启</w:t>
      </w:r>
    </w:p>
    <w:p w14:paraId="6AE50F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2025年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日10时00分</w:t>
      </w:r>
      <w:r>
        <w:rPr>
          <w:rFonts w:hint="eastAsia" w:ascii="宋体" w:hAnsi="宋体" w:eastAsia="宋体" w:cs="宋体"/>
          <w:color w:val="auto"/>
          <w:sz w:val="24"/>
          <w:szCs w:val="24"/>
          <w:highlight w:val="none"/>
        </w:rPr>
        <w:t>（北京时间）</w:t>
      </w:r>
    </w:p>
    <w:p w14:paraId="2982EC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地点：周口市公共资源</w:t>
      </w:r>
      <w:r>
        <w:rPr>
          <w:rFonts w:hint="eastAsia" w:ascii="宋体" w:hAnsi="宋体" w:eastAsia="宋体" w:cs="宋体"/>
          <w:color w:val="auto"/>
          <w:sz w:val="24"/>
          <w:szCs w:val="24"/>
          <w:highlight w:val="none"/>
          <w:lang w:eastAsia="zh-CN"/>
        </w:rPr>
        <w:t>交易中心</w:t>
      </w:r>
      <w:r>
        <w:rPr>
          <w:rFonts w:hint="eastAsia" w:ascii="宋体" w:hAnsi="宋体" w:eastAsia="宋体" w:cs="宋体"/>
          <w:color w:val="auto"/>
          <w:sz w:val="24"/>
          <w:szCs w:val="24"/>
          <w:highlight w:val="none"/>
          <w:lang w:val="en-US" w:eastAsia="zh-CN"/>
        </w:rPr>
        <w:t>开标室</w:t>
      </w:r>
    </w:p>
    <w:p w14:paraId="4BF336D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六、发布公告的媒介及招标公告期限</w:t>
      </w:r>
    </w:p>
    <w:p w14:paraId="77AD02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bookmarkStart w:id="21" w:name="_Toc35393635"/>
      <w:bookmarkStart w:id="22" w:name="_Toc35393804"/>
      <w:r>
        <w:rPr>
          <w:rFonts w:hint="eastAsia" w:ascii="宋体" w:hAnsi="宋体" w:eastAsia="宋体" w:cs="宋体"/>
          <w:color w:val="auto"/>
          <w:sz w:val="24"/>
          <w:szCs w:val="24"/>
          <w:highlight w:val="none"/>
        </w:rPr>
        <w:t>本次招标公告在《河南省政府采购网》《周口市公共资源交易中心网》上发布，招标公告期限为三个工作日。</w:t>
      </w:r>
    </w:p>
    <w:p w14:paraId="65F98D8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其他补充事宜</w:t>
      </w:r>
      <w:bookmarkEnd w:id="21"/>
      <w:bookmarkEnd w:id="22"/>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无</w:t>
      </w:r>
    </w:p>
    <w:p w14:paraId="5577A0DC">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凡对本次招标提出询问，请按照以下方式联系</w:t>
      </w:r>
    </w:p>
    <w:p w14:paraId="0FCDDB4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47B5792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名称：郸城县住房和城乡建设局</w:t>
      </w:r>
    </w:p>
    <w:p w14:paraId="278663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郸城县</w:t>
      </w:r>
    </w:p>
    <w:p w14:paraId="58AED7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项目联系人：张硕</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联系方式：</w:t>
      </w:r>
      <w:bookmarkStart w:id="23" w:name="_Toc28359086"/>
      <w:bookmarkStart w:id="24" w:name="_Toc28359009"/>
      <w:r>
        <w:rPr>
          <w:rFonts w:hint="eastAsia" w:ascii="宋体" w:hAnsi="宋体" w:eastAsia="宋体" w:cs="宋体"/>
          <w:color w:val="auto"/>
          <w:sz w:val="24"/>
          <w:szCs w:val="24"/>
          <w:highlight w:val="none"/>
        </w:rPr>
        <w:t>15138375150</w:t>
      </w:r>
    </w:p>
    <w:p w14:paraId="5575733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23"/>
      <w:bookmarkEnd w:id="24"/>
    </w:p>
    <w:p w14:paraId="61CA80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名称：周口市公共资源交易中心政府采购中心</w:t>
      </w:r>
    </w:p>
    <w:p w14:paraId="0C15CE0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地址：周口市光明路与政通路交叉口</w:t>
      </w:r>
      <w:r>
        <w:rPr>
          <w:rFonts w:hint="eastAsia" w:ascii="宋体" w:hAnsi="宋体" w:eastAsia="宋体" w:cs="宋体"/>
          <w:color w:val="auto"/>
          <w:sz w:val="24"/>
          <w:szCs w:val="24"/>
          <w:highlight w:val="none"/>
          <w:lang w:val="en-US" w:eastAsia="zh-CN"/>
        </w:rPr>
        <w:t>向北100米路东</w:t>
      </w:r>
    </w:p>
    <w:p w14:paraId="4FF6B1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w:t>
      </w:r>
      <w:r>
        <w:rPr>
          <w:rFonts w:hint="eastAsia" w:ascii="宋体" w:hAnsi="宋体" w:cs="宋体"/>
          <w:color w:val="auto"/>
          <w:sz w:val="24"/>
          <w:szCs w:val="24"/>
          <w:highlight w:val="none"/>
          <w:lang w:val="en-US" w:eastAsia="zh-CN"/>
        </w:rPr>
        <w:t>王园园</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联系方式：</w:t>
      </w:r>
      <w:bookmarkStart w:id="25" w:name="_Toc28359087"/>
      <w:bookmarkStart w:id="26" w:name="_Toc28359010"/>
      <w:r>
        <w:rPr>
          <w:rFonts w:hint="eastAsia" w:ascii="宋体" w:hAnsi="宋体" w:cs="宋体"/>
          <w:color w:val="auto"/>
          <w:sz w:val="24"/>
          <w:szCs w:val="24"/>
          <w:highlight w:val="none"/>
          <w:lang w:val="en-US" w:eastAsia="zh-CN"/>
        </w:rPr>
        <w:t>0394-8106517、19913281180</w:t>
      </w:r>
    </w:p>
    <w:bookmarkEnd w:id="25"/>
    <w:bookmarkEnd w:id="26"/>
    <w:p w14:paraId="03983897">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3.监督单位：郸城县政府采购办</w:t>
      </w:r>
    </w:p>
    <w:p w14:paraId="49D2CC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0394-3298829</w:t>
      </w:r>
    </w:p>
    <w:p w14:paraId="7477AA19">
      <w:pPr>
        <w:pStyle w:val="4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highlight w:val="none"/>
          <w:lang w:val="en-US" w:eastAsia="zh-CN"/>
        </w:rPr>
      </w:pPr>
    </w:p>
    <w:p w14:paraId="6E4DEA07">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周口市公共资源交易中心政府采购中心</w:t>
      </w:r>
    </w:p>
    <w:p w14:paraId="3AF75544">
      <w:pPr>
        <w:keepNext w:val="0"/>
        <w:keepLines w:val="0"/>
        <w:pageBreakBefore w:val="0"/>
        <w:widowControl w:val="0"/>
        <w:kinsoku/>
        <w:wordWrap/>
        <w:overflowPunct/>
        <w:topLinePunct w:val="0"/>
        <w:autoSpaceDE/>
        <w:autoSpaceDN/>
        <w:bidi w:val="0"/>
        <w:adjustRightInd/>
        <w:snapToGrid/>
        <w:spacing w:line="480" w:lineRule="exact"/>
        <w:ind w:firstLine="6240" w:firstLineChars="2600"/>
        <w:textAlignment w:val="auto"/>
        <w:rPr>
          <w:color w:val="auto"/>
          <w:highlight w:val="none"/>
        </w:rPr>
      </w:pP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日</w:t>
      </w:r>
    </w:p>
    <w:p w14:paraId="59E5684A">
      <w:pPr>
        <w:numPr>
          <w:ilvl w:val="0"/>
          <w:numId w:val="2"/>
        </w:numPr>
        <w:jc w:val="center"/>
        <w:outlineLvl w:val="0"/>
        <w:rPr>
          <w:rFonts w:ascii="宋体" w:hAnsi="宋体" w:cs="宋体"/>
          <w:b/>
          <w:color w:val="auto"/>
          <w:sz w:val="32"/>
          <w:szCs w:val="32"/>
          <w:highlight w:val="none"/>
        </w:rPr>
      </w:pPr>
      <w:r>
        <w:rPr>
          <w:rFonts w:ascii="宋体" w:hAnsi="宋体" w:cs="宋体"/>
          <w:b/>
          <w:color w:val="auto"/>
          <w:sz w:val="32"/>
          <w:szCs w:val="32"/>
          <w:highlight w:val="none"/>
        </w:rPr>
        <w:br w:type="page"/>
      </w:r>
      <w:r>
        <w:rPr>
          <w:rFonts w:hint="eastAsia" w:ascii="宋体" w:hAnsi="宋体" w:cs="宋体"/>
          <w:b/>
          <w:color w:val="auto"/>
          <w:sz w:val="32"/>
          <w:szCs w:val="32"/>
          <w:highlight w:val="none"/>
          <w:lang w:val="en-US" w:eastAsia="zh-CN"/>
        </w:rPr>
        <w:t xml:space="preserve"> </w:t>
      </w:r>
      <w:bookmarkStart w:id="27" w:name="_Toc21762"/>
      <w:r>
        <w:rPr>
          <w:rFonts w:hint="eastAsia" w:ascii="宋体" w:hAnsi="宋体" w:cs="宋体"/>
          <w:b/>
          <w:color w:val="auto"/>
          <w:sz w:val="32"/>
          <w:szCs w:val="32"/>
          <w:highlight w:val="none"/>
        </w:rPr>
        <w:t>供应商须知</w:t>
      </w:r>
      <w:bookmarkEnd w:id="27"/>
    </w:p>
    <w:tbl>
      <w:tblPr>
        <w:tblStyle w:val="27"/>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4BBD51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0A317FEA">
            <w:pPr>
              <w:jc w:val="center"/>
              <w:rPr>
                <w:rFonts w:ascii="宋体" w:hAnsi="宋体"/>
                <w:color w:val="auto"/>
                <w:szCs w:val="21"/>
                <w:highlight w:val="none"/>
              </w:rPr>
            </w:pPr>
            <w:r>
              <w:rPr>
                <w:rFonts w:hint="eastAsia" w:ascii="宋体" w:hAnsi="宋体" w:cs="楷体_GB2312"/>
                <w:color w:val="auto"/>
                <w:sz w:val="32"/>
                <w:szCs w:val="32"/>
                <w:highlight w:val="none"/>
              </w:rPr>
              <w:t>供应商须知前附表</w:t>
            </w:r>
          </w:p>
        </w:tc>
      </w:tr>
      <w:tr w14:paraId="3A1587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2D70C552">
            <w:pPr>
              <w:spacing w:beforeLines="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995" w:type="dxa"/>
            <w:vAlign w:val="center"/>
          </w:tcPr>
          <w:p w14:paraId="6D8A6A54">
            <w:pPr>
              <w:spacing w:beforeLines="50"/>
              <w:jc w:val="center"/>
              <w:rPr>
                <w:rFonts w:ascii="宋体" w:hAnsi="宋体" w:cs="宋体"/>
                <w:color w:val="auto"/>
                <w:sz w:val="24"/>
                <w:highlight w:val="none"/>
              </w:rPr>
            </w:pPr>
            <w:r>
              <w:rPr>
                <w:rFonts w:hint="eastAsia" w:ascii="宋体" w:hAnsi="宋体" w:cs="宋体"/>
                <w:color w:val="auto"/>
                <w:sz w:val="24"/>
                <w:highlight w:val="none"/>
              </w:rPr>
              <w:t>条款</w:t>
            </w:r>
          </w:p>
        </w:tc>
        <w:tc>
          <w:tcPr>
            <w:tcW w:w="6615" w:type="dxa"/>
            <w:vAlign w:val="center"/>
          </w:tcPr>
          <w:p w14:paraId="46CC5D2C">
            <w:pPr>
              <w:rPr>
                <w:rFonts w:ascii="宋体" w:hAnsi="宋体" w:cs="宋体"/>
                <w:color w:val="auto"/>
                <w:sz w:val="24"/>
                <w:highlight w:val="none"/>
              </w:rPr>
            </w:pPr>
            <w:r>
              <w:rPr>
                <w:rFonts w:hint="eastAsia" w:ascii="宋体" w:hAnsi="宋体" w:cs="宋体"/>
                <w:color w:val="auto"/>
                <w:sz w:val="24"/>
                <w:highlight w:val="none"/>
              </w:rPr>
              <w:t>内  容</w:t>
            </w:r>
          </w:p>
        </w:tc>
      </w:tr>
      <w:tr w14:paraId="2C979C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4C1EFAC0">
            <w:pPr>
              <w:numPr>
                <w:ilvl w:val="0"/>
                <w:numId w:val="3"/>
              </w:numPr>
              <w:spacing w:beforeLines="50"/>
              <w:jc w:val="center"/>
              <w:rPr>
                <w:rFonts w:ascii="宋体" w:hAnsi="宋体" w:cs="宋体"/>
                <w:color w:val="auto"/>
                <w:sz w:val="24"/>
                <w:highlight w:val="none"/>
              </w:rPr>
            </w:pPr>
          </w:p>
        </w:tc>
        <w:tc>
          <w:tcPr>
            <w:tcW w:w="1995" w:type="dxa"/>
            <w:vAlign w:val="center"/>
          </w:tcPr>
          <w:p w14:paraId="2925850B">
            <w:pPr>
              <w:jc w:val="center"/>
              <w:rPr>
                <w:rFonts w:ascii="宋体" w:hAnsi="宋体" w:cs="宋体"/>
                <w:color w:val="auto"/>
                <w:sz w:val="24"/>
                <w:highlight w:val="none"/>
              </w:rPr>
            </w:pPr>
            <w:r>
              <w:rPr>
                <w:rFonts w:hint="eastAsia" w:ascii="宋体" w:hAnsi="宋体" w:cs="宋体"/>
                <w:color w:val="auto"/>
                <w:sz w:val="24"/>
                <w:highlight w:val="none"/>
              </w:rPr>
              <w:t>项目概况</w:t>
            </w:r>
          </w:p>
        </w:tc>
        <w:tc>
          <w:tcPr>
            <w:tcW w:w="6615" w:type="dxa"/>
            <w:vAlign w:val="center"/>
          </w:tcPr>
          <w:p w14:paraId="48DFE25B">
            <w:pPr>
              <w:rPr>
                <w:rFonts w:ascii="宋体" w:hAnsi="宋体" w:cs="宋体"/>
                <w:color w:val="auto"/>
                <w:sz w:val="24"/>
                <w:highlight w:val="none"/>
              </w:rPr>
            </w:pPr>
            <w:r>
              <w:rPr>
                <w:rFonts w:hint="eastAsia" w:ascii="宋体" w:hAnsi="宋体" w:cs="宋体"/>
                <w:color w:val="auto"/>
                <w:sz w:val="24"/>
                <w:highlight w:val="none"/>
              </w:rPr>
              <w:t>项目名称：关于郸城县生活垃圾分类基础设施建设项目图纸设计采购申请项目</w:t>
            </w:r>
          </w:p>
          <w:p w14:paraId="684C4BE8">
            <w:pPr>
              <w:rPr>
                <w:rFonts w:ascii="宋体" w:hAnsi="宋体" w:cs="宋体"/>
                <w:color w:val="auto"/>
                <w:sz w:val="24"/>
                <w:highlight w:val="none"/>
              </w:rPr>
            </w:pPr>
            <w:r>
              <w:rPr>
                <w:rFonts w:hint="eastAsia" w:ascii="宋体" w:hAnsi="宋体" w:cs="宋体"/>
                <w:color w:val="auto"/>
                <w:sz w:val="24"/>
                <w:highlight w:val="none"/>
              </w:rPr>
              <w:t>采购内容：郸城县生活垃圾分类基础设施建设项目图纸设计</w:t>
            </w:r>
          </w:p>
          <w:p w14:paraId="2C0A9918">
            <w:pPr>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eastAsia="宋体" w:cs="宋体"/>
                <w:color w:val="auto"/>
                <w:sz w:val="24"/>
                <w:szCs w:val="24"/>
                <w:highlight w:val="none"/>
              </w:rPr>
              <w:t>郸城县住房和城乡建设局</w:t>
            </w:r>
          </w:p>
          <w:p w14:paraId="5D41463C">
            <w:pPr>
              <w:rPr>
                <w:rFonts w:ascii="宋体" w:hAnsi="宋体" w:cs="宋体"/>
                <w:color w:val="auto"/>
                <w:sz w:val="24"/>
                <w:highlight w:val="none"/>
              </w:rPr>
            </w:pPr>
            <w:r>
              <w:rPr>
                <w:rFonts w:hint="eastAsia" w:ascii="宋体" w:hAnsi="宋体" w:cs="宋体"/>
                <w:color w:val="auto"/>
                <w:sz w:val="24"/>
                <w:highlight w:val="none"/>
              </w:rPr>
              <w:t>采购代理机构：</w:t>
            </w:r>
            <w:r>
              <w:rPr>
                <w:rFonts w:hint="eastAsia" w:ascii="宋体" w:hAnsi="宋体" w:eastAsia="宋体" w:cs="宋体"/>
                <w:i w:val="0"/>
                <w:iCs w:val="0"/>
                <w:color w:val="auto"/>
                <w:sz w:val="24"/>
                <w:szCs w:val="24"/>
                <w:highlight w:val="none"/>
              </w:rPr>
              <w:t>周口市光明路与政通路交叉口</w:t>
            </w:r>
            <w:r>
              <w:rPr>
                <w:rFonts w:hint="eastAsia" w:ascii="宋体" w:hAnsi="宋体" w:eastAsia="宋体" w:cs="宋体"/>
                <w:i w:val="0"/>
                <w:iCs w:val="0"/>
                <w:color w:val="auto"/>
                <w:sz w:val="24"/>
                <w:szCs w:val="24"/>
                <w:highlight w:val="none"/>
                <w:lang w:val="en-US" w:eastAsia="zh-CN"/>
              </w:rPr>
              <w:t>向北100米路东</w:t>
            </w:r>
          </w:p>
        </w:tc>
      </w:tr>
      <w:tr w14:paraId="743E24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35" w:type="dxa"/>
            <w:vAlign w:val="center"/>
          </w:tcPr>
          <w:p w14:paraId="18534C0B">
            <w:pPr>
              <w:numPr>
                <w:ilvl w:val="0"/>
                <w:numId w:val="3"/>
              </w:numPr>
              <w:spacing w:beforeLines="50"/>
              <w:jc w:val="center"/>
              <w:rPr>
                <w:rFonts w:ascii="宋体" w:hAnsi="宋体" w:cs="宋体"/>
                <w:color w:val="auto"/>
                <w:sz w:val="24"/>
                <w:highlight w:val="none"/>
              </w:rPr>
            </w:pPr>
          </w:p>
        </w:tc>
        <w:tc>
          <w:tcPr>
            <w:tcW w:w="1995" w:type="dxa"/>
            <w:vAlign w:val="center"/>
          </w:tcPr>
          <w:p w14:paraId="68CB18B2">
            <w:pPr>
              <w:spacing w:beforeLines="50"/>
              <w:ind w:left="-4" w:leftChars="-4" w:hanging="4" w:hangingChars="2"/>
              <w:jc w:val="center"/>
              <w:rPr>
                <w:rFonts w:ascii="宋体" w:hAnsi="宋体" w:cs="宋体"/>
                <w:color w:val="auto"/>
                <w:sz w:val="24"/>
                <w:highlight w:val="none"/>
              </w:rPr>
            </w:pPr>
            <w:r>
              <w:rPr>
                <w:rFonts w:hint="eastAsia" w:ascii="宋体" w:hAnsi="宋体" w:cs="宋体"/>
                <w:color w:val="auto"/>
                <w:sz w:val="24"/>
                <w:highlight w:val="none"/>
              </w:rPr>
              <w:t>对供应商的资格要求</w:t>
            </w:r>
          </w:p>
        </w:tc>
        <w:tc>
          <w:tcPr>
            <w:tcW w:w="6615" w:type="dxa"/>
            <w:vAlign w:val="center"/>
          </w:tcPr>
          <w:p w14:paraId="2A6EC522">
            <w:pPr>
              <w:spacing w:beforeLines="50"/>
              <w:ind w:left="-4" w:leftChars="-4" w:hanging="4" w:hangingChars="2"/>
              <w:rPr>
                <w:rFonts w:ascii="宋体" w:hAnsi="宋体" w:cs="宋体"/>
                <w:color w:val="auto"/>
                <w:sz w:val="24"/>
                <w:highlight w:val="none"/>
              </w:rPr>
            </w:pPr>
            <w:r>
              <w:rPr>
                <w:rFonts w:hint="eastAsia" w:ascii="宋体" w:hAnsi="宋体" w:cs="宋体"/>
                <w:color w:val="auto"/>
                <w:sz w:val="24"/>
                <w:highlight w:val="none"/>
              </w:rPr>
              <w:t>见竞争性磋商邀请函</w:t>
            </w:r>
          </w:p>
        </w:tc>
      </w:tr>
      <w:tr w14:paraId="236D2E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3622137B">
            <w:pPr>
              <w:numPr>
                <w:ilvl w:val="0"/>
                <w:numId w:val="3"/>
              </w:numPr>
              <w:spacing w:beforeLines="50"/>
              <w:jc w:val="center"/>
              <w:rPr>
                <w:rFonts w:ascii="宋体" w:hAnsi="宋体" w:cs="宋体"/>
                <w:color w:val="auto"/>
                <w:sz w:val="24"/>
                <w:highlight w:val="none"/>
              </w:rPr>
            </w:pPr>
          </w:p>
        </w:tc>
        <w:tc>
          <w:tcPr>
            <w:tcW w:w="1995" w:type="dxa"/>
            <w:vAlign w:val="center"/>
          </w:tcPr>
          <w:p w14:paraId="4380C6D5">
            <w:pPr>
              <w:spacing w:beforeLines="50"/>
              <w:jc w:val="center"/>
              <w:rPr>
                <w:rFonts w:ascii="宋体" w:hAnsi="宋体" w:cs="宋体"/>
                <w:color w:val="auto"/>
                <w:sz w:val="24"/>
                <w:highlight w:val="none"/>
              </w:rPr>
            </w:pPr>
            <w:r>
              <w:rPr>
                <w:rFonts w:hint="eastAsia" w:ascii="宋体" w:hAnsi="宋体" w:cs="宋体"/>
                <w:color w:val="auto"/>
                <w:sz w:val="24"/>
                <w:highlight w:val="none"/>
              </w:rPr>
              <w:t>报价费用</w:t>
            </w:r>
          </w:p>
        </w:tc>
        <w:tc>
          <w:tcPr>
            <w:tcW w:w="6615" w:type="dxa"/>
            <w:vAlign w:val="center"/>
          </w:tcPr>
          <w:p w14:paraId="15F71EFB">
            <w:pPr>
              <w:rPr>
                <w:rFonts w:ascii="宋体" w:hAnsi="宋体" w:cs="宋体"/>
                <w:color w:val="auto"/>
                <w:sz w:val="24"/>
                <w:highlight w:val="none"/>
              </w:rPr>
            </w:pPr>
            <w:r>
              <w:rPr>
                <w:rFonts w:hint="eastAsia" w:ascii="宋体" w:hAnsi="宋体" w:cs="宋体"/>
                <w:color w:val="auto"/>
                <w:sz w:val="24"/>
                <w:highlight w:val="none"/>
              </w:rPr>
              <w:t>无论报价和磋商的过程和结果如何，供应商自行承担所有与参加报价及磋商有关活动的全部费用。</w:t>
            </w:r>
          </w:p>
        </w:tc>
      </w:tr>
      <w:tr w14:paraId="210EF7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21EA28CF">
            <w:pPr>
              <w:numPr>
                <w:ilvl w:val="0"/>
                <w:numId w:val="3"/>
              </w:numPr>
              <w:spacing w:beforeLines="50"/>
              <w:rPr>
                <w:rFonts w:ascii="宋体" w:hAnsi="宋体" w:cs="宋体"/>
                <w:color w:val="auto"/>
                <w:sz w:val="24"/>
                <w:highlight w:val="none"/>
              </w:rPr>
            </w:pPr>
          </w:p>
        </w:tc>
        <w:tc>
          <w:tcPr>
            <w:tcW w:w="1995" w:type="dxa"/>
            <w:vAlign w:val="center"/>
          </w:tcPr>
          <w:p w14:paraId="087FAF58">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响应文件语言</w:t>
            </w:r>
          </w:p>
        </w:tc>
        <w:tc>
          <w:tcPr>
            <w:tcW w:w="6615" w:type="dxa"/>
            <w:vAlign w:val="center"/>
          </w:tcPr>
          <w:p w14:paraId="7D4701FA">
            <w:pPr>
              <w:snapToGrid w:val="0"/>
              <w:rPr>
                <w:rFonts w:ascii="宋体" w:hAnsi="宋体" w:cs="宋体"/>
                <w:color w:val="auto"/>
                <w:sz w:val="24"/>
                <w:highlight w:val="none"/>
              </w:rPr>
            </w:pPr>
            <w:r>
              <w:rPr>
                <w:rFonts w:hint="eastAsia" w:ascii="宋体" w:hAnsi="宋体" w:cs="宋体"/>
                <w:color w:val="auto"/>
                <w:sz w:val="24"/>
                <w:highlight w:val="none"/>
              </w:rPr>
              <w:t>中文</w:t>
            </w:r>
          </w:p>
        </w:tc>
      </w:tr>
      <w:tr w14:paraId="2AB26B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65B44E26">
            <w:pPr>
              <w:numPr>
                <w:ilvl w:val="0"/>
                <w:numId w:val="3"/>
              </w:numPr>
              <w:spacing w:beforeLines="50"/>
              <w:rPr>
                <w:rFonts w:ascii="宋体" w:hAnsi="宋体" w:cs="宋体"/>
                <w:color w:val="auto"/>
                <w:sz w:val="24"/>
                <w:highlight w:val="none"/>
              </w:rPr>
            </w:pPr>
          </w:p>
        </w:tc>
        <w:tc>
          <w:tcPr>
            <w:tcW w:w="1995" w:type="dxa"/>
            <w:vAlign w:val="center"/>
          </w:tcPr>
          <w:p w14:paraId="71BA7E04">
            <w:pPr>
              <w:spacing w:beforeLines="50"/>
              <w:jc w:val="center"/>
              <w:rPr>
                <w:rFonts w:ascii="宋体" w:hAnsi="宋体" w:cs="宋体"/>
                <w:color w:val="auto"/>
                <w:sz w:val="24"/>
                <w:highlight w:val="none"/>
              </w:rPr>
            </w:pPr>
            <w:r>
              <w:rPr>
                <w:rFonts w:hint="eastAsia" w:ascii="宋体" w:hAnsi="宋体" w:cs="宋体"/>
                <w:color w:val="auto"/>
                <w:sz w:val="24"/>
                <w:highlight w:val="none"/>
              </w:rPr>
              <w:t>报价货币</w:t>
            </w:r>
          </w:p>
        </w:tc>
        <w:tc>
          <w:tcPr>
            <w:tcW w:w="6615" w:type="dxa"/>
            <w:vAlign w:val="center"/>
          </w:tcPr>
          <w:p w14:paraId="48D4AC93">
            <w:pPr>
              <w:rPr>
                <w:rFonts w:ascii="宋体" w:hAnsi="宋体" w:cs="宋体"/>
                <w:color w:val="auto"/>
                <w:sz w:val="24"/>
                <w:highlight w:val="none"/>
              </w:rPr>
            </w:pPr>
            <w:r>
              <w:rPr>
                <w:rFonts w:hint="eastAsia" w:ascii="宋体" w:hAnsi="宋体" w:cs="宋体"/>
                <w:color w:val="auto"/>
                <w:sz w:val="24"/>
                <w:highlight w:val="none"/>
              </w:rPr>
              <w:t>人民币</w:t>
            </w:r>
          </w:p>
        </w:tc>
      </w:tr>
      <w:tr w14:paraId="33F4CD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0A883F4F">
            <w:pPr>
              <w:numPr>
                <w:ilvl w:val="0"/>
                <w:numId w:val="3"/>
              </w:numPr>
              <w:spacing w:beforeLines="50"/>
              <w:jc w:val="center"/>
              <w:rPr>
                <w:rFonts w:ascii="宋体" w:hAnsi="宋体" w:cs="宋体"/>
                <w:color w:val="auto"/>
                <w:sz w:val="24"/>
                <w:highlight w:val="none"/>
              </w:rPr>
            </w:pPr>
          </w:p>
        </w:tc>
        <w:tc>
          <w:tcPr>
            <w:tcW w:w="1995" w:type="dxa"/>
            <w:vAlign w:val="center"/>
          </w:tcPr>
          <w:p w14:paraId="3E26AD59">
            <w:pPr>
              <w:spacing w:beforeLines="50"/>
              <w:jc w:val="center"/>
              <w:rPr>
                <w:rFonts w:ascii="宋体" w:hAnsi="宋体" w:cs="宋体"/>
                <w:color w:val="auto"/>
                <w:sz w:val="24"/>
                <w:highlight w:val="none"/>
              </w:rPr>
            </w:pPr>
            <w:r>
              <w:rPr>
                <w:rFonts w:hint="eastAsia" w:ascii="宋体" w:hAnsi="宋体" w:cs="宋体"/>
                <w:color w:val="auto"/>
                <w:sz w:val="24"/>
                <w:highlight w:val="none"/>
              </w:rPr>
              <w:t>报价范围及说明</w:t>
            </w:r>
          </w:p>
        </w:tc>
        <w:tc>
          <w:tcPr>
            <w:tcW w:w="6615" w:type="dxa"/>
            <w:vAlign w:val="center"/>
          </w:tcPr>
          <w:p w14:paraId="28259F97">
            <w:pPr>
              <w:rPr>
                <w:rFonts w:ascii="宋体" w:hAnsi="宋体" w:cs="宋体"/>
                <w:color w:val="auto"/>
                <w:sz w:val="24"/>
                <w:highlight w:val="none"/>
              </w:rPr>
            </w:pPr>
            <w:r>
              <w:rPr>
                <w:rFonts w:hint="eastAsia" w:ascii="宋体" w:hAnsi="宋体" w:cs="宋体"/>
                <w:color w:val="auto"/>
                <w:sz w:val="24"/>
                <w:highlight w:val="none"/>
              </w:rPr>
              <w:t>报价包括本项目所招标的服务、保险、税费、验收等（采购项目技术规格、参数及要求）</w:t>
            </w:r>
          </w:p>
        </w:tc>
      </w:tr>
      <w:tr w14:paraId="78D1C9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64DE233D">
            <w:pPr>
              <w:numPr>
                <w:ilvl w:val="0"/>
                <w:numId w:val="3"/>
              </w:numPr>
              <w:spacing w:beforeLines="50"/>
              <w:jc w:val="center"/>
              <w:rPr>
                <w:rFonts w:ascii="宋体" w:hAnsi="宋体" w:cs="宋体"/>
                <w:color w:val="auto"/>
                <w:sz w:val="24"/>
                <w:highlight w:val="none"/>
              </w:rPr>
            </w:pPr>
          </w:p>
        </w:tc>
        <w:tc>
          <w:tcPr>
            <w:tcW w:w="1995" w:type="dxa"/>
            <w:vAlign w:val="center"/>
          </w:tcPr>
          <w:p w14:paraId="375CE572">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响应文件有效期</w:t>
            </w:r>
          </w:p>
        </w:tc>
        <w:tc>
          <w:tcPr>
            <w:tcW w:w="6615" w:type="dxa"/>
            <w:vAlign w:val="center"/>
          </w:tcPr>
          <w:p w14:paraId="49E565AE">
            <w:pPr>
              <w:rPr>
                <w:rFonts w:ascii="宋体" w:hAnsi="宋体" w:cs="宋体"/>
                <w:color w:val="auto"/>
                <w:sz w:val="24"/>
                <w:highlight w:val="none"/>
              </w:rPr>
            </w:pPr>
            <w:r>
              <w:rPr>
                <w:rFonts w:hint="eastAsia" w:ascii="宋体" w:hAnsi="宋体" w:cs="宋体"/>
                <w:color w:val="auto"/>
                <w:sz w:val="24"/>
                <w:highlight w:val="none"/>
              </w:rPr>
              <w:t>响应文件递交截止期后60日内有效</w:t>
            </w:r>
          </w:p>
        </w:tc>
      </w:tr>
      <w:tr w14:paraId="7F87D5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16B8549C">
            <w:pPr>
              <w:numPr>
                <w:ilvl w:val="0"/>
                <w:numId w:val="3"/>
              </w:numPr>
              <w:spacing w:beforeLines="50"/>
              <w:jc w:val="center"/>
              <w:rPr>
                <w:rFonts w:ascii="宋体" w:hAnsi="宋体" w:cs="宋体"/>
                <w:color w:val="auto"/>
                <w:sz w:val="24"/>
                <w:highlight w:val="none"/>
              </w:rPr>
            </w:pPr>
          </w:p>
        </w:tc>
        <w:tc>
          <w:tcPr>
            <w:tcW w:w="1995" w:type="dxa"/>
            <w:vAlign w:val="center"/>
          </w:tcPr>
          <w:p w14:paraId="1648B896">
            <w:pPr>
              <w:tabs>
                <w:tab w:val="left" w:pos="8640"/>
              </w:tabs>
              <w:spacing w:beforeLines="50"/>
              <w:ind w:left="-2" w:leftChars="-1"/>
              <w:jc w:val="center"/>
              <w:rPr>
                <w:rFonts w:ascii="宋体" w:hAnsi="宋体" w:cs="宋体"/>
                <w:color w:val="auto"/>
                <w:sz w:val="24"/>
                <w:highlight w:val="none"/>
              </w:rPr>
            </w:pPr>
            <w:r>
              <w:rPr>
                <w:rFonts w:hint="eastAsia" w:ascii="宋体" w:hAnsi="宋体" w:cs="宋体"/>
                <w:color w:val="auto"/>
                <w:sz w:val="24"/>
                <w:highlight w:val="none"/>
              </w:rPr>
              <w:t>响应文件的组成</w:t>
            </w:r>
          </w:p>
        </w:tc>
        <w:tc>
          <w:tcPr>
            <w:tcW w:w="6615" w:type="dxa"/>
            <w:vAlign w:val="center"/>
          </w:tcPr>
          <w:p w14:paraId="0CA6B1F1">
            <w:pPr>
              <w:rPr>
                <w:rFonts w:ascii="宋体" w:hAnsi="宋体" w:cs="宋体"/>
                <w:color w:val="auto"/>
                <w:sz w:val="24"/>
                <w:highlight w:val="none"/>
              </w:rPr>
            </w:pPr>
            <w:r>
              <w:rPr>
                <w:rFonts w:hint="eastAsia" w:ascii="宋体" w:hAnsi="宋体" w:cs="宋体"/>
                <w:color w:val="auto"/>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1DECFB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2E85AC18">
            <w:pPr>
              <w:numPr>
                <w:ilvl w:val="0"/>
                <w:numId w:val="3"/>
              </w:numPr>
              <w:spacing w:beforeLines="50"/>
              <w:jc w:val="center"/>
              <w:rPr>
                <w:rFonts w:ascii="宋体" w:hAnsi="宋体" w:cs="宋体"/>
                <w:color w:val="auto"/>
                <w:sz w:val="24"/>
                <w:highlight w:val="none"/>
              </w:rPr>
            </w:pPr>
          </w:p>
        </w:tc>
        <w:tc>
          <w:tcPr>
            <w:tcW w:w="1995" w:type="dxa"/>
            <w:vAlign w:val="center"/>
          </w:tcPr>
          <w:p w14:paraId="48FC1E3B">
            <w:pPr>
              <w:tabs>
                <w:tab w:val="left" w:pos="8640"/>
              </w:tabs>
              <w:spacing w:beforeLines="50"/>
              <w:ind w:left="-2" w:leftChars="-1"/>
              <w:jc w:val="center"/>
              <w:rPr>
                <w:rFonts w:ascii="宋体" w:hAnsi="宋体" w:cs="宋体"/>
                <w:color w:val="auto"/>
                <w:sz w:val="24"/>
                <w:highlight w:val="none"/>
              </w:rPr>
            </w:pPr>
            <w:r>
              <w:rPr>
                <w:rFonts w:hint="eastAsia" w:ascii="宋体" w:hAnsi="宋体" w:cs="宋体"/>
                <w:color w:val="auto"/>
                <w:sz w:val="24"/>
                <w:highlight w:val="none"/>
              </w:rPr>
              <w:t>响应文件封面要求</w:t>
            </w:r>
          </w:p>
        </w:tc>
        <w:tc>
          <w:tcPr>
            <w:tcW w:w="6615" w:type="dxa"/>
            <w:vAlign w:val="center"/>
          </w:tcPr>
          <w:p w14:paraId="23350E2E">
            <w:pPr>
              <w:tabs>
                <w:tab w:val="left" w:pos="8640"/>
              </w:tabs>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无</w:t>
            </w:r>
          </w:p>
        </w:tc>
      </w:tr>
      <w:tr w14:paraId="0FB9EC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38421E7B">
            <w:pPr>
              <w:numPr>
                <w:ilvl w:val="0"/>
                <w:numId w:val="3"/>
              </w:numPr>
              <w:spacing w:beforeLines="50"/>
              <w:jc w:val="center"/>
              <w:rPr>
                <w:rFonts w:ascii="宋体" w:hAnsi="宋体" w:cs="宋体"/>
                <w:color w:val="auto"/>
                <w:sz w:val="24"/>
                <w:highlight w:val="none"/>
              </w:rPr>
            </w:pPr>
          </w:p>
        </w:tc>
        <w:tc>
          <w:tcPr>
            <w:tcW w:w="1995" w:type="dxa"/>
            <w:vAlign w:val="center"/>
          </w:tcPr>
          <w:p w14:paraId="50CDD518">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响应文件份数要求</w:t>
            </w:r>
          </w:p>
        </w:tc>
        <w:tc>
          <w:tcPr>
            <w:tcW w:w="6615" w:type="dxa"/>
            <w:vAlign w:val="center"/>
          </w:tcPr>
          <w:p w14:paraId="5FE20BB7">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加密的电子投标文件须在投标截止时间前成功上传</w:t>
            </w:r>
          </w:p>
        </w:tc>
      </w:tr>
      <w:tr w14:paraId="52C834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56F658B3">
            <w:pPr>
              <w:numPr>
                <w:ilvl w:val="0"/>
                <w:numId w:val="3"/>
              </w:numPr>
              <w:spacing w:beforeLines="50"/>
              <w:jc w:val="center"/>
              <w:rPr>
                <w:rFonts w:ascii="宋体" w:hAnsi="宋体" w:cs="宋体"/>
                <w:color w:val="auto"/>
                <w:sz w:val="24"/>
                <w:highlight w:val="none"/>
              </w:rPr>
            </w:pPr>
          </w:p>
        </w:tc>
        <w:tc>
          <w:tcPr>
            <w:tcW w:w="1995" w:type="dxa"/>
            <w:vAlign w:val="center"/>
          </w:tcPr>
          <w:p w14:paraId="332FE323">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响应文件装订和密封要求</w:t>
            </w:r>
          </w:p>
        </w:tc>
        <w:tc>
          <w:tcPr>
            <w:tcW w:w="6615" w:type="dxa"/>
            <w:vAlign w:val="center"/>
          </w:tcPr>
          <w:p w14:paraId="531EB429">
            <w:pPr>
              <w:rPr>
                <w:rFonts w:ascii="宋体" w:hAnsi="宋体" w:cs="宋体"/>
                <w:color w:val="auto"/>
                <w:sz w:val="24"/>
                <w:highlight w:val="none"/>
              </w:rPr>
            </w:pPr>
            <w:r>
              <w:rPr>
                <w:rFonts w:hint="eastAsia" w:ascii="宋体" w:hAnsi="宋体" w:cs="宋体"/>
                <w:color w:val="auto"/>
                <w:sz w:val="24"/>
                <w:highlight w:val="none"/>
              </w:rPr>
              <w:t>无</w:t>
            </w:r>
          </w:p>
        </w:tc>
      </w:tr>
      <w:tr w14:paraId="60CCF9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7085D019">
            <w:pPr>
              <w:numPr>
                <w:ilvl w:val="0"/>
                <w:numId w:val="3"/>
              </w:numPr>
              <w:spacing w:beforeLines="50"/>
              <w:jc w:val="center"/>
              <w:rPr>
                <w:rFonts w:ascii="宋体" w:hAnsi="宋体" w:cs="宋体"/>
                <w:color w:val="auto"/>
                <w:sz w:val="24"/>
                <w:highlight w:val="none"/>
              </w:rPr>
            </w:pPr>
          </w:p>
        </w:tc>
        <w:tc>
          <w:tcPr>
            <w:tcW w:w="1995" w:type="dxa"/>
            <w:vAlign w:val="center"/>
          </w:tcPr>
          <w:p w14:paraId="7C5FF0D8">
            <w:pPr>
              <w:spacing w:beforeLines="50"/>
              <w:jc w:val="center"/>
              <w:rPr>
                <w:rFonts w:ascii="宋体" w:hAnsi="宋体" w:cs="宋体"/>
                <w:color w:val="auto"/>
                <w:sz w:val="24"/>
                <w:highlight w:val="none"/>
              </w:rPr>
            </w:pPr>
            <w:r>
              <w:rPr>
                <w:rFonts w:hint="eastAsia" w:ascii="宋体" w:hAnsi="宋体" w:cs="宋体"/>
                <w:color w:val="auto"/>
                <w:sz w:val="24"/>
                <w:highlight w:val="none"/>
              </w:rPr>
              <w:t>竞争性磋商文件的澄清</w:t>
            </w:r>
          </w:p>
        </w:tc>
        <w:tc>
          <w:tcPr>
            <w:tcW w:w="6615" w:type="dxa"/>
            <w:vAlign w:val="center"/>
          </w:tcPr>
          <w:p w14:paraId="69F4D99A">
            <w:pPr>
              <w:rPr>
                <w:rFonts w:ascii="宋体" w:hAnsi="宋体" w:cs="宋体"/>
                <w:color w:val="auto"/>
                <w:sz w:val="24"/>
                <w:highlight w:val="none"/>
              </w:rPr>
            </w:pPr>
            <w:r>
              <w:rPr>
                <w:rFonts w:hint="eastAsia" w:ascii="宋体" w:hAnsi="宋体" w:cs="宋体"/>
                <w:color w:val="auto"/>
                <w:sz w:val="24"/>
                <w:highlight w:val="none"/>
              </w:rPr>
              <w:t>对竞争性磋商文件进行</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澄清，以</w:t>
            </w:r>
            <w:r>
              <w:rPr>
                <w:rFonts w:hint="eastAsia" w:ascii="宋体" w:hAnsi="宋体" w:cs="宋体"/>
                <w:color w:val="auto"/>
                <w:sz w:val="24"/>
                <w:highlight w:val="none"/>
                <w:lang w:val="en-US" w:eastAsia="zh-CN"/>
              </w:rPr>
              <w:t>网上公告的方式</w:t>
            </w:r>
            <w:r>
              <w:rPr>
                <w:rFonts w:hint="eastAsia" w:ascii="宋体" w:hAnsi="宋体" w:cs="宋体"/>
                <w:color w:val="auto"/>
                <w:sz w:val="24"/>
                <w:highlight w:val="none"/>
              </w:rPr>
              <w:t>通知</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。澄清或修改的内容可能影响响应文件编制的，采购人、采购代理机构应当在提交响应文件截止时间至少5日前。</w:t>
            </w:r>
          </w:p>
        </w:tc>
      </w:tr>
      <w:tr w14:paraId="1431B8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59AE28A8">
            <w:pPr>
              <w:numPr>
                <w:ilvl w:val="0"/>
                <w:numId w:val="3"/>
              </w:numPr>
              <w:spacing w:beforeLines="50"/>
              <w:jc w:val="center"/>
              <w:rPr>
                <w:rFonts w:ascii="宋体" w:hAnsi="宋体" w:cs="宋体"/>
                <w:color w:val="auto"/>
                <w:sz w:val="24"/>
                <w:highlight w:val="none"/>
              </w:rPr>
            </w:pPr>
          </w:p>
        </w:tc>
        <w:tc>
          <w:tcPr>
            <w:tcW w:w="1995" w:type="dxa"/>
            <w:vAlign w:val="center"/>
          </w:tcPr>
          <w:p w14:paraId="61184411">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响应文件递交截止时间</w:t>
            </w:r>
          </w:p>
        </w:tc>
        <w:tc>
          <w:tcPr>
            <w:tcW w:w="6615" w:type="dxa"/>
            <w:vAlign w:val="center"/>
          </w:tcPr>
          <w:p w14:paraId="746CA254">
            <w:pPr>
              <w:ind w:firstLine="240" w:firstLineChars="100"/>
              <w:rPr>
                <w:rFonts w:ascii="宋体" w:hAnsi="宋体" w:cs="宋体"/>
                <w:color w:val="auto"/>
                <w:sz w:val="24"/>
                <w:highlight w:val="none"/>
              </w:rPr>
            </w:pPr>
            <w:r>
              <w:rPr>
                <w:rFonts w:hint="eastAsia" w:ascii="宋体" w:hAnsi="宋体" w:cs="宋体"/>
                <w:color w:val="auto"/>
                <w:sz w:val="24"/>
                <w:highlight w:val="none"/>
              </w:rPr>
              <w:t>年   月   日上午   （见磋商公告）</w:t>
            </w:r>
          </w:p>
        </w:tc>
      </w:tr>
      <w:tr w14:paraId="2651EF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652058C3">
            <w:pPr>
              <w:numPr>
                <w:ilvl w:val="0"/>
                <w:numId w:val="3"/>
              </w:numPr>
              <w:spacing w:beforeLines="50"/>
              <w:jc w:val="center"/>
              <w:rPr>
                <w:rFonts w:ascii="宋体" w:hAnsi="宋体" w:cs="宋体"/>
                <w:color w:val="auto"/>
                <w:sz w:val="24"/>
                <w:highlight w:val="none"/>
              </w:rPr>
            </w:pPr>
          </w:p>
        </w:tc>
        <w:tc>
          <w:tcPr>
            <w:tcW w:w="1995" w:type="dxa"/>
            <w:vAlign w:val="center"/>
          </w:tcPr>
          <w:p w14:paraId="762B8BA2">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响应文件递交地点</w:t>
            </w:r>
          </w:p>
        </w:tc>
        <w:tc>
          <w:tcPr>
            <w:tcW w:w="6615" w:type="dxa"/>
            <w:vAlign w:val="center"/>
          </w:tcPr>
          <w:p w14:paraId="64B69601">
            <w:pPr>
              <w:rPr>
                <w:rFonts w:hint="eastAsia" w:ascii="宋体" w:hAnsi="宋体" w:eastAsia="宋体"/>
                <w:color w:val="auto"/>
                <w:sz w:val="24"/>
                <w:highlight w:val="none"/>
                <w:lang w:val="en-US" w:eastAsia="zh-CN"/>
              </w:rPr>
            </w:pPr>
            <w:r>
              <w:rPr>
                <w:rFonts w:hint="eastAsia" w:ascii="宋体" w:hAnsi="宋体"/>
                <w:color w:val="auto"/>
                <w:sz w:val="24"/>
                <w:highlight w:val="none"/>
              </w:rPr>
              <w:t>周口市公共资源交易中心</w:t>
            </w:r>
            <w:r>
              <w:rPr>
                <w:rFonts w:hint="eastAsia" w:ascii="宋体" w:hAnsi="宋体"/>
                <w:color w:val="auto"/>
                <w:sz w:val="24"/>
                <w:highlight w:val="none"/>
                <w:lang w:val="en-US" w:eastAsia="zh-CN"/>
              </w:rPr>
              <w:t>网</w:t>
            </w:r>
          </w:p>
          <w:p w14:paraId="34B6DD4E">
            <w:pPr>
              <w:rPr>
                <w:rFonts w:hint="eastAsia" w:ascii="宋体" w:hAnsi="宋体" w:cs="宋体" w:eastAsiaTheme="minorEastAsia"/>
                <w:color w:val="auto"/>
                <w:sz w:val="24"/>
                <w:szCs w:val="24"/>
                <w:highlight w:val="none"/>
                <w:lang w:val="en-US" w:eastAsia="zh-CN"/>
              </w:rPr>
            </w:pPr>
            <w:r>
              <w:rPr>
                <w:rFonts w:hint="eastAsia" w:ascii="宋体" w:hAnsi="宋体"/>
                <w:color w:val="auto"/>
                <w:sz w:val="24"/>
                <w:highlight w:val="none"/>
              </w:rPr>
              <w:t>网址：周口市公共资源电子交易服务平台会员系统（网址</w:t>
            </w:r>
            <w:r>
              <w:rPr>
                <w:rFonts w:hint="eastAsia" w:asciiTheme="minorEastAsia" w:hAnsiTheme="minorEastAsia" w:eastAsiaTheme="minorEastAsia"/>
                <w:color w:val="auto"/>
                <w:highlight w:val="none"/>
              </w:rPr>
              <w:t>http://jyzx.zhoukou.gov.cn</w:t>
            </w:r>
            <w:r>
              <w:rPr>
                <w:rFonts w:hint="eastAsia" w:asciiTheme="minorEastAsia" w:hAnsiTheme="minorEastAsia" w:eastAsiaTheme="minorEastAsia"/>
                <w:color w:val="auto"/>
                <w:highlight w:val="none"/>
                <w:lang w:eastAsia="zh-CN"/>
              </w:rPr>
              <w:t>）</w:t>
            </w:r>
          </w:p>
          <w:p w14:paraId="6E0FE976">
            <w:pPr>
              <w:spacing w:line="560" w:lineRule="exact"/>
              <w:rPr>
                <w:rFonts w:ascii="宋体" w:hAnsi="宋体" w:cs="宋体"/>
                <w:color w:val="auto"/>
                <w:sz w:val="24"/>
                <w:highlight w:val="none"/>
              </w:rPr>
            </w:pPr>
            <w:r>
              <w:rPr>
                <w:rFonts w:hint="eastAsia" w:ascii="宋体" w:hAnsi="宋体" w:eastAsia="宋体" w:cs="宋体"/>
                <w:color w:val="auto"/>
                <w:sz w:val="24"/>
                <w:szCs w:val="24"/>
                <w:highlight w:val="none"/>
              </w:rPr>
              <w:t>（本项目实行网上远程开标无须到现场提交响应文件）</w:t>
            </w:r>
          </w:p>
        </w:tc>
      </w:tr>
      <w:tr w14:paraId="454744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744A0D94">
            <w:pPr>
              <w:numPr>
                <w:ilvl w:val="0"/>
                <w:numId w:val="3"/>
              </w:numPr>
              <w:spacing w:beforeLines="50"/>
              <w:jc w:val="center"/>
              <w:rPr>
                <w:rFonts w:ascii="宋体" w:hAnsi="宋体" w:cs="宋体"/>
                <w:color w:val="auto"/>
                <w:sz w:val="24"/>
                <w:highlight w:val="none"/>
              </w:rPr>
            </w:pPr>
          </w:p>
        </w:tc>
        <w:tc>
          <w:tcPr>
            <w:tcW w:w="1995" w:type="dxa"/>
            <w:vAlign w:val="center"/>
          </w:tcPr>
          <w:p w14:paraId="500BE09E">
            <w:pPr>
              <w:spacing w:beforeLines="50"/>
              <w:jc w:val="center"/>
              <w:rPr>
                <w:rFonts w:ascii="宋体" w:hAnsi="宋体" w:cs="宋体"/>
                <w:color w:val="auto"/>
                <w:sz w:val="24"/>
                <w:highlight w:val="none"/>
              </w:rPr>
            </w:pPr>
            <w:r>
              <w:rPr>
                <w:rFonts w:hint="eastAsia" w:ascii="宋体" w:hAnsi="宋体" w:cs="宋体"/>
                <w:color w:val="auto"/>
                <w:sz w:val="24"/>
                <w:highlight w:val="none"/>
              </w:rPr>
              <w:t>磋商时间</w:t>
            </w:r>
          </w:p>
        </w:tc>
        <w:tc>
          <w:tcPr>
            <w:tcW w:w="6615" w:type="dxa"/>
            <w:vAlign w:val="center"/>
          </w:tcPr>
          <w:p w14:paraId="55ED4C63">
            <w:pPr>
              <w:tabs>
                <w:tab w:val="left" w:pos="8640"/>
              </w:tabs>
              <w:ind w:left="-2" w:leftChars="-1" w:firstLine="240" w:firstLineChars="100"/>
              <w:rPr>
                <w:rFonts w:ascii="宋体" w:hAnsi="宋体" w:cs="宋体"/>
                <w:color w:val="auto"/>
                <w:sz w:val="24"/>
                <w:highlight w:val="none"/>
              </w:rPr>
            </w:pPr>
            <w:r>
              <w:rPr>
                <w:rFonts w:hint="eastAsia" w:ascii="宋体" w:hAnsi="宋体" w:cs="宋体"/>
                <w:color w:val="auto"/>
                <w:sz w:val="24"/>
                <w:highlight w:val="none"/>
              </w:rPr>
              <w:t>年   月  日上午    见磋商公告</w:t>
            </w:r>
          </w:p>
        </w:tc>
      </w:tr>
      <w:tr w14:paraId="3C8AC2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67C34015">
            <w:pPr>
              <w:numPr>
                <w:ilvl w:val="0"/>
                <w:numId w:val="3"/>
              </w:numPr>
              <w:spacing w:beforeLines="50"/>
              <w:jc w:val="center"/>
              <w:rPr>
                <w:rFonts w:ascii="宋体" w:hAnsi="宋体" w:cs="宋体"/>
                <w:color w:val="auto"/>
                <w:sz w:val="24"/>
                <w:highlight w:val="none"/>
              </w:rPr>
            </w:pPr>
          </w:p>
        </w:tc>
        <w:tc>
          <w:tcPr>
            <w:tcW w:w="1995" w:type="dxa"/>
            <w:vAlign w:val="center"/>
          </w:tcPr>
          <w:p w14:paraId="6529BC00">
            <w:pPr>
              <w:spacing w:beforeLines="50"/>
              <w:jc w:val="center"/>
              <w:rPr>
                <w:rFonts w:ascii="宋体" w:hAnsi="宋体" w:cs="宋体"/>
                <w:color w:val="auto"/>
                <w:sz w:val="24"/>
                <w:highlight w:val="none"/>
              </w:rPr>
            </w:pPr>
            <w:r>
              <w:rPr>
                <w:rFonts w:hint="eastAsia" w:ascii="宋体" w:hAnsi="宋体" w:cs="宋体"/>
                <w:color w:val="auto"/>
                <w:sz w:val="24"/>
                <w:highlight w:val="none"/>
              </w:rPr>
              <w:t>磋商程序和内容</w:t>
            </w:r>
          </w:p>
        </w:tc>
        <w:tc>
          <w:tcPr>
            <w:tcW w:w="6615" w:type="dxa"/>
            <w:vAlign w:val="center"/>
          </w:tcPr>
          <w:p w14:paraId="7E05198A">
            <w:pPr>
              <w:tabs>
                <w:tab w:val="left" w:pos="8640"/>
              </w:tabs>
              <w:rPr>
                <w:rFonts w:ascii="宋体" w:hAnsi="宋体" w:cs="宋体"/>
                <w:color w:val="auto"/>
                <w:sz w:val="24"/>
                <w:highlight w:val="none"/>
              </w:rPr>
            </w:pPr>
            <w:r>
              <w:rPr>
                <w:rFonts w:hint="eastAsia" w:ascii="宋体" w:hAnsi="宋体" w:cs="宋体"/>
                <w:color w:val="auto"/>
                <w:sz w:val="24"/>
                <w:highlight w:val="none"/>
              </w:rPr>
              <w:t>详见磋商文件第二章</w:t>
            </w:r>
          </w:p>
        </w:tc>
      </w:tr>
      <w:tr w14:paraId="23CC75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5F9BC77F">
            <w:pPr>
              <w:numPr>
                <w:ilvl w:val="0"/>
                <w:numId w:val="3"/>
              </w:numPr>
              <w:spacing w:beforeLines="50"/>
              <w:jc w:val="center"/>
              <w:rPr>
                <w:rFonts w:ascii="宋体" w:hAnsi="宋体" w:cs="宋体"/>
                <w:color w:val="auto"/>
                <w:sz w:val="24"/>
                <w:highlight w:val="none"/>
              </w:rPr>
            </w:pPr>
          </w:p>
        </w:tc>
        <w:tc>
          <w:tcPr>
            <w:tcW w:w="1995" w:type="dxa"/>
            <w:vAlign w:val="center"/>
          </w:tcPr>
          <w:p w14:paraId="441D6EAE">
            <w:pPr>
              <w:spacing w:beforeLines="50"/>
              <w:jc w:val="center"/>
              <w:rPr>
                <w:rFonts w:ascii="宋体" w:hAnsi="宋体" w:cs="宋体"/>
                <w:color w:val="auto"/>
                <w:sz w:val="24"/>
                <w:highlight w:val="none"/>
              </w:rPr>
            </w:pPr>
            <w:r>
              <w:rPr>
                <w:rFonts w:hint="eastAsia" w:ascii="宋体" w:hAnsi="宋体" w:cs="宋体"/>
                <w:color w:val="auto"/>
                <w:sz w:val="24"/>
                <w:highlight w:val="none"/>
              </w:rPr>
              <w:t>授予合同</w:t>
            </w:r>
          </w:p>
        </w:tc>
        <w:tc>
          <w:tcPr>
            <w:tcW w:w="6615" w:type="dxa"/>
            <w:vAlign w:val="center"/>
          </w:tcPr>
          <w:p w14:paraId="06A975E0">
            <w:pPr>
              <w:tabs>
                <w:tab w:val="left" w:pos="8640"/>
              </w:tabs>
              <w:jc w:val="left"/>
              <w:rPr>
                <w:rFonts w:ascii="宋体" w:hAnsi="宋体" w:cs="宋体"/>
                <w:color w:val="auto"/>
                <w:sz w:val="24"/>
                <w:highlight w:val="none"/>
              </w:rPr>
            </w:pPr>
            <w:r>
              <w:rPr>
                <w:rFonts w:hint="eastAsia" w:ascii="宋体" w:hAnsi="宋体" w:cs="宋体"/>
                <w:color w:val="auto"/>
                <w:sz w:val="24"/>
                <w:highlight w:val="none"/>
              </w:rPr>
              <w:t>采购人根据磋商小组的推荐意见，确定成交供应商。采购代理机构向成交供应商发出成交通知书。</w:t>
            </w:r>
          </w:p>
        </w:tc>
      </w:tr>
      <w:tr w14:paraId="78DB5E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43B39E12">
            <w:pPr>
              <w:numPr>
                <w:ilvl w:val="0"/>
                <w:numId w:val="3"/>
              </w:numPr>
              <w:spacing w:beforeLines="50"/>
              <w:jc w:val="center"/>
              <w:rPr>
                <w:rFonts w:ascii="宋体" w:hAnsi="宋体" w:cs="宋体"/>
                <w:color w:val="auto"/>
                <w:sz w:val="24"/>
                <w:highlight w:val="none"/>
              </w:rPr>
            </w:pPr>
          </w:p>
        </w:tc>
        <w:tc>
          <w:tcPr>
            <w:tcW w:w="1995" w:type="dxa"/>
            <w:vAlign w:val="center"/>
          </w:tcPr>
          <w:p w14:paraId="142A052B">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签订合同</w:t>
            </w:r>
          </w:p>
        </w:tc>
        <w:tc>
          <w:tcPr>
            <w:tcW w:w="6615" w:type="dxa"/>
            <w:vAlign w:val="center"/>
          </w:tcPr>
          <w:p w14:paraId="17BD3167">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1）接到成交通知书30天内，成交供应商应与采购人签订采购合同。</w:t>
            </w:r>
          </w:p>
          <w:p w14:paraId="523658C9">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2）本磋商文件、响应文件及磋商、评审过程中有关澄清、承诺文件的内容，将作为签订合同的主要内容。</w:t>
            </w:r>
          </w:p>
        </w:tc>
      </w:tr>
      <w:tr w14:paraId="514278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5AF23991">
            <w:pPr>
              <w:numPr>
                <w:ilvl w:val="0"/>
                <w:numId w:val="3"/>
              </w:numPr>
              <w:spacing w:beforeLines="50"/>
              <w:jc w:val="center"/>
              <w:rPr>
                <w:rFonts w:ascii="宋体" w:hAnsi="宋体" w:cs="宋体"/>
                <w:color w:val="auto"/>
                <w:sz w:val="24"/>
                <w:highlight w:val="none"/>
              </w:rPr>
            </w:pPr>
          </w:p>
        </w:tc>
        <w:tc>
          <w:tcPr>
            <w:tcW w:w="1995" w:type="dxa"/>
            <w:vAlign w:val="center"/>
          </w:tcPr>
          <w:p w14:paraId="7FF741D5">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6615" w:type="dxa"/>
            <w:vAlign w:val="center"/>
          </w:tcPr>
          <w:p w14:paraId="22836F45">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本项目不需要交纳投标保证金</w:t>
            </w:r>
          </w:p>
        </w:tc>
      </w:tr>
      <w:tr w14:paraId="233726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C99B1B7">
            <w:pPr>
              <w:numPr>
                <w:ilvl w:val="0"/>
                <w:numId w:val="3"/>
              </w:numPr>
              <w:spacing w:beforeLines="50"/>
              <w:jc w:val="center"/>
              <w:rPr>
                <w:rFonts w:ascii="宋体" w:hAnsi="宋体" w:cs="宋体"/>
                <w:color w:val="auto"/>
                <w:sz w:val="24"/>
                <w:highlight w:val="none"/>
              </w:rPr>
            </w:pPr>
          </w:p>
        </w:tc>
        <w:tc>
          <w:tcPr>
            <w:tcW w:w="1995" w:type="dxa"/>
            <w:vAlign w:val="center"/>
          </w:tcPr>
          <w:p w14:paraId="6183FEA3">
            <w:pPr>
              <w:jc w:val="center"/>
              <w:rPr>
                <w:rFonts w:ascii="宋体" w:hAnsi="宋体" w:cs="宋体"/>
                <w:color w:val="auto"/>
                <w:sz w:val="24"/>
                <w:highlight w:val="none"/>
              </w:rPr>
            </w:pPr>
            <w:r>
              <w:rPr>
                <w:rFonts w:hint="eastAsia" w:ascii="宋体" w:hAnsi="宋体" w:cs="宋体"/>
                <w:color w:val="auto"/>
                <w:sz w:val="24"/>
                <w:highlight w:val="none"/>
              </w:rPr>
              <w:t>服务期限</w:t>
            </w:r>
          </w:p>
        </w:tc>
        <w:tc>
          <w:tcPr>
            <w:tcW w:w="6615" w:type="dxa"/>
            <w:vAlign w:val="center"/>
          </w:tcPr>
          <w:p w14:paraId="6530AD78">
            <w:pPr>
              <w:jc w:val="left"/>
              <w:rPr>
                <w:rFonts w:ascii="宋体" w:hAnsi="宋体" w:cs="宋体"/>
                <w:color w:val="auto"/>
                <w:sz w:val="24"/>
                <w:highlight w:val="none"/>
              </w:rPr>
            </w:pPr>
            <w:r>
              <w:rPr>
                <w:rFonts w:hint="eastAsia" w:ascii="宋体" w:hAnsi="宋体" w:cs="宋体"/>
                <w:color w:val="auto"/>
                <w:sz w:val="24"/>
                <w:highlight w:val="none"/>
                <w:lang w:val="en-US" w:eastAsia="zh-CN"/>
              </w:rPr>
              <w:t>合同签订后30日历天完成</w:t>
            </w:r>
          </w:p>
        </w:tc>
      </w:tr>
      <w:tr w14:paraId="0084AC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5BBE449C">
            <w:pPr>
              <w:numPr>
                <w:ilvl w:val="0"/>
                <w:numId w:val="3"/>
              </w:numPr>
              <w:spacing w:beforeLines="50"/>
              <w:jc w:val="center"/>
              <w:rPr>
                <w:rFonts w:ascii="宋体" w:hAnsi="宋体" w:cs="宋体"/>
                <w:color w:val="auto"/>
                <w:sz w:val="24"/>
                <w:highlight w:val="none"/>
              </w:rPr>
            </w:pPr>
          </w:p>
        </w:tc>
        <w:tc>
          <w:tcPr>
            <w:tcW w:w="1995" w:type="dxa"/>
            <w:vAlign w:val="center"/>
          </w:tcPr>
          <w:p w14:paraId="708EDDB8">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付款方式（要求详细填写）</w:t>
            </w:r>
          </w:p>
        </w:tc>
        <w:tc>
          <w:tcPr>
            <w:tcW w:w="6615" w:type="dxa"/>
            <w:vAlign w:val="center"/>
          </w:tcPr>
          <w:p w14:paraId="5FEE0A3F">
            <w:pPr>
              <w:tabs>
                <w:tab w:val="left" w:pos="8640"/>
              </w:tabs>
              <w:jc w:val="left"/>
              <w:rPr>
                <w:rFonts w:ascii="宋体" w:hAnsi="宋体" w:cs="宋体"/>
                <w:color w:val="auto"/>
                <w:sz w:val="24"/>
                <w:highlight w:val="none"/>
              </w:rPr>
            </w:pPr>
            <w:r>
              <w:rPr>
                <w:rFonts w:hint="eastAsia" w:ascii="宋体" w:hAnsi="宋体" w:cs="宋体"/>
                <w:color w:val="auto"/>
                <w:sz w:val="24"/>
                <w:highlight w:val="none"/>
                <w:lang w:val="en-US" w:eastAsia="zh-CN"/>
              </w:rPr>
              <w:t>验收合格后付款100%</w:t>
            </w:r>
          </w:p>
        </w:tc>
      </w:tr>
      <w:tr w14:paraId="335EAA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397C40E5">
            <w:pPr>
              <w:numPr>
                <w:ilvl w:val="0"/>
                <w:numId w:val="3"/>
              </w:numPr>
              <w:spacing w:beforeLines="50"/>
              <w:jc w:val="center"/>
              <w:rPr>
                <w:rFonts w:ascii="宋体" w:hAnsi="宋体" w:cs="宋体"/>
                <w:color w:val="auto"/>
                <w:sz w:val="24"/>
                <w:highlight w:val="none"/>
              </w:rPr>
            </w:pPr>
          </w:p>
        </w:tc>
        <w:tc>
          <w:tcPr>
            <w:tcW w:w="1995" w:type="dxa"/>
            <w:vAlign w:val="center"/>
          </w:tcPr>
          <w:p w14:paraId="6E8D8081">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勘察现场</w:t>
            </w:r>
          </w:p>
        </w:tc>
        <w:tc>
          <w:tcPr>
            <w:tcW w:w="6615" w:type="dxa"/>
            <w:vAlign w:val="center"/>
          </w:tcPr>
          <w:p w14:paraId="378DB253">
            <w:pPr>
              <w:tabs>
                <w:tab w:val="left" w:pos="8640"/>
              </w:tabs>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不组织</w:t>
            </w:r>
          </w:p>
        </w:tc>
      </w:tr>
      <w:tr w14:paraId="555C4F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026D050B">
            <w:pPr>
              <w:numPr>
                <w:ilvl w:val="0"/>
                <w:numId w:val="3"/>
              </w:numPr>
              <w:spacing w:beforeLines="50"/>
              <w:jc w:val="center"/>
              <w:rPr>
                <w:rFonts w:ascii="宋体" w:hAnsi="宋体" w:cs="宋体"/>
                <w:color w:val="auto"/>
                <w:sz w:val="24"/>
                <w:highlight w:val="none"/>
              </w:rPr>
            </w:pPr>
          </w:p>
        </w:tc>
        <w:tc>
          <w:tcPr>
            <w:tcW w:w="1995" w:type="dxa"/>
            <w:vAlign w:val="center"/>
          </w:tcPr>
          <w:p w14:paraId="33B485F6">
            <w:pPr>
              <w:spacing w:beforeLines="50"/>
              <w:ind w:firstLine="14" w:firstLineChars="6"/>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报价</w:t>
            </w:r>
          </w:p>
        </w:tc>
        <w:tc>
          <w:tcPr>
            <w:tcW w:w="6615" w:type="dxa"/>
            <w:vAlign w:val="center"/>
          </w:tcPr>
          <w:p w14:paraId="059524EF">
            <w:pPr>
              <w:tabs>
                <w:tab w:val="left" w:pos="8640"/>
              </w:tabs>
              <w:jc w:val="left"/>
              <w:rPr>
                <w:rFonts w:hint="default" w:ascii="宋体" w:hAnsi="宋体" w:eastAsia="宋体" w:cs="宋体"/>
                <w:b/>
                <w:bCs/>
                <w:color w:val="auto"/>
                <w:sz w:val="24"/>
                <w:highlight w:val="none"/>
                <w:u w:val="single"/>
                <w:lang w:val="en-US" w:eastAsia="zh-CN"/>
              </w:rPr>
            </w:pPr>
            <w:r>
              <w:rPr>
                <w:rFonts w:hint="eastAsia" w:ascii="宋体" w:hAnsi="宋体" w:cs="宋体"/>
                <w:b/>
                <w:bCs/>
                <w:color w:val="auto"/>
                <w:sz w:val="24"/>
                <w:highlight w:val="none"/>
                <w:lang w:val="en-US" w:eastAsia="zh-CN"/>
              </w:rPr>
              <w:t>一次报价</w:t>
            </w:r>
          </w:p>
        </w:tc>
      </w:tr>
      <w:tr w14:paraId="6E95F8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24825106">
            <w:pPr>
              <w:numPr>
                <w:ilvl w:val="0"/>
                <w:numId w:val="3"/>
              </w:numPr>
              <w:spacing w:beforeLines="50"/>
              <w:jc w:val="center"/>
              <w:rPr>
                <w:rFonts w:ascii="宋体" w:hAnsi="宋体" w:cs="宋体"/>
                <w:color w:val="auto"/>
                <w:sz w:val="24"/>
                <w:highlight w:val="none"/>
              </w:rPr>
            </w:pPr>
          </w:p>
        </w:tc>
        <w:tc>
          <w:tcPr>
            <w:tcW w:w="1995" w:type="dxa"/>
            <w:vAlign w:val="center"/>
          </w:tcPr>
          <w:p w14:paraId="60FAEFB7">
            <w:pPr>
              <w:spacing w:beforeLines="50"/>
              <w:ind w:firstLine="14" w:firstLineChars="6"/>
              <w:jc w:val="center"/>
              <w:rPr>
                <w:rFonts w:hint="eastAsia" w:ascii="宋体" w:hAnsi="宋体" w:cs="宋体"/>
                <w:b/>
                <w:bCs/>
                <w:color w:val="auto"/>
                <w:sz w:val="24"/>
                <w:highlight w:val="none"/>
                <w:lang w:val="en-US" w:eastAsia="zh-CN"/>
              </w:rPr>
            </w:pPr>
            <w:r>
              <w:rPr>
                <w:rFonts w:hint="eastAsia" w:ascii="宋体" w:hAnsi="宋体" w:cs="宋体"/>
                <w:b/>
                <w:bCs/>
                <w:color w:val="auto"/>
                <w:sz w:val="24"/>
                <w:szCs w:val="24"/>
                <w:highlight w:val="none"/>
                <w:lang w:val="en-US" w:eastAsia="zh-CN"/>
              </w:rPr>
              <w:t>行业分类</w:t>
            </w:r>
          </w:p>
        </w:tc>
        <w:tc>
          <w:tcPr>
            <w:tcW w:w="6615" w:type="dxa"/>
            <w:vAlign w:val="center"/>
          </w:tcPr>
          <w:p w14:paraId="20877317">
            <w:pPr>
              <w:tabs>
                <w:tab w:val="left" w:pos="8640"/>
              </w:tabs>
              <w:jc w:val="left"/>
              <w:rPr>
                <w:rFonts w:hint="default" w:ascii="宋体" w:hAnsi="宋体" w:cs="宋体"/>
                <w:b/>
                <w:bCs/>
                <w:color w:val="auto"/>
                <w:sz w:val="24"/>
                <w:highlight w:val="none"/>
                <w:lang w:val="en-US" w:eastAsia="zh-CN"/>
              </w:rPr>
            </w:pPr>
            <w:r>
              <w:rPr>
                <w:rFonts w:hint="eastAsia" w:ascii="宋体" w:hAnsi="宋体" w:cs="宋体"/>
                <w:b/>
                <w:bCs/>
                <w:color w:val="auto"/>
                <w:sz w:val="24"/>
                <w:szCs w:val="24"/>
                <w:highlight w:val="none"/>
                <w:lang w:val="en-US" w:eastAsia="zh-CN"/>
              </w:rPr>
              <w:t>本项目所属行业：建筑业</w:t>
            </w:r>
          </w:p>
        </w:tc>
      </w:tr>
    </w:tbl>
    <w:p w14:paraId="2EE62E65">
      <w:pPr>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131ECFD6">
      <w:pPr>
        <w:spacing w:line="72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一、总则</w:t>
      </w:r>
    </w:p>
    <w:p w14:paraId="0FE13F2B">
      <w:pPr>
        <w:spacing w:line="5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1．适用范围</w:t>
      </w:r>
    </w:p>
    <w:p w14:paraId="5454468B">
      <w:pPr>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1.1本竞争性磋商文件仅适用于本次竞争性磋商邀请函中所述</w:t>
      </w:r>
      <w:r>
        <w:rPr>
          <w:rFonts w:hint="eastAsia" w:ascii="宋体" w:hAnsi="宋体" w:cs="宋体"/>
          <w:bCs/>
          <w:color w:val="auto"/>
          <w:sz w:val="24"/>
          <w:highlight w:val="none"/>
        </w:rPr>
        <w:t>项目。</w:t>
      </w:r>
    </w:p>
    <w:p w14:paraId="542B2EDF">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2．定义</w:t>
      </w:r>
    </w:p>
    <w:p w14:paraId="7BE9EEA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2.1“采购代理机构”：周口市公共资源交易中心政府采购中心。</w:t>
      </w:r>
    </w:p>
    <w:p w14:paraId="62257D05">
      <w:pPr>
        <w:tabs>
          <w:tab w:val="left" w:pos="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2.2“采购人”：郸城县住房和城乡建设局</w:t>
      </w:r>
    </w:p>
    <w:p w14:paraId="40F6474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2.3“供应商”系指按竞争性磋商文件规定取得竞争性磋商文件并参加竞争性磋商活动的法人、其他组织或者自然人。</w:t>
      </w:r>
    </w:p>
    <w:p w14:paraId="79860F8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2.4“供应商代表”：系指代表供应商参加本次竞争性磋商活动的供应商的法定代表人或其委托代理人。</w:t>
      </w:r>
    </w:p>
    <w:p w14:paraId="278C051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2.5“服务”：系指本项目所采购的服务及其他要求等。</w:t>
      </w:r>
    </w:p>
    <w:p w14:paraId="0E8368F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2.6“法定代表人”系指法人单位（企业）法人营业执照（或事业法人登记证书上）上注明的法定代表人；如为其他组织或个体经营者参加竞争性磋商会的，指营业执照上注明的负责人或经营者。</w:t>
      </w:r>
    </w:p>
    <w:p w14:paraId="4401BF2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2.7“重大违法记录”系指供应商因违法经营受到刑事处罚或者责令停产停业、吊销许可证或者执照、较大数额罚款等行政处罚。</w:t>
      </w:r>
    </w:p>
    <w:p w14:paraId="1086568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2.8“不具备良好的商业信誉”是指：</w:t>
      </w:r>
    </w:p>
    <w:p w14:paraId="24DFC84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（1）有重大违法记录的（满三年的除外）；</w:t>
      </w:r>
    </w:p>
    <w:p w14:paraId="3075BB0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（2）被各级财政部门列入政府采购严重违法失信行为信息记录的（期限已满的除外）；</w:t>
      </w:r>
    </w:p>
    <w:p w14:paraId="1F5CCDE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（3）被各级政府采购监督管理部门禁止在一定期限内参加政府采购活动等处罚的（期限已满的除外）；</w:t>
      </w:r>
    </w:p>
    <w:p w14:paraId="73E590F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（4）被各级法院列入失信名单的（已依法解除的除外）；</w:t>
      </w:r>
    </w:p>
    <w:p w14:paraId="02CB29B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（5）法律法规规定的其他情形。</w:t>
      </w:r>
    </w:p>
    <w:p w14:paraId="49767C71">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3.采购预算</w:t>
      </w:r>
    </w:p>
    <w:p w14:paraId="4A10FF5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3.1本次采购预算：见公告。</w:t>
      </w:r>
    </w:p>
    <w:p w14:paraId="3D3C296C">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4.合格的供应商</w:t>
      </w:r>
    </w:p>
    <w:p w14:paraId="2CD8F4A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4.1.1符合供应商资格条件（详见第一部分供应商资格条件）</w:t>
      </w:r>
    </w:p>
    <w:p w14:paraId="678F8564">
      <w:pPr>
        <w:widowControl/>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4.1.2参加政府采购活动前三年内，在经营活动中没有重大违法记录的声明函；</w:t>
      </w:r>
    </w:p>
    <w:p w14:paraId="3854D559">
      <w:pPr>
        <w:widowControl/>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4.1.3 政府采购供应商诚信承诺书；</w:t>
      </w:r>
    </w:p>
    <w:p w14:paraId="2F368C95">
      <w:pPr>
        <w:pStyle w:val="79"/>
        <w:spacing w:line="360" w:lineRule="auto"/>
        <w:ind w:firstLine="480" w:firstLineChars="200"/>
        <w:rPr>
          <w:rFonts w:hAnsi="宋体" w:eastAsia="宋体"/>
          <w:color w:val="auto"/>
          <w:sz w:val="24"/>
          <w:highlight w:val="none"/>
        </w:rPr>
      </w:pPr>
      <w:r>
        <w:rPr>
          <w:rFonts w:hint="eastAsia" w:hAnsi="宋体" w:eastAsia="宋体"/>
          <w:color w:val="auto"/>
          <w:sz w:val="24"/>
          <w:highlight w:val="none"/>
        </w:rPr>
        <w:t>4.</w:t>
      </w:r>
      <w:r>
        <w:rPr>
          <w:rFonts w:hint="eastAsia" w:hAnsi="宋体" w:eastAsia="宋体"/>
          <w:color w:val="auto"/>
          <w:sz w:val="24"/>
          <w:highlight w:val="none"/>
          <w:lang w:val="en-US"/>
        </w:rPr>
        <w:t>1.4 供应商</w:t>
      </w:r>
      <w:r>
        <w:rPr>
          <w:rFonts w:hint="eastAsia" w:hAnsi="宋体" w:eastAsia="宋体"/>
          <w:color w:val="auto"/>
          <w:sz w:val="24"/>
          <w:highlight w:val="none"/>
        </w:rPr>
        <w:t>自觉抵制政府采购领域商业贿赂行为承诺书；</w:t>
      </w:r>
    </w:p>
    <w:p w14:paraId="52D21C13">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4.2 </w:t>
      </w:r>
      <w:r>
        <w:rPr>
          <w:rFonts w:hint="eastAsia" w:ascii="宋体" w:hAnsi="宋体" w:cs="宋体"/>
          <w:color w:val="auto"/>
          <w:kern w:val="0"/>
          <w:sz w:val="24"/>
          <w:highlight w:val="none"/>
        </w:rPr>
        <w:t>供应商需提供售后服务体系与承诺</w:t>
      </w:r>
      <w:r>
        <w:rPr>
          <w:rFonts w:hint="eastAsia" w:ascii="宋体" w:hAnsi="宋体" w:cs="宋体"/>
          <w:color w:val="auto"/>
          <w:kern w:val="0"/>
          <w:sz w:val="24"/>
          <w:highlight w:val="none"/>
          <w:lang w:val="zh-CN"/>
        </w:rPr>
        <w:t>。</w:t>
      </w:r>
    </w:p>
    <w:p w14:paraId="53358D5E">
      <w:pPr>
        <w:pStyle w:val="79"/>
        <w:spacing w:line="360" w:lineRule="auto"/>
        <w:ind w:firstLine="480" w:firstLineChars="200"/>
        <w:rPr>
          <w:rFonts w:hAnsi="宋体" w:eastAsia="宋体"/>
          <w:color w:val="auto"/>
          <w:sz w:val="24"/>
          <w:highlight w:val="none"/>
        </w:rPr>
      </w:pPr>
      <w:r>
        <w:rPr>
          <w:rFonts w:hint="eastAsia" w:hAnsi="宋体" w:eastAsia="宋体"/>
          <w:color w:val="auto"/>
          <w:sz w:val="24"/>
          <w:highlight w:val="none"/>
        </w:rPr>
        <w:t>4.</w:t>
      </w:r>
      <w:r>
        <w:rPr>
          <w:rFonts w:hint="eastAsia" w:hAnsi="宋体" w:eastAsia="宋体"/>
          <w:color w:val="auto"/>
          <w:sz w:val="24"/>
          <w:highlight w:val="none"/>
          <w:lang w:val="en-US"/>
        </w:rPr>
        <w:t>3</w:t>
      </w:r>
      <w:r>
        <w:rPr>
          <w:rFonts w:hint="eastAsia" w:hAnsi="宋体" w:eastAsia="宋体"/>
          <w:color w:val="auto"/>
          <w:sz w:val="24"/>
          <w:highlight w:val="none"/>
        </w:rPr>
        <w:t>符合本竞争性磋商文件规定的供应商资格要求及项目要求的其它条件，并按照要求提供相关证明材料。</w:t>
      </w:r>
    </w:p>
    <w:p w14:paraId="680B1E81">
      <w:pPr>
        <w:spacing w:line="360" w:lineRule="auto"/>
        <w:ind w:firstLine="480" w:firstLineChars="20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4.4供应商应遵守国家法律、法规有关竞争性磋商的规定。</w:t>
      </w:r>
    </w:p>
    <w:p w14:paraId="149661B0">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4.5 凡通过磋商小组符合性审查的供应商均为合格供应商。未通过符合性审查的供</w:t>
      </w:r>
    </w:p>
    <w:p w14:paraId="049D86B6">
      <w:pPr>
        <w:spacing w:line="560" w:lineRule="exact"/>
        <w:ind w:firstLine="480" w:firstLineChars="200"/>
        <w:rPr>
          <w:rFonts w:ascii="宋体" w:hAnsi="宋体" w:cs="宋体"/>
          <w:color w:val="auto"/>
          <w:sz w:val="24"/>
          <w:highlight w:val="none"/>
        </w:rPr>
      </w:pPr>
      <w:r>
        <w:rPr>
          <w:rFonts w:hint="eastAsia" w:ascii="宋体" w:hAnsi="宋体" w:eastAsia="宋体" w:cs="宋体"/>
          <w:color w:val="auto"/>
          <w:kern w:val="0"/>
          <w:sz w:val="24"/>
          <w:szCs w:val="24"/>
          <w:highlight w:val="none"/>
          <w:lang w:val="zh-CN" w:eastAsia="zh-CN" w:bidi="ar-SA"/>
        </w:rPr>
        <w:t>注：</w:t>
      </w:r>
      <w:r>
        <w:rPr>
          <w:rFonts w:hint="eastAsia" w:ascii="宋体" w:hAnsi="宋体" w:cs="宋体"/>
          <w:color w:val="auto"/>
          <w:sz w:val="24"/>
          <w:highlight w:val="none"/>
        </w:rPr>
        <w:t>单位负责人为同一人或者存在直接控股、管理关系的不同供应商，不得参加同一合同项下的政府采购活动。</w:t>
      </w:r>
    </w:p>
    <w:p w14:paraId="71EDAB08">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5.竞争性磋商文件的约束力 </w:t>
      </w:r>
    </w:p>
    <w:p w14:paraId="2F92733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5.l供应商一旦参加竞争性磋商，即被认为接受了本竞争性磋商文件中的所有条款和规定。</w:t>
      </w:r>
    </w:p>
    <w:p w14:paraId="36798F3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53DBE6D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5.3本磋商文件由采购人负责解释。</w:t>
      </w:r>
    </w:p>
    <w:p w14:paraId="2CB2B98B">
      <w:pPr>
        <w:pStyle w:val="26"/>
        <w:ind w:firstLine="480"/>
        <w:rPr>
          <w:rFonts w:ascii="宋体" w:hAnsi="宋体" w:eastAsia="宋体" w:cs="宋体"/>
          <w:color w:val="auto"/>
          <w:sz w:val="24"/>
          <w:highlight w:val="none"/>
        </w:rPr>
      </w:pPr>
    </w:p>
    <w:p w14:paraId="3883B2AE">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二、竞争性磋商文件</w:t>
      </w:r>
    </w:p>
    <w:p w14:paraId="1E478768">
      <w:pPr>
        <w:tabs>
          <w:tab w:val="left" w:pos="632"/>
          <w:tab w:val="left" w:pos="790"/>
        </w:tabs>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6．竞争性磋商文件的组成</w:t>
      </w:r>
    </w:p>
    <w:p w14:paraId="609850F4">
      <w:pPr>
        <w:autoSpaceDE w:val="0"/>
        <w:autoSpaceDN w:val="0"/>
        <w:adjustRightIn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6.1竞争性磋商</w:t>
      </w:r>
      <w:r>
        <w:rPr>
          <w:rFonts w:hint="eastAsia" w:ascii="宋体" w:hAnsi="宋体" w:cs="宋体"/>
          <w:color w:val="auto"/>
          <w:sz w:val="24"/>
          <w:highlight w:val="none"/>
          <w:lang w:val="zh-CN"/>
        </w:rPr>
        <w:t>文件是用以阐明的采购需求、采购程序和合同格式等的规范性文件。竞争性磋商文件主要由以下部分组成：</w:t>
      </w:r>
    </w:p>
    <w:p w14:paraId="03A1836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（1）竞争性磋商邀请函；</w:t>
      </w:r>
    </w:p>
    <w:p w14:paraId="7AE6151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（2）供应商须知；</w:t>
      </w:r>
    </w:p>
    <w:p w14:paraId="1860CED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（3）采购需求；</w:t>
      </w:r>
    </w:p>
    <w:p w14:paraId="1606B78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（4）响应性文件内容及格式；</w:t>
      </w:r>
    </w:p>
    <w:p w14:paraId="15AE0C7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（5）合同主要条款。</w:t>
      </w:r>
    </w:p>
    <w:p w14:paraId="398E3EB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7A136AF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6.3供应商被视为充分熟悉本采购项目所在地的与履行合同有关的各种情况，包括自然环境、气候条件、劳动力及公用设施等，本竞争性磋商文件不再对上述情况进行描述。</w:t>
      </w:r>
    </w:p>
    <w:p w14:paraId="1010FB0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14:paraId="77E142DD">
      <w:pPr>
        <w:widowControl/>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7.竞争性磋商文件的澄清与修改</w:t>
      </w:r>
    </w:p>
    <w:p w14:paraId="5477FCDC">
      <w:pPr>
        <w:autoSpaceDE w:val="0"/>
        <w:autoSpaceDN w:val="0"/>
        <w:adjustRightInd w:val="0"/>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06EF66EF">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三、响应性文件的编制</w:t>
      </w:r>
    </w:p>
    <w:p w14:paraId="02658826">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8.要求</w:t>
      </w:r>
    </w:p>
    <w:p w14:paraId="3284A4A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8.1供应商应仔细阅读、并充分理解竞争性磋商文件的所有内容，按照竞争性磋商文件的要求编制、提交响应性文件。响应性文件应对竞争性磋商文件的要求作出实质性响应</w:t>
      </w:r>
      <w:r>
        <w:rPr>
          <w:rFonts w:hint="eastAsia" w:ascii="宋体" w:hAnsi="宋体" w:cs="宋体"/>
          <w:color w:val="auto"/>
          <w:sz w:val="24"/>
          <w:highlight w:val="none"/>
          <w:lang w:val="en-US" w:eastAsia="zh-CN"/>
        </w:rPr>
        <w:t>承诺</w:t>
      </w:r>
      <w:r>
        <w:rPr>
          <w:rFonts w:hint="eastAsia" w:ascii="宋体" w:hAnsi="宋体" w:cs="宋体"/>
          <w:color w:val="auto"/>
          <w:sz w:val="24"/>
          <w:highlight w:val="none"/>
        </w:rPr>
        <w:t>，并保证所提供的全部资料的真实性、合法性，否则其响应性文件将作为无效处理。</w:t>
      </w:r>
    </w:p>
    <w:p w14:paraId="74E8720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8.2任何对竞争性磋商文件的忽略或误解不能作为响应性文件没有完全响应竞争性磋商文件的有效理由。</w:t>
      </w:r>
    </w:p>
    <w:p w14:paraId="76BE6F88">
      <w:pPr>
        <w:spacing w:line="560" w:lineRule="exact"/>
        <w:ind w:firstLine="480" w:firstLineChars="200"/>
        <w:rPr>
          <w:rFonts w:ascii="宋体" w:hAnsi="宋体" w:cs="宋体"/>
          <w:i/>
          <w:iCs/>
          <w:color w:val="auto"/>
          <w:sz w:val="24"/>
          <w:highlight w:val="none"/>
        </w:rPr>
      </w:pPr>
      <w:r>
        <w:rPr>
          <w:rFonts w:hint="eastAsia" w:ascii="宋体" w:hAnsi="宋体" w:cs="宋体"/>
          <w:color w:val="auto"/>
          <w:sz w:val="24"/>
          <w:highlight w:val="none"/>
        </w:rPr>
        <w:t>8.3供应商没有按照竞争性磋商文件要求提供全部资料，或者供应商没有对竞争性磋商文件在各方面都作出实质性响应是供应商的风险，并可能导致其响应性文件被拒绝。</w:t>
      </w:r>
    </w:p>
    <w:p w14:paraId="43E0782D">
      <w:pPr>
        <w:widowControl/>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9.响应性文件的语言及度量衡 </w:t>
      </w:r>
    </w:p>
    <w:p w14:paraId="3DBE64F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9.1响应性文件以及供应商与采购代理机构之间的所有书面往来都应用简体中文书写。 </w:t>
      </w:r>
    </w:p>
    <w:p w14:paraId="0300C60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9.2供应商使用其他语言的，以中文翻译为准。 </w:t>
      </w:r>
    </w:p>
    <w:p w14:paraId="3472897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9.3关于计量单位，竞争性磋商文件已有明确规定的，使用竞争性磋商文件规定的计量单位；竞争性磋商文件没有规定的，应采用中华人民共和国法定计量单位。</w:t>
      </w:r>
    </w:p>
    <w:p w14:paraId="4A43DC4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9.4本竞争性磋商文件所表述的时间均为北京时间。</w:t>
      </w:r>
    </w:p>
    <w:p w14:paraId="7C4934EB">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10.响应性文件的组成</w:t>
      </w:r>
    </w:p>
    <w:p w14:paraId="6A8B7C7F">
      <w:pPr>
        <w:widowControl/>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10.1响应性文件由</w:t>
      </w:r>
      <w:r>
        <w:rPr>
          <w:rFonts w:hint="eastAsia" w:ascii="宋体" w:hAnsi="宋体" w:cs="宋体"/>
          <w:bCs/>
          <w:color w:val="auto"/>
          <w:sz w:val="24"/>
          <w:highlight w:val="none"/>
          <w:u w:val="single"/>
        </w:rPr>
        <w:t>资格性证明材料</w:t>
      </w:r>
      <w:r>
        <w:rPr>
          <w:rFonts w:hint="eastAsia" w:ascii="宋体" w:hAnsi="宋体" w:cs="宋体"/>
          <w:bCs/>
          <w:color w:val="auto"/>
          <w:sz w:val="24"/>
          <w:highlight w:val="none"/>
        </w:rPr>
        <w:t>、</w:t>
      </w:r>
      <w:r>
        <w:rPr>
          <w:rFonts w:hint="eastAsia" w:ascii="宋体" w:hAnsi="宋体" w:cs="宋体"/>
          <w:bCs/>
          <w:color w:val="auto"/>
          <w:sz w:val="24"/>
          <w:highlight w:val="none"/>
          <w:u w:val="single"/>
        </w:rPr>
        <w:t>符合性证明材料</w:t>
      </w:r>
      <w:r>
        <w:rPr>
          <w:rFonts w:hint="eastAsia" w:ascii="宋体" w:hAnsi="宋体" w:cs="宋体"/>
          <w:bCs/>
          <w:color w:val="auto"/>
          <w:sz w:val="24"/>
          <w:highlight w:val="none"/>
        </w:rPr>
        <w:t>、</w:t>
      </w:r>
      <w:r>
        <w:rPr>
          <w:rFonts w:hint="eastAsia" w:ascii="宋体" w:hAnsi="宋体" w:cs="宋体"/>
          <w:bCs/>
          <w:color w:val="auto"/>
          <w:sz w:val="24"/>
          <w:highlight w:val="none"/>
          <w:u w:val="single"/>
        </w:rPr>
        <w:t>其他材料</w:t>
      </w:r>
      <w:r>
        <w:rPr>
          <w:rFonts w:hint="eastAsia" w:ascii="宋体" w:hAnsi="宋体" w:cs="宋体"/>
          <w:color w:val="auto"/>
          <w:sz w:val="24"/>
          <w:highlight w:val="none"/>
        </w:rPr>
        <w:t>三部分组成。具体内容和格式见竞争性磋商文件</w:t>
      </w:r>
      <w:r>
        <w:rPr>
          <w:rFonts w:hint="eastAsia" w:ascii="宋体" w:hAnsi="宋体" w:cs="宋体"/>
          <w:bCs/>
          <w:color w:val="auto"/>
          <w:sz w:val="24"/>
          <w:highlight w:val="none"/>
        </w:rPr>
        <w:t>第四章</w:t>
      </w:r>
      <w:r>
        <w:rPr>
          <w:rFonts w:hint="eastAsia" w:ascii="宋体" w:hAnsi="宋体" w:cs="宋体"/>
          <w:color w:val="auto"/>
          <w:sz w:val="24"/>
          <w:highlight w:val="none"/>
        </w:rPr>
        <w:t>。</w:t>
      </w:r>
    </w:p>
    <w:p w14:paraId="3DCEBC8B">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11.响应性文件格式</w:t>
      </w:r>
    </w:p>
    <w:p w14:paraId="0B12923C">
      <w:pPr>
        <w:widowControl/>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69C0DEFE">
      <w:pPr>
        <w:widowControl/>
        <w:spacing w:line="56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12.竞争性磋商报价</w:t>
      </w:r>
    </w:p>
    <w:p w14:paraId="3FB79CF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12.1报价包括所投服务、保险、税费、检测、验收和交付后约定期限内免费维保等工作所发生的一切应有费用。</w:t>
      </w:r>
    </w:p>
    <w:p w14:paraId="43CC063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12.2经过磋商后进行的报价为供应商的最终报价。</w:t>
      </w:r>
    </w:p>
    <w:p w14:paraId="5BEF0DA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12.3采购人不接受有选择的报价。</w:t>
      </w:r>
    </w:p>
    <w:p w14:paraId="6D750EB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12.4最终报价不得超过采购预算。</w:t>
      </w:r>
    </w:p>
    <w:p w14:paraId="285A7AB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12.5报价均须以人民币为计算单位。</w:t>
      </w:r>
    </w:p>
    <w:p w14:paraId="701D25F1">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13．响应性文件有效期 </w:t>
      </w:r>
    </w:p>
    <w:p w14:paraId="77C9847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13.l响应性文件有效期为自竞争性磋商开始之日起60天，有效期短于此规定的响应性文件将被视为无效。</w:t>
      </w:r>
    </w:p>
    <w:p w14:paraId="476E2AF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2CF72376">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14.响应性文件的签署、盖章</w:t>
      </w:r>
    </w:p>
    <w:p w14:paraId="20338B47">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14.1</w:t>
      </w:r>
      <w:r>
        <w:rPr>
          <w:rFonts w:hint="eastAsia" w:ascii="宋体" w:hAnsi="宋体" w:cs="宋体"/>
          <w:color w:val="auto"/>
          <w:sz w:val="24"/>
          <w:highlight w:val="none"/>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1B55CDA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14:paraId="430D9C2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14.3供应商提交的资料应证明其满足竞争性磋商文件要求，该文件可以是文字资料、图纸和数据等详细描述的资料。</w:t>
      </w:r>
    </w:p>
    <w:p w14:paraId="23B9920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15电子投标文件制作</w:t>
      </w:r>
      <w:r>
        <w:rPr>
          <w:rFonts w:hint="eastAsia" w:ascii="宋体" w:hAnsi="宋体" w:cs="宋体"/>
          <w:color w:val="auto"/>
          <w:sz w:val="24"/>
          <w:highlight w:val="none"/>
          <w:lang w:eastAsia="zh-CN"/>
        </w:rPr>
        <w:t>，</w:t>
      </w:r>
      <w:r>
        <w:rPr>
          <w:rFonts w:hint="eastAsia" w:ascii="宋体" w:hAnsi="宋体" w:cs="宋体"/>
          <w:color w:val="auto"/>
          <w:sz w:val="24"/>
          <w:highlight w:val="none"/>
        </w:rPr>
        <w:t>见周口市公共资源交易中心</w:t>
      </w:r>
      <w:r>
        <w:rPr>
          <w:rFonts w:hint="eastAsia" w:ascii="宋体" w:hAnsi="宋体" w:cs="宋体"/>
          <w:color w:val="auto"/>
          <w:sz w:val="24"/>
          <w:highlight w:val="none"/>
          <w:lang w:val="en-US" w:eastAsia="zh-CN"/>
        </w:rPr>
        <w:t>网站下载中心版块</w:t>
      </w:r>
      <w:r>
        <w:rPr>
          <w:rFonts w:hint="eastAsia" w:ascii="宋体" w:hAnsi="宋体" w:cs="宋体"/>
          <w:color w:val="auto"/>
          <w:sz w:val="24"/>
          <w:highlight w:val="none"/>
        </w:rPr>
        <w:t>《投标单位-电子投标文件视频制作手册》的相关规定。</w:t>
      </w:r>
    </w:p>
    <w:p w14:paraId="6C066606">
      <w:pPr>
        <w:numPr>
          <w:ilvl w:val="0"/>
          <w:numId w:val="4"/>
        </w:num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响应性文件的递交</w:t>
      </w:r>
    </w:p>
    <w:p w14:paraId="3E44FE05">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加密的电子磋商响应文件，应在磋商截止时间前通过周口市公共资源交易中心会员系统上传；本项目实行网上远程开标，未加密的电子</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文件和纸质</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文件均不再提交。在解密投标</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开始时30分钟内进行解密，超时视为放弃递交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w:t>
      </w:r>
    </w:p>
    <w:p w14:paraId="376540AF">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加密的电子投标文件的递交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见周口市公共资源交易中心</w:t>
      </w:r>
      <w:r>
        <w:rPr>
          <w:rFonts w:hint="eastAsia" w:ascii="宋体" w:hAnsi="宋体" w:eastAsia="宋体" w:cs="宋体"/>
          <w:color w:val="auto"/>
          <w:sz w:val="24"/>
          <w:highlight w:val="none"/>
          <w:lang w:val="en-US" w:eastAsia="zh-CN"/>
        </w:rPr>
        <w:t>网站下载中心版块</w:t>
      </w:r>
      <w:r>
        <w:rPr>
          <w:rFonts w:hint="eastAsia" w:ascii="宋体" w:hAnsi="宋体" w:eastAsia="宋体" w:cs="宋体"/>
          <w:color w:val="auto"/>
          <w:sz w:val="24"/>
          <w:highlight w:val="none"/>
        </w:rPr>
        <w:t>《投标单位-电子投标文件视频制作手册》的相关规定。</w:t>
      </w:r>
      <w:r>
        <w:rPr>
          <w:rFonts w:hint="eastAsia" w:ascii="宋体" w:hAnsi="宋体" w:cs="宋体"/>
          <w:color w:val="auto"/>
          <w:sz w:val="24"/>
          <w:highlight w:val="none"/>
        </w:rPr>
        <w:t>如未在招标文件规定的投标时间截止前上传网上</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文件，投标无效。</w:t>
      </w:r>
    </w:p>
    <w:p w14:paraId="58E07659">
      <w:pPr>
        <w:autoSpaceDE w:val="0"/>
        <w:autoSpaceDN w:val="0"/>
        <w:adjustRightInd w:val="0"/>
        <w:spacing w:line="5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供应商须使用单位CA证书进行电子响应文件远程解密，详见周口市公共资源电子交易中心网站（网址：http://jyzx.zhoukou.gov.cn）</w:t>
      </w:r>
      <w:r>
        <w:rPr>
          <w:rFonts w:hint="eastAsia" w:ascii="宋体" w:hAnsi="宋体" w:cs="宋体"/>
          <w:color w:val="auto"/>
          <w:sz w:val="24"/>
          <w:highlight w:val="none"/>
          <w:lang w:val="en-US" w:eastAsia="zh-CN"/>
        </w:rPr>
        <w:t>办事指南</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不见面开标远程在线解密会员端操作手册操作指南</w:t>
      </w:r>
      <w:r>
        <w:rPr>
          <w:rFonts w:hint="eastAsia" w:ascii="宋体" w:hAnsi="宋体" w:eastAsia="宋体" w:cs="宋体"/>
          <w:bCs/>
          <w:color w:val="auto"/>
          <w:sz w:val="24"/>
          <w:highlight w:val="none"/>
          <w:lang w:val="en-US" w:eastAsia="zh-CN"/>
        </w:rPr>
        <w:t>》</w:t>
      </w:r>
      <w:r>
        <w:rPr>
          <w:rFonts w:hint="eastAsia" w:ascii="宋体" w:hAnsi="宋体" w:cs="宋体"/>
          <w:color w:val="auto"/>
          <w:sz w:val="24"/>
          <w:highlight w:val="none"/>
        </w:rPr>
        <w:t>。</w:t>
      </w:r>
    </w:p>
    <w:p w14:paraId="5AC10C86">
      <w:pPr>
        <w:spacing w:line="560" w:lineRule="exact"/>
        <w:rPr>
          <w:rFonts w:ascii="宋体" w:hAnsi="宋体" w:cs="宋体"/>
          <w:b/>
          <w:color w:val="auto"/>
          <w:sz w:val="24"/>
          <w:highlight w:val="none"/>
        </w:rPr>
      </w:pPr>
      <w:r>
        <w:rPr>
          <w:rFonts w:hint="eastAsia" w:ascii="宋体" w:hAnsi="宋体" w:cs="宋体"/>
          <w:b/>
          <w:color w:val="auto"/>
          <w:sz w:val="24"/>
          <w:highlight w:val="none"/>
        </w:rPr>
        <w:t>16.响应性文件的递交</w:t>
      </w:r>
    </w:p>
    <w:p w14:paraId="1D5B0CE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16.1供应商应在竞争性磋商邀请函中规定的截止日期和时间前，将响应性文件在会员系统成功上传，递交（接收）地点为竞争性磋商邀请函中规定的地址。</w:t>
      </w:r>
    </w:p>
    <w:p w14:paraId="68DD593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16.2若采购人推迟了响应性文件接收截止时间，采购人和供应商受响应性文件接收截止时间制约的所有权利和义务均应以新的截止时间为准。 </w:t>
      </w:r>
    </w:p>
    <w:p w14:paraId="1FBADA6F">
      <w:pPr>
        <w:pStyle w:val="63"/>
        <w:spacing w:line="560" w:lineRule="exact"/>
        <w:ind w:firstLine="482" w:firstLineChars="200"/>
        <w:rPr>
          <w:rFonts w:ascii="宋体" w:hAnsi="宋体"/>
          <w:b/>
          <w:color w:val="auto"/>
          <w:sz w:val="24"/>
          <w:szCs w:val="24"/>
          <w:highlight w:val="none"/>
        </w:rPr>
      </w:pPr>
      <w:r>
        <w:rPr>
          <w:rFonts w:hint="eastAsia" w:ascii="宋体" w:hAnsi="宋体"/>
          <w:b/>
          <w:bCs/>
          <w:color w:val="auto"/>
          <w:sz w:val="24"/>
          <w:szCs w:val="24"/>
          <w:highlight w:val="none"/>
        </w:rPr>
        <w:t>17</w:t>
      </w:r>
      <w:r>
        <w:rPr>
          <w:rFonts w:hint="eastAsia" w:ascii="宋体" w:hAnsi="宋体"/>
          <w:b/>
          <w:color w:val="auto"/>
          <w:sz w:val="24"/>
          <w:szCs w:val="24"/>
          <w:highlight w:val="none"/>
        </w:rPr>
        <w:t>.响应性文件的修改和撤回</w:t>
      </w:r>
    </w:p>
    <w:p w14:paraId="35A0D5D3">
      <w:pPr>
        <w:pStyle w:val="63"/>
        <w:spacing w:line="560" w:lineRule="exact"/>
        <w:ind w:left="279" w:leftChars="133" w:firstLine="240" w:firstLineChars="100"/>
        <w:rPr>
          <w:rFonts w:ascii="宋体" w:hAnsi="宋体"/>
          <w:b/>
          <w:bCs/>
          <w:color w:val="auto"/>
          <w:sz w:val="24"/>
          <w:szCs w:val="24"/>
          <w:highlight w:val="none"/>
        </w:rPr>
      </w:pPr>
      <w:r>
        <w:rPr>
          <w:rFonts w:hint="eastAsia" w:ascii="宋体" w:hAnsi="宋体"/>
          <w:color w:val="auto"/>
          <w:sz w:val="24"/>
          <w:szCs w:val="24"/>
          <w:highlight w:val="none"/>
        </w:rPr>
        <w:t>17.1供应商在提交响应性文件截止时间前，可以对已上传的响应文件进行撤回补充、修改或撤回，补充、修改之后进行再次上传，再次上传内容作为响应性文件的组成部分。</w:t>
      </w:r>
    </w:p>
    <w:p w14:paraId="2A4FA236">
      <w:pPr>
        <w:pStyle w:val="63"/>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17.2响应性文件的补充、修改文件应按照本竞争性磋商文件有关规定进行密封、签署，修改后的加密的电子投标文件须在投标截止时间前成功上传。 </w:t>
      </w:r>
    </w:p>
    <w:p w14:paraId="4E48DC4F">
      <w:pPr>
        <w:pStyle w:val="63"/>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17.3供应商在响应性文件接收截止时间后不得修改、撤回响应性文件。供应商在响应性文件接收截止时间后修改响应性文件的，将被拒绝接受。</w:t>
      </w:r>
    </w:p>
    <w:p w14:paraId="1E41ED11">
      <w:pPr>
        <w:pStyle w:val="63"/>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17.4供应商有下列情形之一的，采购人将拒绝接受其响应性文件：</w:t>
      </w:r>
    </w:p>
    <w:p w14:paraId="5BE9CBDD">
      <w:pPr>
        <w:pStyle w:val="63"/>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17.4.1在竞争性磋商文件规定的响应性文件接收截止时间之后递交响应性文件的；</w:t>
      </w:r>
    </w:p>
    <w:p w14:paraId="77D4551A">
      <w:pPr>
        <w:pStyle w:val="63"/>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17.4.2响应性文件未按竞争性磋商文件规定密封、签署、盖章的；</w:t>
      </w:r>
    </w:p>
    <w:p w14:paraId="72B59765">
      <w:pPr>
        <w:pStyle w:val="63"/>
        <w:spacing w:line="560" w:lineRule="exact"/>
        <w:ind w:firstLine="480" w:firstLineChars="200"/>
        <w:rPr>
          <w:rFonts w:ascii="宋体" w:hAnsi="宋体"/>
          <w:b/>
          <w:color w:val="auto"/>
          <w:sz w:val="24"/>
          <w:szCs w:val="24"/>
          <w:highlight w:val="none"/>
        </w:rPr>
      </w:pPr>
      <w:r>
        <w:rPr>
          <w:rFonts w:hint="eastAsia" w:ascii="宋体" w:hAnsi="宋体"/>
          <w:color w:val="auto"/>
          <w:sz w:val="24"/>
          <w:szCs w:val="24"/>
          <w:highlight w:val="none"/>
        </w:rPr>
        <w:t>17.4.3一个供应商不止递交一套响应性文件的。</w:t>
      </w:r>
    </w:p>
    <w:p w14:paraId="40622A07">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五、竞争性磋商</w:t>
      </w:r>
    </w:p>
    <w:p w14:paraId="5F645177">
      <w:pPr>
        <w:spacing w:line="56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rPr>
        <w:t>18.组建</w:t>
      </w:r>
      <w:r>
        <w:rPr>
          <w:rFonts w:hint="eastAsia" w:ascii="宋体" w:hAnsi="宋体" w:cs="宋体"/>
          <w:b/>
          <w:color w:val="auto"/>
          <w:sz w:val="24"/>
          <w:highlight w:val="none"/>
          <w:lang w:val="zh-CN"/>
        </w:rPr>
        <w:t>竞争性磋商小组</w:t>
      </w:r>
    </w:p>
    <w:p w14:paraId="3ED377AC">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18.1采购人根据采购项目的特点依法组建竞争性磋商小组。</w:t>
      </w:r>
    </w:p>
    <w:p w14:paraId="33ED9099">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18.2竞争性磋商小组</w:t>
      </w:r>
      <w:r>
        <w:rPr>
          <w:rFonts w:hint="eastAsia" w:ascii="宋体" w:hAnsi="宋体" w:cs="宋体"/>
          <w:bCs/>
          <w:color w:val="auto"/>
          <w:kern w:val="0"/>
          <w:sz w:val="24"/>
          <w:highlight w:val="none"/>
        </w:rPr>
        <w:t>确认竞争性磋商文件，并</w:t>
      </w:r>
      <w:r>
        <w:rPr>
          <w:rFonts w:hint="eastAsia" w:ascii="宋体" w:hAnsi="宋体" w:cs="宋体"/>
          <w:color w:val="auto"/>
          <w:kern w:val="0"/>
          <w:sz w:val="24"/>
          <w:highlight w:val="none"/>
        </w:rPr>
        <w:t>负责具体评审事务，根据有关法律法规和竞争性磋商文件规定的评审程序，按照评审方法及评审标准独立履行竞争性磋商小组职责。</w:t>
      </w:r>
    </w:p>
    <w:p w14:paraId="2FC6C529">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19.资格性和符合性审查</w:t>
      </w:r>
    </w:p>
    <w:p w14:paraId="1A7C19B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19.1</w:t>
      </w:r>
      <w:r>
        <w:rPr>
          <w:rFonts w:hint="eastAsia" w:ascii="宋体" w:hAnsi="宋体" w:eastAsia="宋体" w:cs="宋体"/>
          <w:color w:val="auto"/>
          <w:sz w:val="24"/>
          <w:highlight w:val="none"/>
        </w:rPr>
        <w:t>资格性检查。竞争性磋商小组依据有关法律法规和竞争性磋商文件的规定，对响应性文件中资质证明等进行审查，审查每个供应商提交的资质证明材料是否齐全、完整、合法、有效</w:t>
      </w:r>
      <w:r>
        <w:rPr>
          <w:rFonts w:hint="eastAsia" w:ascii="宋体" w:hAnsi="宋体" w:eastAsia="宋体" w:cs="宋体"/>
          <w:color w:val="auto"/>
          <w:sz w:val="24"/>
          <w:highlight w:val="none"/>
          <w:lang w:val="en-US" w:eastAsia="zh-CN"/>
        </w:rPr>
        <w:t>做出真实性承诺</w:t>
      </w:r>
      <w:r>
        <w:rPr>
          <w:rFonts w:hint="eastAsia" w:ascii="宋体" w:hAnsi="宋体" w:eastAsia="宋体" w:cs="宋体"/>
          <w:color w:val="auto"/>
          <w:sz w:val="24"/>
          <w:highlight w:val="none"/>
        </w:rPr>
        <w:t>。不同投标人在同一台计算机上制作的投标文件为投标文件无效</w:t>
      </w:r>
      <w:r>
        <w:rPr>
          <w:rFonts w:hint="eastAsia" w:ascii="宋体" w:hAnsi="宋体" w:cs="宋体"/>
          <w:color w:val="auto"/>
          <w:sz w:val="24"/>
          <w:highlight w:val="none"/>
        </w:rPr>
        <w:t>。</w:t>
      </w:r>
    </w:p>
    <w:p w14:paraId="4C585850">
      <w:pPr>
        <w:spacing w:line="56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19.1.1资格性审查的内容包括：竞争性磋商文件规定的供应商资格条件；</w:t>
      </w:r>
    </w:p>
    <w:p w14:paraId="32C99B7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3E6C590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19.2.1符合性审查的内容包括：</w:t>
      </w:r>
    </w:p>
    <w:p w14:paraId="29417CA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（1）响应性文件的有效性(签署情况等)；</w:t>
      </w:r>
    </w:p>
    <w:p w14:paraId="6A3751E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（2）响应性文件的完整性；</w:t>
      </w:r>
    </w:p>
    <w:p w14:paraId="776C1B5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（3）对竞争性磋商文件的响应程度（是否存在重大负偏离等）。 </w:t>
      </w:r>
    </w:p>
    <w:p w14:paraId="072E702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以上资格性审查和符合性审查的内容只要有一条不满足，则响应性文件无效，将不进入竞争性磋商程序。</w:t>
      </w:r>
    </w:p>
    <w:p w14:paraId="3C95F60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注意事项：资格性、符合性证明材料见竞争性磋商文件第四章规定。</w:t>
      </w:r>
    </w:p>
    <w:p w14:paraId="6E4F522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19.3实质性响应的响应性文件是指与竞争性磋商文件的全部条款、条件和规格相符，没有重大偏离；重大负偏离的认定须经竞争性磋商小组三分之二以上同意。</w:t>
      </w:r>
    </w:p>
    <w:p w14:paraId="2EA5B37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4473634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19.5如果响应性文件实质上没有响应竞争性磋商文件的要求，将作为无效处理，供应商不得再对响应性文件进行任何修正从而使其响应性文件成为实质上响应的文件；</w:t>
      </w:r>
    </w:p>
    <w:p w14:paraId="096F56C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19.6竞争性磋商小组审定响应性文件的响应性只根据响应性文件本身的内容而不寻求外部证据。</w:t>
      </w:r>
    </w:p>
    <w:p w14:paraId="3DF867B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19.7凡有下列情况之一的，其响应性文件也被视为未实质性响应竞争性磋商文件，按照无效处理（不再参加竞争性磋商）：</w:t>
      </w:r>
    </w:p>
    <w:p w14:paraId="7A29B1F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19.7.1未按竞争性磋商文件规定要求</w:t>
      </w:r>
      <w:r>
        <w:rPr>
          <w:rFonts w:hint="eastAsia" w:ascii="宋体" w:hAnsi="宋体" w:cs="宋体"/>
          <w:color w:val="auto"/>
          <w:sz w:val="24"/>
          <w:highlight w:val="none"/>
          <w:lang w:val="zh-CN"/>
        </w:rPr>
        <w:t>签署、盖章的；</w:t>
      </w:r>
    </w:p>
    <w:p w14:paraId="21F77A4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19.7.2资格证明文件不全的，或不符合竞争性磋商文件中规定的资格要求的；</w:t>
      </w:r>
    </w:p>
    <w:p w14:paraId="5572110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19.7.3供应商代表未能出具有效身份证明，或与身份不符的；</w:t>
      </w:r>
    </w:p>
    <w:p w14:paraId="79E8C21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19.7.4不符合竞争性磋商文件规定的实质性要求的；</w:t>
      </w:r>
    </w:p>
    <w:p w14:paraId="2CAD789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19.7.5响应性文件内容不齐全或内容虚假的；</w:t>
      </w:r>
    </w:p>
    <w:p w14:paraId="5A573A2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19.7.6响应性文件的实质性内容未使用中文表述；</w:t>
      </w:r>
    </w:p>
    <w:p w14:paraId="43CF01B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19.7.7响应性文件的内容修改处未按规定签名或盖章的；</w:t>
      </w:r>
    </w:p>
    <w:p w14:paraId="59312A7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19.7.8违反法律、行政法规、竞争性磋商文件规定的其他情形的。</w:t>
      </w:r>
    </w:p>
    <w:p w14:paraId="5E5BCAD8">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不同供应商的电子投标（响应）文件上传计算机的网卡 MAC 地址、CPU 序列号和硬盘序列号等硬件信息相同的;</w:t>
      </w:r>
    </w:p>
    <w:p w14:paraId="37CA8313">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不同供应商的投标（响应）文件由同一电子设备编制，打印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复印、</w:t>
      </w:r>
      <w:r>
        <w:rPr>
          <w:rFonts w:hint="eastAsia" w:ascii="宋体" w:hAnsi="宋体" w:eastAsia="宋体" w:cs="宋体"/>
          <w:color w:val="auto"/>
          <w:sz w:val="24"/>
          <w:highlight w:val="none"/>
        </w:rPr>
        <w:t>加密或者上传</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w:t>
      </w:r>
    </w:p>
    <w:p w14:paraId="4608055B">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不同供应商的投标（响应）文件由同一人送达或者分发，或者不同供应商联系人为同一人或不同联系人的联系电话一致的；</w:t>
      </w:r>
    </w:p>
    <w:p w14:paraId="60CBEB55">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不同供应商的投标（响应）文件的内容存在两处以上细节错误一致；</w:t>
      </w:r>
    </w:p>
    <w:p w14:paraId="764564EA">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不同供应商的法定代表人、委托代理人、项目经理、项目负责人等由同一个单位缴纳社会保险或者领取报酬的；</w:t>
      </w:r>
    </w:p>
    <w:p w14:paraId="3D0AE805">
      <w:pPr>
        <w:spacing w:line="360" w:lineRule="auto"/>
        <w:ind w:firstLine="480" w:firstLineChars="200"/>
        <w:rPr>
          <w:color w:val="auto"/>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不同供应商投标（响应）文件中法定代表人或者负责人签字出自同一人之手</w:t>
      </w:r>
      <w:r>
        <w:rPr>
          <w:rFonts w:hint="eastAsia" w:ascii="宋体" w:hAnsi="宋体" w:eastAsia="宋体" w:cs="宋体"/>
          <w:color w:val="auto"/>
          <w:sz w:val="24"/>
          <w:highlight w:val="none"/>
          <w:lang w:eastAsia="zh-CN"/>
        </w:rPr>
        <w:t>。</w:t>
      </w:r>
    </w:p>
    <w:p w14:paraId="7AB272F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19.8在评审过程中，竞争性磋商小组发现供应商有下列情形之一的，视为供应商相互串通，按照无效处理并依据法律、法规追究其相关责任。具体表现形式如下：</w:t>
      </w:r>
    </w:p>
    <w:p w14:paraId="653C63F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19.8.1不同供应商的响应性文件互相混装的；</w:t>
      </w:r>
    </w:p>
    <w:p w14:paraId="4633FAF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19.8.2不同供应商授权同一人作为供应商委托代理人的；</w:t>
      </w:r>
    </w:p>
    <w:p w14:paraId="282CBBE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19.8.3不同供应商的响应性文件载明的项目管理成员为同一人的；</w:t>
      </w:r>
    </w:p>
    <w:p w14:paraId="03CCEFE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19.8.4有证据证明供应商与采购人、采购代理机构或者其他供应商串通的其他情形；</w:t>
      </w:r>
    </w:p>
    <w:p w14:paraId="6CFC132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19.8.5竞争性磋商小组认定的其他串通情形。</w:t>
      </w:r>
    </w:p>
    <w:p w14:paraId="453E5351">
      <w:pPr>
        <w:pStyle w:val="45"/>
        <w:rPr>
          <w:rFonts w:ascii="宋体" w:hAnsi="宋体" w:cs="宋体"/>
          <w:color w:val="auto"/>
          <w:sz w:val="24"/>
          <w:szCs w:val="24"/>
          <w:highlight w:val="none"/>
        </w:rPr>
      </w:pP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7586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6CFE7A83">
            <w:pPr>
              <w:pStyle w:val="80"/>
              <w:pBdr>
                <w:bottom w:val="none" w:color="auto" w:sz="0" w:space="0"/>
              </w:pBdr>
              <w:tabs>
                <w:tab w:val="clear" w:pos="4153"/>
                <w:tab w:val="clear" w:pos="8306"/>
              </w:tabs>
              <w:snapToGrid w:val="0"/>
              <w:spacing w:line="360" w:lineRule="auto"/>
              <w:ind w:right="-10"/>
              <w:textAlignment w:val="auto"/>
              <w:rPr>
                <w:rFonts w:ascii="宋体" w:hAnsi="宋体" w:cs="宋体"/>
                <w:b/>
                <w:color w:val="auto"/>
                <w:kern w:val="2"/>
                <w:szCs w:val="24"/>
                <w:highlight w:val="none"/>
              </w:rPr>
            </w:pPr>
            <w:r>
              <w:rPr>
                <w:rFonts w:hint="eastAsia" w:ascii="宋体" w:hAnsi="宋体" w:cs="宋体"/>
                <w:b/>
                <w:color w:val="auto"/>
                <w:kern w:val="2"/>
                <w:szCs w:val="24"/>
                <w:highlight w:val="none"/>
              </w:rPr>
              <w:t>项目符合性审查表</w:t>
            </w:r>
          </w:p>
        </w:tc>
      </w:tr>
      <w:tr w14:paraId="1217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197B3B4D">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序号</w:t>
            </w:r>
          </w:p>
        </w:tc>
        <w:tc>
          <w:tcPr>
            <w:tcW w:w="2665" w:type="dxa"/>
            <w:tcBorders>
              <w:bottom w:val="single" w:color="auto" w:sz="4" w:space="0"/>
            </w:tcBorders>
            <w:vAlign w:val="center"/>
          </w:tcPr>
          <w:p w14:paraId="461AA58F">
            <w:pPr>
              <w:pStyle w:val="80"/>
              <w:pBdr>
                <w:bottom w:val="none" w:color="auto" w:sz="0" w:space="0"/>
              </w:pBdr>
              <w:tabs>
                <w:tab w:val="clear" w:pos="4153"/>
                <w:tab w:val="clear" w:pos="8306"/>
              </w:tabs>
              <w:snapToGrid w:val="0"/>
              <w:spacing w:line="360" w:lineRule="auto"/>
              <w:ind w:right="-10"/>
              <w:textAlignment w:val="auto"/>
              <w:rPr>
                <w:rFonts w:ascii="宋体" w:hAnsi="宋体" w:cs="宋体"/>
                <w:color w:val="auto"/>
                <w:kern w:val="2"/>
                <w:szCs w:val="24"/>
                <w:highlight w:val="none"/>
              </w:rPr>
            </w:pPr>
            <w:r>
              <w:rPr>
                <w:rFonts w:hint="eastAsia" w:ascii="宋体" w:hAnsi="宋体" w:cs="宋体"/>
                <w:color w:val="auto"/>
                <w:kern w:val="2"/>
                <w:szCs w:val="24"/>
                <w:highlight w:val="none"/>
              </w:rPr>
              <w:t>指标名称</w:t>
            </w:r>
          </w:p>
        </w:tc>
        <w:tc>
          <w:tcPr>
            <w:tcW w:w="1937" w:type="dxa"/>
            <w:tcBorders>
              <w:bottom w:val="single" w:color="auto" w:sz="4" w:space="0"/>
            </w:tcBorders>
            <w:vAlign w:val="center"/>
          </w:tcPr>
          <w:p w14:paraId="6FA84799">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指标要求</w:t>
            </w:r>
          </w:p>
        </w:tc>
        <w:tc>
          <w:tcPr>
            <w:tcW w:w="825" w:type="dxa"/>
            <w:tcBorders>
              <w:bottom w:val="single" w:color="auto" w:sz="4" w:space="0"/>
            </w:tcBorders>
            <w:vAlign w:val="center"/>
          </w:tcPr>
          <w:p w14:paraId="5E756798">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是否</w:t>
            </w:r>
          </w:p>
          <w:p w14:paraId="395550ED">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通过</w:t>
            </w:r>
          </w:p>
        </w:tc>
        <w:tc>
          <w:tcPr>
            <w:tcW w:w="2371" w:type="dxa"/>
            <w:tcBorders>
              <w:bottom w:val="single" w:color="auto" w:sz="4" w:space="0"/>
            </w:tcBorders>
            <w:vAlign w:val="center"/>
          </w:tcPr>
          <w:p w14:paraId="5B19A181">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投标文件格式及</w:t>
            </w:r>
          </w:p>
          <w:p w14:paraId="079A61BC">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提交资料要求</w:t>
            </w:r>
          </w:p>
        </w:tc>
      </w:tr>
      <w:tr w14:paraId="68AF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5759261D">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w:t>
            </w:r>
          </w:p>
        </w:tc>
        <w:tc>
          <w:tcPr>
            <w:tcW w:w="2665" w:type="dxa"/>
            <w:vAlign w:val="center"/>
          </w:tcPr>
          <w:p w14:paraId="4D63BDFD">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营业执照</w:t>
            </w:r>
          </w:p>
        </w:tc>
        <w:tc>
          <w:tcPr>
            <w:tcW w:w="1937" w:type="dxa"/>
            <w:vAlign w:val="center"/>
          </w:tcPr>
          <w:p w14:paraId="61C0235D">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2B553616">
            <w:pPr>
              <w:adjustRightInd w:val="0"/>
              <w:snapToGrid w:val="0"/>
              <w:spacing w:line="360" w:lineRule="auto"/>
              <w:ind w:right="-10"/>
              <w:rPr>
                <w:rFonts w:ascii="宋体" w:hAnsi="宋体" w:cs="宋体"/>
                <w:color w:val="auto"/>
                <w:sz w:val="24"/>
                <w:highlight w:val="none"/>
              </w:rPr>
            </w:pPr>
          </w:p>
        </w:tc>
        <w:tc>
          <w:tcPr>
            <w:tcW w:w="2371" w:type="dxa"/>
            <w:vAlign w:val="center"/>
          </w:tcPr>
          <w:p w14:paraId="0CEDB340">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43B7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4CE73C8D">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2</w:t>
            </w:r>
          </w:p>
        </w:tc>
        <w:tc>
          <w:tcPr>
            <w:tcW w:w="2665" w:type="dxa"/>
            <w:vAlign w:val="center"/>
          </w:tcPr>
          <w:p w14:paraId="05896A3A">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法定代表人及身份证</w:t>
            </w:r>
          </w:p>
        </w:tc>
        <w:tc>
          <w:tcPr>
            <w:tcW w:w="1937" w:type="dxa"/>
            <w:vAlign w:val="center"/>
          </w:tcPr>
          <w:p w14:paraId="3E832F4A">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4BF7E513">
            <w:pPr>
              <w:adjustRightInd w:val="0"/>
              <w:snapToGrid w:val="0"/>
              <w:spacing w:line="360" w:lineRule="auto"/>
              <w:ind w:right="-10"/>
              <w:rPr>
                <w:rFonts w:ascii="宋体" w:hAnsi="宋体" w:cs="宋体"/>
                <w:color w:val="auto"/>
                <w:sz w:val="24"/>
                <w:highlight w:val="none"/>
              </w:rPr>
            </w:pPr>
          </w:p>
        </w:tc>
        <w:tc>
          <w:tcPr>
            <w:tcW w:w="2371" w:type="dxa"/>
            <w:vAlign w:val="center"/>
          </w:tcPr>
          <w:p w14:paraId="24EB8DAD">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1959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61AC24DD">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3</w:t>
            </w:r>
          </w:p>
        </w:tc>
        <w:tc>
          <w:tcPr>
            <w:tcW w:w="2665" w:type="dxa"/>
            <w:vAlign w:val="center"/>
          </w:tcPr>
          <w:p w14:paraId="072D8653">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纳税凭证和社保证明</w:t>
            </w:r>
          </w:p>
        </w:tc>
        <w:tc>
          <w:tcPr>
            <w:tcW w:w="1937" w:type="dxa"/>
            <w:vAlign w:val="center"/>
          </w:tcPr>
          <w:p w14:paraId="081DA1F2">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0ECCB122">
            <w:pPr>
              <w:adjustRightInd w:val="0"/>
              <w:snapToGrid w:val="0"/>
              <w:spacing w:line="360" w:lineRule="auto"/>
              <w:ind w:right="-10"/>
              <w:rPr>
                <w:rFonts w:ascii="宋体" w:hAnsi="宋体" w:cs="宋体"/>
                <w:color w:val="auto"/>
                <w:sz w:val="24"/>
                <w:highlight w:val="none"/>
              </w:rPr>
            </w:pPr>
          </w:p>
        </w:tc>
        <w:tc>
          <w:tcPr>
            <w:tcW w:w="2371" w:type="dxa"/>
            <w:vAlign w:val="center"/>
          </w:tcPr>
          <w:p w14:paraId="0861CEF1">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749F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774E94C5">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4</w:t>
            </w:r>
          </w:p>
        </w:tc>
        <w:tc>
          <w:tcPr>
            <w:tcW w:w="2665" w:type="dxa"/>
            <w:vAlign w:val="center"/>
          </w:tcPr>
          <w:p w14:paraId="25F4CD9F">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财务审计报告</w:t>
            </w:r>
          </w:p>
        </w:tc>
        <w:tc>
          <w:tcPr>
            <w:tcW w:w="1937" w:type="dxa"/>
            <w:vAlign w:val="center"/>
          </w:tcPr>
          <w:p w14:paraId="7E340EE8">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6C4AA6F3">
            <w:pPr>
              <w:adjustRightInd w:val="0"/>
              <w:snapToGrid w:val="0"/>
              <w:spacing w:line="360" w:lineRule="auto"/>
              <w:ind w:right="-10"/>
              <w:rPr>
                <w:rFonts w:ascii="宋体" w:hAnsi="宋体" w:cs="宋体"/>
                <w:color w:val="auto"/>
                <w:sz w:val="24"/>
                <w:highlight w:val="none"/>
              </w:rPr>
            </w:pPr>
          </w:p>
        </w:tc>
        <w:tc>
          <w:tcPr>
            <w:tcW w:w="2371" w:type="dxa"/>
            <w:vAlign w:val="center"/>
          </w:tcPr>
          <w:p w14:paraId="21584DD2">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6600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0134881A">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5</w:t>
            </w:r>
          </w:p>
        </w:tc>
        <w:tc>
          <w:tcPr>
            <w:tcW w:w="2665" w:type="dxa"/>
            <w:vAlign w:val="center"/>
          </w:tcPr>
          <w:p w14:paraId="5FEBAF69">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“信用中国”“中国政府采购网”查询</w:t>
            </w:r>
          </w:p>
        </w:tc>
        <w:tc>
          <w:tcPr>
            <w:tcW w:w="1937" w:type="dxa"/>
            <w:vAlign w:val="center"/>
          </w:tcPr>
          <w:p w14:paraId="7DEFD1B7">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0A1D91B0">
            <w:pPr>
              <w:adjustRightInd w:val="0"/>
              <w:snapToGrid w:val="0"/>
              <w:spacing w:line="360" w:lineRule="auto"/>
              <w:ind w:right="-10"/>
              <w:rPr>
                <w:rFonts w:ascii="宋体" w:hAnsi="宋体" w:cs="宋体"/>
                <w:color w:val="auto"/>
                <w:sz w:val="24"/>
                <w:highlight w:val="none"/>
              </w:rPr>
            </w:pPr>
          </w:p>
        </w:tc>
        <w:tc>
          <w:tcPr>
            <w:tcW w:w="2371" w:type="dxa"/>
            <w:vAlign w:val="center"/>
          </w:tcPr>
          <w:p w14:paraId="49AF609A">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7155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692312AB">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6</w:t>
            </w:r>
          </w:p>
        </w:tc>
        <w:tc>
          <w:tcPr>
            <w:tcW w:w="2665" w:type="dxa"/>
            <w:vAlign w:val="center"/>
          </w:tcPr>
          <w:p w14:paraId="50266596">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投标文件签字盖章格式</w:t>
            </w:r>
          </w:p>
        </w:tc>
        <w:tc>
          <w:tcPr>
            <w:tcW w:w="1937" w:type="dxa"/>
            <w:vAlign w:val="center"/>
          </w:tcPr>
          <w:p w14:paraId="3977836F">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4B948C2B">
            <w:pPr>
              <w:adjustRightInd w:val="0"/>
              <w:snapToGrid w:val="0"/>
              <w:spacing w:line="360" w:lineRule="auto"/>
              <w:ind w:right="-10"/>
              <w:rPr>
                <w:rFonts w:ascii="宋体" w:hAnsi="宋体" w:cs="宋体"/>
                <w:color w:val="auto"/>
                <w:sz w:val="24"/>
                <w:highlight w:val="none"/>
              </w:rPr>
            </w:pPr>
          </w:p>
        </w:tc>
        <w:tc>
          <w:tcPr>
            <w:tcW w:w="2371" w:type="dxa"/>
            <w:vAlign w:val="center"/>
          </w:tcPr>
          <w:p w14:paraId="6923F523">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7DF5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0057ACD4">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7</w:t>
            </w:r>
          </w:p>
        </w:tc>
        <w:tc>
          <w:tcPr>
            <w:tcW w:w="2665" w:type="dxa"/>
            <w:vAlign w:val="center"/>
          </w:tcPr>
          <w:p w14:paraId="2541F1BB">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合格供应商的声明函和承诺书</w:t>
            </w:r>
          </w:p>
        </w:tc>
        <w:tc>
          <w:tcPr>
            <w:tcW w:w="1937" w:type="dxa"/>
            <w:vAlign w:val="center"/>
          </w:tcPr>
          <w:p w14:paraId="6E9907C5">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077D3E26">
            <w:pPr>
              <w:adjustRightInd w:val="0"/>
              <w:snapToGrid w:val="0"/>
              <w:spacing w:line="360" w:lineRule="auto"/>
              <w:ind w:right="-10"/>
              <w:rPr>
                <w:rFonts w:ascii="宋体" w:hAnsi="宋体" w:cs="宋体"/>
                <w:color w:val="auto"/>
                <w:sz w:val="24"/>
                <w:highlight w:val="none"/>
              </w:rPr>
            </w:pPr>
          </w:p>
        </w:tc>
        <w:tc>
          <w:tcPr>
            <w:tcW w:w="2371" w:type="dxa"/>
            <w:vAlign w:val="center"/>
          </w:tcPr>
          <w:p w14:paraId="7FEFD39F">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6185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34EF3039">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8</w:t>
            </w:r>
          </w:p>
        </w:tc>
        <w:tc>
          <w:tcPr>
            <w:tcW w:w="2665" w:type="dxa"/>
            <w:vAlign w:val="center"/>
          </w:tcPr>
          <w:p w14:paraId="39A0553E">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lang w:val="en-US" w:eastAsia="zh-CN"/>
              </w:rPr>
              <w:t>服务</w:t>
            </w:r>
            <w:r>
              <w:rPr>
                <w:rFonts w:hint="eastAsia" w:ascii="宋体" w:hAnsi="宋体" w:cs="宋体"/>
                <w:bCs/>
                <w:color w:val="auto"/>
                <w:sz w:val="24"/>
                <w:highlight w:val="none"/>
              </w:rPr>
              <w:t>期</w:t>
            </w:r>
          </w:p>
        </w:tc>
        <w:tc>
          <w:tcPr>
            <w:tcW w:w="1937" w:type="dxa"/>
            <w:vAlign w:val="center"/>
          </w:tcPr>
          <w:p w14:paraId="05BB98ED">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18AC1BAC">
            <w:pPr>
              <w:adjustRightInd w:val="0"/>
              <w:snapToGrid w:val="0"/>
              <w:spacing w:line="360" w:lineRule="auto"/>
              <w:ind w:right="-10"/>
              <w:rPr>
                <w:rFonts w:ascii="宋体" w:hAnsi="宋体" w:cs="宋体"/>
                <w:color w:val="auto"/>
                <w:sz w:val="24"/>
                <w:highlight w:val="none"/>
              </w:rPr>
            </w:pPr>
          </w:p>
        </w:tc>
        <w:tc>
          <w:tcPr>
            <w:tcW w:w="2371" w:type="dxa"/>
            <w:vAlign w:val="center"/>
          </w:tcPr>
          <w:p w14:paraId="6DE7A2B7">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5FBA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0704DA86">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9</w:t>
            </w:r>
          </w:p>
        </w:tc>
        <w:tc>
          <w:tcPr>
            <w:tcW w:w="2665" w:type="dxa"/>
            <w:vAlign w:val="center"/>
          </w:tcPr>
          <w:p w14:paraId="729FFD70">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投标有效期</w:t>
            </w:r>
          </w:p>
        </w:tc>
        <w:tc>
          <w:tcPr>
            <w:tcW w:w="1937" w:type="dxa"/>
            <w:vAlign w:val="center"/>
          </w:tcPr>
          <w:p w14:paraId="61CE4B3A">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635AB1E4">
            <w:pPr>
              <w:adjustRightInd w:val="0"/>
              <w:snapToGrid w:val="0"/>
              <w:spacing w:line="360" w:lineRule="auto"/>
              <w:ind w:right="-10"/>
              <w:rPr>
                <w:rFonts w:ascii="宋体" w:hAnsi="宋体" w:cs="宋体"/>
                <w:color w:val="auto"/>
                <w:sz w:val="24"/>
                <w:highlight w:val="none"/>
              </w:rPr>
            </w:pPr>
          </w:p>
        </w:tc>
        <w:tc>
          <w:tcPr>
            <w:tcW w:w="2371" w:type="dxa"/>
            <w:vAlign w:val="center"/>
          </w:tcPr>
          <w:p w14:paraId="6DDC099E">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7479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6BAA51E2">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10</w:t>
            </w:r>
          </w:p>
        </w:tc>
        <w:tc>
          <w:tcPr>
            <w:tcW w:w="2665" w:type="dxa"/>
            <w:vAlign w:val="center"/>
          </w:tcPr>
          <w:p w14:paraId="75B33C79">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服务技术要求</w:t>
            </w:r>
          </w:p>
        </w:tc>
        <w:tc>
          <w:tcPr>
            <w:tcW w:w="1937" w:type="dxa"/>
            <w:vAlign w:val="center"/>
          </w:tcPr>
          <w:p w14:paraId="5FD73355">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3D8FF167">
            <w:pPr>
              <w:adjustRightInd w:val="0"/>
              <w:snapToGrid w:val="0"/>
              <w:spacing w:line="360" w:lineRule="auto"/>
              <w:ind w:right="-10"/>
              <w:rPr>
                <w:rFonts w:ascii="宋体" w:hAnsi="宋体" w:cs="宋体"/>
                <w:color w:val="auto"/>
                <w:sz w:val="24"/>
                <w:highlight w:val="none"/>
              </w:rPr>
            </w:pPr>
          </w:p>
        </w:tc>
        <w:tc>
          <w:tcPr>
            <w:tcW w:w="2371" w:type="dxa"/>
            <w:vAlign w:val="center"/>
          </w:tcPr>
          <w:p w14:paraId="77639C52">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1C18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0F7F8C62">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11</w:t>
            </w:r>
          </w:p>
        </w:tc>
        <w:tc>
          <w:tcPr>
            <w:tcW w:w="2665" w:type="dxa"/>
            <w:vAlign w:val="center"/>
          </w:tcPr>
          <w:p w14:paraId="566EDBCF">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其他实质性要求</w:t>
            </w:r>
          </w:p>
        </w:tc>
        <w:tc>
          <w:tcPr>
            <w:tcW w:w="1937" w:type="dxa"/>
            <w:vAlign w:val="center"/>
          </w:tcPr>
          <w:p w14:paraId="2A8B6170">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4F434655">
            <w:pPr>
              <w:adjustRightInd w:val="0"/>
              <w:snapToGrid w:val="0"/>
              <w:spacing w:line="360" w:lineRule="auto"/>
              <w:ind w:right="-10"/>
              <w:rPr>
                <w:rFonts w:ascii="宋体" w:hAnsi="宋体" w:cs="宋体"/>
                <w:color w:val="auto"/>
                <w:sz w:val="24"/>
                <w:highlight w:val="none"/>
              </w:rPr>
            </w:pPr>
          </w:p>
        </w:tc>
        <w:tc>
          <w:tcPr>
            <w:tcW w:w="2371" w:type="dxa"/>
            <w:vAlign w:val="center"/>
          </w:tcPr>
          <w:p w14:paraId="26330F98">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4C64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7BB51366">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12</w:t>
            </w:r>
          </w:p>
        </w:tc>
        <w:tc>
          <w:tcPr>
            <w:tcW w:w="2665" w:type="dxa"/>
            <w:vAlign w:val="center"/>
          </w:tcPr>
          <w:p w14:paraId="69FEF91D">
            <w:pPr>
              <w:spacing w:after="50" w:line="360" w:lineRule="auto"/>
              <w:ind w:right="-10"/>
              <w:jc w:val="center"/>
              <w:rPr>
                <w:rFonts w:ascii="宋体" w:hAnsi="宋体" w:cs="宋体"/>
                <w:bCs/>
                <w:color w:val="auto"/>
                <w:sz w:val="24"/>
                <w:highlight w:val="none"/>
              </w:rPr>
            </w:pPr>
          </w:p>
        </w:tc>
        <w:tc>
          <w:tcPr>
            <w:tcW w:w="1937" w:type="dxa"/>
            <w:vAlign w:val="center"/>
          </w:tcPr>
          <w:p w14:paraId="04EA81BD">
            <w:pPr>
              <w:spacing w:after="50" w:line="360" w:lineRule="auto"/>
              <w:ind w:right="-10"/>
              <w:jc w:val="center"/>
              <w:rPr>
                <w:rFonts w:ascii="宋体" w:hAnsi="宋体" w:cs="宋体"/>
                <w:color w:val="auto"/>
                <w:sz w:val="24"/>
                <w:highlight w:val="none"/>
              </w:rPr>
            </w:pPr>
          </w:p>
        </w:tc>
        <w:tc>
          <w:tcPr>
            <w:tcW w:w="825" w:type="dxa"/>
            <w:vAlign w:val="center"/>
          </w:tcPr>
          <w:p w14:paraId="616610B7">
            <w:pPr>
              <w:adjustRightInd w:val="0"/>
              <w:snapToGrid w:val="0"/>
              <w:spacing w:line="360" w:lineRule="auto"/>
              <w:ind w:right="-10"/>
              <w:rPr>
                <w:rFonts w:ascii="宋体" w:hAnsi="宋体" w:cs="宋体"/>
                <w:color w:val="auto"/>
                <w:sz w:val="24"/>
                <w:highlight w:val="none"/>
              </w:rPr>
            </w:pPr>
          </w:p>
        </w:tc>
        <w:tc>
          <w:tcPr>
            <w:tcW w:w="2371" w:type="dxa"/>
            <w:vAlign w:val="center"/>
          </w:tcPr>
          <w:p w14:paraId="48E95399">
            <w:pPr>
              <w:adjustRightInd w:val="0"/>
              <w:snapToGrid w:val="0"/>
              <w:spacing w:line="360" w:lineRule="auto"/>
              <w:ind w:right="-10"/>
              <w:jc w:val="center"/>
              <w:rPr>
                <w:rFonts w:ascii="宋体" w:hAnsi="宋体" w:cs="宋体"/>
                <w:color w:val="auto"/>
                <w:sz w:val="24"/>
                <w:highlight w:val="none"/>
              </w:rPr>
            </w:pPr>
          </w:p>
        </w:tc>
      </w:tr>
      <w:tr w14:paraId="0383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4AB636B9">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13</w:t>
            </w:r>
          </w:p>
        </w:tc>
        <w:tc>
          <w:tcPr>
            <w:tcW w:w="2665" w:type="dxa"/>
            <w:vAlign w:val="center"/>
          </w:tcPr>
          <w:p w14:paraId="4083600E">
            <w:pPr>
              <w:spacing w:after="50" w:line="360" w:lineRule="auto"/>
              <w:ind w:right="-10"/>
              <w:jc w:val="center"/>
              <w:rPr>
                <w:rFonts w:ascii="宋体" w:hAnsi="宋体" w:cs="宋体"/>
                <w:color w:val="auto"/>
                <w:sz w:val="24"/>
                <w:highlight w:val="none"/>
              </w:rPr>
            </w:pPr>
          </w:p>
        </w:tc>
        <w:tc>
          <w:tcPr>
            <w:tcW w:w="1937" w:type="dxa"/>
            <w:vAlign w:val="center"/>
          </w:tcPr>
          <w:p w14:paraId="40DD63B4">
            <w:pPr>
              <w:spacing w:after="50" w:line="360" w:lineRule="auto"/>
              <w:ind w:right="-10"/>
              <w:jc w:val="center"/>
              <w:rPr>
                <w:rFonts w:ascii="宋体" w:hAnsi="宋体" w:cs="宋体"/>
                <w:color w:val="auto"/>
                <w:sz w:val="24"/>
                <w:highlight w:val="none"/>
              </w:rPr>
            </w:pPr>
          </w:p>
        </w:tc>
        <w:tc>
          <w:tcPr>
            <w:tcW w:w="825" w:type="dxa"/>
            <w:vAlign w:val="center"/>
          </w:tcPr>
          <w:p w14:paraId="65CAB618">
            <w:pPr>
              <w:adjustRightInd w:val="0"/>
              <w:snapToGrid w:val="0"/>
              <w:spacing w:line="360" w:lineRule="auto"/>
              <w:ind w:right="-10"/>
              <w:rPr>
                <w:rFonts w:ascii="宋体" w:hAnsi="宋体" w:cs="宋体"/>
                <w:color w:val="auto"/>
                <w:sz w:val="24"/>
                <w:highlight w:val="none"/>
              </w:rPr>
            </w:pPr>
          </w:p>
        </w:tc>
        <w:tc>
          <w:tcPr>
            <w:tcW w:w="2371" w:type="dxa"/>
            <w:vAlign w:val="center"/>
          </w:tcPr>
          <w:p w14:paraId="33EDFED7">
            <w:pPr>
              <w:adjustRightInd w:val="0"/>
              <w:snapToGrid w:val="0"/>
              <w:spacing w:line="360" w:lineRule="auto"/>
              <w:ind w:right="-10"/>
              <w:jc w:val="center"/>
              <w:rPr>
                <w:rFonts w:ascii="宋体" w:hAnsi="宋体" w:cs="宋体"/>
                <w:color w:val="auto"/>
                <w:sz w:val="24"/>
                <w:highlight w:val="none"/>
              </w:rPr>
            </w:pPr>
          </w:p>
        </w:tc>
      </w:tr>
      <w:tr w14:paraId="4ED4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7DFDF282">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14</w:t>
            </w:r>
          </w:p>
        </w:tc>
        <w:tc>
          <w:tcPr>
            <w:tcW w:w="2665" w:type="dxa"/>
            <w:vAlign w:val="center"/>
          </w:tcPr>
          <w:p w14:paraId="58200CEC">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结论</w:t>
            </w:r>
          </w:p>
        </w:tc>
        <w:tc>
          <w:tcPr>
            <w:tcW w:w="5133" w:type="dxa"/>
            <w:gridSpan w:val="3"/>
            <w:vAlign w:val="center"/>
          </w:tcPr>
          <w:p w14:paraId="302738DE">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是否通过审查</w:t>
            </w:r>
          </w:p>
        </w:tc>
      </w:tr>
    </w:tbl>
    <w:p w14:paraId="661B6C6B">
      <w:pPr>
        <w:pStyle w:val="45"/>
        <w:rPr>
          <w:rFonts w:ascii="宋体" w:hAnsi="宋体" w:cs="宋体"/>
          <w:color w:val="auto"/>
          <w:sz w:val="24"/>
          <w:szCs w:val="24"/>
          <w:highlight w:val="none"/>
        </w:rPr>
      </w:pPr>
    </w:p>
    <w:p w14:paraId="7C018746">
      <w:pPr>
        <w:pStyle w:val="45"/>
        <w:rPr>
          <w:rFonts w:ascii="宋体" w:hAnsi="宋体" w:cs="宋体"/>
          <w:color w:val="auto"/>
          <w:sz w:val="24"/>
          <w:szCs w:val="24"/>
          <w:highlight w:val="none"/>
        </w:rPr>
      </w:pPr>
    </w:p>
    <w:p w14:paraId="52CCB63F">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20.响应性文件的澄清</w:t>
      </w:r>
    </w:p>
    <w:p w14:paraId="463C4BE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30EE16E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5BD1594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20.3供应商拒不进行澄清、说明、补正的，或者不能在竞争性磋商小组规定时间内作出书面澄清、说明、补正的，其响应性文件将被作为无效处理。</w:t>
      </w:r>
    </w:p>
    <w:p w14:paraId="5E142A8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20.4供应商的书面澄清材料作为响应性文件的补充。 </w:t>
      </w:r>
    </w:p>
    <w:p w14:paraId="19B74F2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20.5竞争性磋商小组不得接受供应商主动提出的澄清和解释。 </w:t>
      </w:r>
    </w:p>
    <w:p w14:paraId="0B75944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20.6并非每个供应商都将被询问、澄清。</w:t>
      </w:r>
    </w:p>
    <w:p w14:paraId="69B08CFC">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21.竞争性磋商</w:t>
      </w:r>
    </w:p>
    <w:p w14:paraId="2531147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21.1资格性审查和符合性审查合格的供应商，将进入本次竞争性磋商程序。</w:t>
      </w:r>
    </w:p>
    <w:p w14:paraId="7EE2A40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21.2竞争性磋商将按照供应商的签到顺序进行。</w:t>
      </w:r>
    </w:p>
    <w:p w14:paraId="1A4D4EA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21.3磋商内容包括：</w:t>
      </w:r>
    </w:p>
    <w:p w14:paraId="1C8CE55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21.3.1按照竞争性磋商文件中商务部分的内容，对照供应商提交的响应文件逐一进行比较各项指标和要求。</w:t>
      </w:r>
    </w:p>
    <w:p w14:paraId="6762E89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21.3.2按照竞争性磋商文件中技术部分的内容，对照供应商提交的响应文件逐一进行比较各项指标和要求。</w:t>
      </w:r>
    </w:p>
    <w:p w14:paraId="0AD4818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21.3.3按照竞争性磋商文件中合同条款部分的内容，对照供应商提交的响应文件逐一进行比较各项指标和要求。</w:t>
      </w:r>
    </w:p>
    <w:p w14:paraId="35A7E9C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21.3.4在磋商中，磋商的任何一方不得透露与磋商有关的其他供应商的技术资料及其他信息。</w:t>
      </w:r>
    </w:p>
    <w:p w14:paraId="7541C36C">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21.4</w:t>
      </w:r>
      <w:r>
        <w:rPr>
          <w:rFonts w:hint="eastAsia" w:ascii="宋体" w:hAnsi="宋体" w:cs="宋体"/>
          <w:color w:val="auto"/>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3F6279B1">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21.4.1</w:t>
      </w:r>
      <w:r>
        <w:rPr>
          <w:rFonts w:hint="eastAsia" w:ascii="宋体" w:hAnsi="宋体" w:cs="宋体"/>
          <w:color w:val="auto"/>
          <w:sz w:val="24"/>
          <w:highlight w:val="none"/>
          <w:lang w:val="zh-CN"/>
        </w:rPr>
        <w:t>对竞争性磋商文件作出实质性变动是竞争性磋商文件的有效组成部分，竞争性磋商小组应当及时以书面形式同时通知所有参加竞争性磋商的供应商。</w:t>
      </w:r>
    </w:p>
    <w:p w14:paraId="47193EF3">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21.4.2供应商应当按照竞争性磋商文件的变动情况和竞争性磋商小组的要求重新提交响应性文件，并由其法定代表人或授权代表签字或者加盖公章。</w:t>
      </w:r>
    </w:p>
    <w:p w14:paraId="7F17B547">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21.5报价</w:t>
      </w:r>
    </w:p>
    <w:p w14:paraId="0A99AEB3">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一次报价依据</w:t>
      </w:r>
      <w:r>
        <w:rPr>
          <w:rFonts w:hint="eastAsia" w:ascii="宋体" w:hAnsi="宋体" w:eastAsia="宋体" w:cs="宋体"/>
          <w:color w:val="auto"/>
          <w:sz w:val="24"/>
          <w:highlight w:val="none"/>
          <w:lang w:val="en-US" w:eastAsia="zh-CN"/>
        </w:rPr>
        <w:t>是</w:t>
      </w:r>
      <w:r>
        <w:rPr>
          <w:rFonts w:hint="eastAsia" w:ascii="宋体" w:hAnsi="宋体" w:eastAsia="宋体" w:cs="宋体"/>
          <w:color w:val="auto"/>
          <w:sz w:val="24"/>
          <w:highlight w:val="none"/>
          <w:lang w:val="zh-CN"/>
        </w:rPr>
        <w:t>供应商的投标函和开标记。</w:t>
      </w:r>
    </w:p>
    <w:p w14:paraId="6BA1CFBC">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如有多次报价，</w:t>
      </w:r>
      <w:r>
        <w:rPr>
          <w:rFonts w:hint="eastAsia" w:ascii="宋体" w:hAnsi="宋体" w:eastAsia="宋体" w:cs="宋体"/>
          <w:color w:val="auto"/>
          <w:sz w:val="24"/>
          <w:highlight w:val="none"/>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eastAsia="宋体" w:cs="宋体"/>
          <w:color w:val="auto"/>
          <w:sz w:val="24"/>
          <w:highlight w:val="none"/>
          <w:lang w:val="en-US" w:eastAsia="zh-CN"/>
        </w:rPr>
        <w:t>报价次数见供应商须知前附表。</w:t>
      </w:r>
    </w:p>
    <w:p w14:paraId="6A149903">
      <w:pPr>
        <w:spacing w:line="560" w:lineRule="exact"/>
        <w:ind w:firstLine="480" w:firstLineChars="200"/>
        <w:rPr>
          <w:rFonts w:hint="default" w:eastAsia="宋体"/>
          <w:color w:val="auto"/>
          <w:sz w:val="24"/>
          <w:highlight w:val="none"/>
          <w:lang w:val="en-US" w:eastAsia="zh-CN"/>
        </w:rPr>
      </w:pPr>
      <w:r>
        <w:rPr>
          <w:rFonts w:hint="eastAsia" w:ascii="宋体" w:hAnsi="宋体" w:eastAsia="宋体" w:cs="宋体"/>
          <w:color w:val="auto"/>
          <w:sz w:val="24"/>
          <w:highlight w:val="none"/>
          <w:lang w:val="en-US" w:eastAsia="zh-CN"/>
        </w:rPr>
        <w:t>开标后请供应商在计算前等待报价，网上报价</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见周口市公共资源交易中心</w:t>
      </w:r>
      <w:r>
        <w:rPr>
          <w:rFonts w:hint="eastAsia" w:ascii="宋体" w:hAnsi="宋体" w:eastAsia="宋体" w:cs="宋体"/>
          <w:color w:val="auto"/>
          <w:sz w:val="24"/>
          <w:highlight w:val="none"/>
          <w:lang w:val="en-US" w:eastAsia="zh-CN"/>
        </w:rPr>
        <w:t>网站下载中心版块</w:t>
      </w:r>
      <w:r>
        <w:rPr>
          <w:rFonts w:hint="eastAsia" w:ascii="宋体" w:hAnsi="宋体" w:eastAsia="宋体" w:cs="宋体"/>
          <w:color w:val="auto"/>
          <w:sz w:val="24"/>
          <w:highlight w:val="none"/>
          <w:lang w:val="zh-CN"/>
        </w:rPr>
        <w:t>《投标</w:t>
      </w:r>
      <w:r>
        <w:rPr>
          <w:rFonts w:hint="eastAsia" w:ascii="宋体" w:hAnsi="宋体" w:eastAsia="宋体" w:cs="宋体"/>
          <w:color w:val="auto"/>
          <w:sz w:val="24"/>
          <w:highlight w:val="none"/>
        </w:rPr>
        <w:t>单位-电子投标文件视频制作手册》</w:t>
      </w:r>
      <w:r>
        <w:rPr>
          <w:rFonts w:hint="eastAsia" w:cs="宋体"/>
          <w:color w:val="auto"/>
          <w:sz w:val="24"/>
          <w:highlight w:val="none"/>
          <w:lang w:val="en-US" w:eastAsia="zh-CN"/>
        </w:rPr>
        <w:t>中的《周口市公共资源交易系统政府采购供应商操作手册》相关规定。</w:t>
      </w:r>
    </w:p>
    <w:p w14:paraId="34E163A4">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六、评定标准</w:t>
      </w:r>
    </w:p>
    <w:p w14:paraId="5B2B69C7">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22.竞争性磋商过程及保密原则</w:t>
      </w:r>
    </w:p>
    <w:p w14:paraId="65F64F6B">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14:paraId="21C10372">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采购代理机构在评标结束后</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个工作日内将评标报告送采购人。采购人自收到评标报告之日起５个工作日内，在评标报告确定的中标候选人名单中确定中标人。</w:t>
      </w:r>
    </w:p>
    <w:p w14:paraId="7F1644C4">
      <w:pPr>
        <w:pStyle w:val="16"/>
        <w:spacing w:after="0" w:line="560" w:lineRule="exact"/>
        <w:ind w:left="0" w:leftChars="0" w:firstLine="480" w:firstLineChars="200"/>
        <w:rPr>
          <w:rFonts w:ascii="宋体" w:hAnsi="宋体" w:cs="宋体"/>
          <w:bCs/>
          <w:color w:val="auto"/>
          <w:sz w:val="24"/>
          <w:highlight w:val="none"/>
        </w:rPr>
      </w:pPr>
      <w:r>
        <w:rPr>
          <w:rFonts w:hint="eastAsia" w:ascii="宋体" w:hAnsi="宋体" w:cs="宋体"/>
          <w:bCs/>
          <w:color w:val="auto"/>
          <w:sz w:val="24"/>
          <w:highlight w:val="none"/>
        </w:rPr>
        <w:t>22.2对通过初步审查的响应文件，采用百分制综合评分法进行评价。</w:t>
      </w:r>
    </w:p>
    <w:p w14:paraId="67F602A1">
      <w:pPr>
        <w:spacing w:line="360" w:lineRule="auto"/>
        <w:ind w:right="-92" w:rightChars="-44"/>
        <w:rPr>
          <w:rFonts w:ascii="宋体" w:hAnsi="宋体" w:cs="宋体"/>
          <w:color w:val="auto"/>
          <w:sz w:val="24"/>
          <w:highlight w:val="none"/>
        </w:rPr>
      </w:pPr>
      <w:r>
        <w:rPr>
          <w:rFonts w:hint="eastAsia" w:ascii="宋体" w:hAnsi="宋体" w:cs="宋体"/>
          <w:color w:val="auto"/>
          <w:sz w:val="24"/>
          <w:highlight w:val="none"/>
        </w:rPr>
        <w:t>评标方法：</w:t>
      </w:r>
    </w:p>
    <w:tbl>
      <w:tblPr>
        <w:tblStyle w:val="27"/>
        <w:tblW w:w="9458" w:type="dxa"/>
        <w:jc w:val="center"/>
        <w:tblLayout w:type="fixed"/>
        <w:tblCellMar>
          <w:top w:w="0" w:type="dxa"/>
          <w:left w:w="108" w:type="dxa"/>
          <w:bottom w:w="0" w:type="dxa"/>
          <w:right w:w="108" w:type="dxa"/>
        </w:tblCellMar>
      </w:tblPr>
      <w:tblGrid>
        <w:gridCol w:w="1391"/>
        <w:gridCol w:w="1693"/>
        <w:gridCol w:w="6374"/>
      </w:tblGrid>
      <w:tr w14:paraId="5BDEEF1E">
        <w:tblPrEx>
          <w:tblCellMar>
            <w:top w:w="0" w:type="dxa"/>
            <w:left w:w="108" w:type="dxa"/>
            <w:bottom w:w="0" w:type="dxa"/>
            <w:right w:w="108" w:type="dxa"/>
          </w:tblCellMar>
        </w:tblPrEx>
        <w:trPr>
          <w:trHeight w:val="607" w:hRule="atLeast"/>
          <w:jc w:val="center"/>
        </w:trPr>
        <w:tc>
          <w:tcPr>
            <w:tcW w:w="1391" w:type="dxa"/>
            <w:tcBorders>
              <w:top w:val="single" w:color="auto" w:sz="4" w:space="0"/>
              <w:left w:val="single" w:color="auto" w:sz="4" w:space="0"/>
              <w:bottom w:val="single" w:color="auto" w:sz="4" w:space="0"/>
              <w:right w:val="single" w:color="auto" w:sz="4" w:space="0"/>
            </w:tcBorders>
            <w:noWrap w:val="0"/>
            <w:vAlign w:val="center"/>
          </w:tcPr>
          <w:p w14:paraId="6F4F9C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评分指标</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2AD88D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374" w:type="dxa"/>
            <w:tcBorders>
              <w:top w:val="single" w:color="auto" w:sz="4" w:space="0"/>
              <w:left w:val="single" w:color="auto" w:sz="4" w:space="0"/>
              <w:bottom w:val="single" w:color="auto" w:sz="4" w:space="0"/>
              <w:right w:val="single" w:color="auto" w:sz="4" w:space="0"/>
            </w:tcBorders>
            <w:noWrap w:val="0"/>
            <w:vAlign w:val="center"/>
          </w:tcPr>
          <w:p w14:paraId="5E3B26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评分依据</w:t>
            </w:r>
          </w:p>
        </w:tc>
      </w:tr>
      <w:tr w14:paraId="33D8F03B">
        <w:tblPrEx>
          <w:tblCellMar>
            <w:top w:w="0" w:type="dxa"/>
            <w:left w:w="108" w:type="dxa"/>
            <w:bottom w:w="0" w:type="dxa"/>
            <w:right w:w="108" w:type="dxa"/>
          </w:tblCellMar>
        </w:tblPrEx>
        <w:trPr>
          <w:trHeight w:val="90" w:hRule="atLeast"/>
          <w:jc w:val="center"/>
        </w:trPr>
        <w:tc>
          <w:tcPr>
            <w:tcW w:w="1391" w:type="dxa"/>
            <w:tcBorders>
              <w:top w:val="single" w:color="auto" w:sz="4" w:space="0"/>
              <w:left w:val="single" w:color="auto" w:sz="4" w:space="0"/>
              <w:bottom w:val="single" w:color="auto" w:sz="4" w:space="0"/>
              <w:right w:val="single" w:color="auto" w:sz="4" w:space="0"/>
            </w:tcBorders>
            <w:noWrap w:val="0"/>
            <w:vAlign w:val="center"/>
          </w:tcPr>
          <w:p w14:paraId="085BBB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0分）</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435DF5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0分）</w:t>
            </w:r>
          </w:p>
        </w:tc>
        <w:tc>
          <w:tcPr>
            <w:tcW w:w="6374" w:type="dxa"/>
            <w:tcBorders>
              <w:top w:val="single" w:color="auto" w:sz="4" w:space="0"/>
              <w:left w:val="single" w:color="auto" w:sz="4" w:space="0"/>
              <w:bottom w:val="single" w:color="auto" w:sz="4" w:space="0"/>
              <w:right w:val="single" w:color="auto" w:sz="4" w:space="0"/>
            </w:tcBorders>
            <w:noWrap w:val="0"/>
            <w:vAlign w:val="center"/>
          </w:tcPr>
          <w:p w14:paraId="1F2220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满足磋商文件要求且最后报价最低的供应商的价格为磋商基准价，其价格分为满分。其他供应商的价格分统一按照下列公式计算：</w:t>
            </w:r>
          </w:p>
          <w:p w14:paraId="4E66FE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磋商报价得分=（磋商基准价/最后磋商报价）×价格权值×10</w:t>
            </w:r>
          </w:p>
          <w:p w14:paraId="0CBBEA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备注：价格分计算保留小数点后二位。</w:t>
            </w:r>
          </w:p>
          <w:p w14:paraId="644A4C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根据财政部、工信部关于印发《政府采购促进中小企业发展管理办法》的通知（财库〔2020〕46号）文件规定：</w:t>
            </w:r>
          </w:p>
          <w:p w14:paraId="192CA1C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（1）对小微企业报价给予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%扣除，请按照《政府采购促进中小企业发展管理办法》要求提供中小企业声明函。</w:t>
            </w:r>
          </w:p>
          <w:p w14:paraId="1E46C9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（2）关于监狱企业：视同小微企业。须提供由省级以上监狱管理局、戒毒管理局（含新疆生产建设兵团）出具的属于监狱企业的证明文件，否则不考虑价格扣除。</w:t>
            </w:r>
          </w:p>
          <w:p w14:paraId="79A176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（3）关于残疾人福利性单位：视同小微企业。须提供完整的“残疾人福利性单位声明函”，否则在价格评审时不予考虑价格扣除。残疾人福利性单位属于小型、微型企业的，不重复享受政策。</w:t>
            </w:r>
          </w:p>
          <w:p w14:paraId="7BCCC2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（4）没有提供有效证明材料的供应商将被视为不接受投标总价的扣除，用原投标总价参与评审。</w:t>
            </w:r>
          </w:p>
        </w:tc>
      </w:tr>
      <w:tr w14:paraId="761FE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5" w:hRule="atLeast"/>
          <w:jc w:val="center"/>
        </w:trPr>
        <w:tc>
          <w:tcPr>
            <w:tcW w:w="1391" w:type="dxa"/>
            <w:vMerge w:val="restart"/>
            <w:tcBorders>
              <w:top w:val="single" w:color="000000" w:sz="6" w:space="0"/>
              <w:left w:val="single" w:color="000000" w:sz="6" w:space="0"/>
              <w:bottom w:val="single" w:color="000000" w:sz="6" w:space="0"/>
              <w:right w:val="single" w:color="000000" w:sz="6" w:space="0"/>
            </w:tcBorders>
            <w:noWrap w:val="0"/>
            <w:vAlign w:val="center"/>
          </w:tcPr>
          <w:p w14:paraId="7AF742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0分）</w:t>
            </w:r>
          </w:p>
        </w:tc>
        <w:tc>
          <w:tcPr>
            <w:tcW w:w="1693" w:type="dxa"/>
            <w:tcBorders>
              <w:top w:val="single" w:color="000000" w:sz="6" w:space="0"/>
              <w:left w:val="single" w:color="000000" w:sz="6" w:space="0"/>
              <w:bottom w:val="single" w:color="000000" w:sz="6" w:space="0"/>
              <w:right w:val="single" w:color="auto" w:sz="4" w:space="0"/>
            </w:tcBorders>
            <w:noWrap w:val="0"/>
            <w:vAlign w:val="center"/>
          </w:tcPr>
          <w:p w14:paraId="44F106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机构设置与管理制度（</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374" w:type="dxa"/>
            <w:tcBorders>
              <w:top w:val="single" w:color="000000" w:sz="6" w:space="0"/>
              <w:left w:val="single" w:color="auto" w:sz="4" w:space="0"/>
              <w:bottom w:val="single" w:color="000000" w:sz="6" w:space="0"/>
              <w:right w:val="single" w:color="000000" w:sz="6" w:space="0"/>
            </w:tcBorders>
            <w:noWrap w:val="0"/>
            <w:vAlign w:val="center"/>
          </w:tcPr>
          <w:p w14:paraId="047D37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投标人提供企业机构设置、健全的质量控制及管理制度的得8分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不提供不得分。</w:t>
            </w:r>
          </w:p>
        </w:tc>
      </w:tr>
      <w:tr w14:paraId="2C6B8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7" w:hRule="atLeast"/>
          <w:jc w:val="center"/>
        </w:trPr>
        <w:tc>
          <w:tcPr>
            <w:tcW w:w="1391" w:type="dxa"/>
            <w:vMerge w:val="continue"/>
            <w:tcBorders>
              <w:top w:val="single" w:color="000000" w:sz="6" w:space="0"/>
              <w:left w:val="single" w:color="000000" w:sz="6" w:space="0"/>
              <w:bottom w:val="single" w:color="000000" w:sz="6" w:space="0"/>
              <w:right w:val="single" w:color="000000" w:sz="6" w:space="0"/>
            </w:tcBorders>
            <w:noWrap w:val="0"/>
            <w:vAlign w:val="top"/>
          </w:tcPr>
          <w:p w14:paraId="387C6D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693" w:type="dxa"/>
            <w:tcBorders>
              <w:top w:val="single" w:color="000000" w:sz="6" w:space="0"/>
              <w:left w:val="single" w:color="000000" w:sz="6" w:space="0"/>
              <w:bottom w:val="single" w:color="000000" w:sz="6" w:space="0"/>
              <w:right w:val="single" w:color="auto" w:sz="4" w:space="0"/>
            </w:tcBorders>
            <w:noWrap w:val="0"/>
            <w:vAlign w:val="center"/>
          </w:tcPr>
          <w:p w14:paraId="36B04D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质量管理体系与措施（</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374" w:type="dxa"/>
            <w:tcBorders>
              <w:top w:val="single" w:color="000000" w:sz="6" w:space="0"/>
              <w:left w:val="single" w:color="auto" w:sz="4" w:space="0"/>
              <w:bottom w:val="single" w:color="000000" w:sz="6" w:space="0"/>
              <w:right w:val="single" w:color="000000" w:sz="6" w:space="0"/>
            </w:tcBorders>
            <w:noWrap w:val="0"/>
            <w:vAlign w:val="center"/>
          </w:tcPr>
          <w:p w14:paraId="394DD2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投标人提供工作规程和质量控制措施及执行情况、质量控制措施、内部流转程序的得8分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不提供不得分。</w:t>
            </w:r>
          </w:p>
        </w:tc>
      </w:tr>
      <w:tr w14:paraId="6E668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5" w:hRule="atLeast"/>
          <w:jc w:val="center"/>
        </w:trPr>
        <w:tc>
          <w:tcPr>
            <w:tcW w:w="1391" w:type="dxa"/>
            <w:vMerge w:val="continue"/>
            <w:tcBorders>
              <w:top w:val="single" w:color="000000" w:sz="6" w:space="0"/>
              <w:left w:val="single" w:color="000000" w:sz="6" w:space="0"/>
              <w:bottom w:val="single" w:color="000000" w:sz="6" w:space="0"/>
              <w:right w:val="single" w:color="000000" w:sz="6" w:space="0"/>
            </w:tcBorders>
            <w:noWrap w:val="0"/>
            <w:vAlign w:val="top"/>
          </w:tcPr>
          <w:p w14:paraId="559CDF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693" w:type="dxa"/>
            <w:tcBorders>
              <w:top w:val="single" w:color="000000" w:sz="6" w:space="0"/>
              <w:left w:val="single" w:color="000000" w:sz="6" w:space="0"/>
              <w:bottom w:val="single" w:color="000000" w:sz="6" w:space="0"/>
              <w:right w:val="single" w:color="auto" w:sz="4" w:space="0"/>
            </w:tcBorders>
            <w:noWrap w:val="0"/>
            <w:vAlign w:val="center"/>
          </w:tcPr>
          <w:p w14:paraId="212C44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进度管理体系与措施（</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374" w:type="dxa"/>
            <w:tcBorders>
              <w:top w:val="single" w:color="000000" w:sz="6" w:space="0"/>
              <w:left w:val="single" w:color="auto" w:sz="4" w:space="0"/>
              <w:bottom w:val="single" w:color="000000" w:sz="6" w:space="0"/>
              <w:right w:val="single" w:color="000000" w:sz="6" w:space="0"/>
            </w:tcBorders>
            <w:noWrap w:val="0"/>
            <w:vAlign w:val="center"/>
          </w:tcPr>
          <w:p w14:paraId="757D38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投标人提供工作进度安排、成果提交计划的得8分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不提供不得分。</w:t>
            </w:r>
          </w:p>
        </w:tc>
      </w:tr>
      <w:tr w14:paraId="13457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5" w:hRule="atLeast"/>
          <w:jc w:val="center"/>
        </w:trPr>
        <w:tc>
          <w:tcPr>
            <w:tcW w:w="1391" w:type="dxa"/>
            <w:vMerge w:val="continue"/>
            <w:tcBorders>
              <w:top w:val="single" w:color="000000" w:sz="6" w:space="0"/>
              <w:left w:val="single" w:color="000000" w:sz="6" w:space="0"/>
              <w:bottom w:val="single" w:color="000000" w:sz="6" w:space="0"/>
              <w:right w:val="single" w:color="000000" w:sz="6" w:space="0"/>
            </w:tcBorders>
            <w:noWrap w:val="0"/>
            <w:vAlign w:val="top"/>
          </w:tcPr>
          <w:p w14:paraId="2C4083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693" w:type="dxa"/>
            <w:tcBorders>
              <w:top w:val="single" w:color="000000" w:sz="6" w:space="0"/>
              <w:left w:val="single" w:color="000000" w:sz="6" w:space="0"/>
              <w:bottom w:val="single" w:color="000000" w:sz="6" w:space="0"/>
              <w:right w:val="single" w:color="auto" w:sz="4" w:space="0"/>
            </w:tcBorders>
            <w:noWrap w:val="0"/>
            <w:vAlign w:val="center"/>
          </w:tcPr>
          <w:p w14:paraId="252B14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工作流程及运作机制（</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374" w:type="dxa"/>
            <w:tcBorders>
              <w:top w:val="single" w:color="000000" w:sz="6" w:space="0"/>
              <w:left w:val="single" w:color="auto" w:sz="4" w:space="0"/>
              <w:bottom w:val="single" w:color="000000" w:sz="6" w:space="0"/>
              <w:right w:val="single" w:color="000000" w:sz="6" w:space="0"/>
            </w:tcBorders>
            <w:noWrap w:val="0"/>
            <w:vAlign w:val="center"/>
          </w:tcPr>
          <w:p w14:paraId="51F1CA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投标人提供有工作流程和内部运作机制、工作流程的得8分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不提供不得分。</w:t>
            </w:r>
          </w:p>
        </w:tc>
      </w:tr>
      <w:tr w14:paraId="21BDC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6" w:hRule="atLeast"/>
          <w:jc w:val="center"/>
        </w:trPr>
        <w:tc>
          <w:tcPr>
            <w:tcW w:w="1391" w:type="dxa"/>
            <w:vMerge w:val="continue"/>
            <w:tcBorders>
              <w:top w:val="single" w:color="000000" w:sz="6" w:space="0"/>
              <w:left w:val="single" w:color="000000" w:sz="6" w:space="0"/>
              <w:bottom w:val="single" w:color="000000" w:sz="6" w:space="0"/>
              <w:right w:val="single" w:color="000000" w:sz="6" w:space="0"/>
            </w:tcBorders>
            <w:noWrap w:val="0"/>
            <w:vAlign w:val="top"/>
          </w:tcPr>
          <w:p w14:paraId="29610E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693" w:type="dxa"/>
            <w:tcBorders>
              <w:top w:val="single" w:color="000000" w:sz="6" w:space="0"/>
              <w:left w:val="single" w:color="000000" w:sz="6" w:space="0"/>
              <w:bottom w:val="single" w:color="000000" w:sz="6" w:space="0"/>
              <w:right w:val="single" w:color="auto" w:sz="4" w:space="0"/>
            </w:tcBorders>
            <w:noWrap w:val="0"/>
            <w:vAlign w:val="center"/>
          </w:tcPr>
          <w:p w14:paraId="56A5DE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项目档案管理措施与方法（</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374" w:type="dxa"/>
            <w:tcBorders>
              <w:top w:val="single" w:color="000000" w:sz="6" w:space="0"/>
              <w:left w:val="single" w:color="auto" w:sz="4" w:space="0"/>
              <w:bottom w:val="single" w:color="000000" w:sz="6" w:space="0"/>
              <w:right w:val="single" w:color="000000" w:sz="6" w:space="0"/>
            </w:tcBorders>
            <w:noWrap w:val="0"/>
            <w:vAlign w:val="center"/>
          </w:tcPr>
          <w:p w14:paraId="7E15D3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投标人提供有档案管理措施与管理办法的得8分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不提供不得分。</w:t>
            </w:r>
          </w:p>
        </w:tc>
      </w:tr>
      <w:tr w14:paraId="3FCAC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1391" w:type="dxa"/>
            <w:vMerge w:val="continue"/>
            <w:tcBorders>
              <w:top w:val="single" w:color="000000" w:sz="6" w:space="0"/>
              <w:left w:val="single" w:color="000000" w:sz="6" w:space="0"/>
              <w:bottom w:val="single" w:color="000000" w:sz="6" w:space="0"/>
              <w:right w:val="single" w:color="000000" w:sz="6" w:space="0"/>
            </w:tcBorders>
            <w:noWrap w:val="0"/>
            <w:vAlign w:val="top"/>
          </w:tcPr>
          <w:p w14:paraId="4A5ECD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693" w:type="dxa"/>
            <w:tcBorders>
              <w:top w:val="single" w:color="000000" w:sz="6" w:space="0"/>
              <w:left w:val="single" w:color="000000" w:sz="6" w:space="0"/>
              <w:bottom w:val="single" w:color="000000" w:sz="6" w:space="0"/>
              <w:right w:val="single" w:color="auto" w:sz="4" w:space="0"/>
            </w:tcBorders>
            <w:noWrap w:val="0"/>
            <w:vAlign w:val="center"/>
          </w:tcPr>
          <w:p w14:paraId="36288A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w:t>
            </w:r>
          </w:p>
          <w:p w14:paraId="797A56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374" w:type="dxa"/>
            <w:tcBorders>
              <w:top w:val="single" w:color="000000" w:sz="6" w:space="0"/>
              <w:left w:val="single" w:color="auto" w:sz="4" w:space="0"/>
              <w:bottom w:val="single" w:color="000000" w:sz="6" w:space="0"/>
              <w:right w:val="single" w:color="000000" w:sz="6" w:space="0"/>
            </w:tcBorders>
            <w:noWrap w:val="0"/>
            <w:vAlign w:val="center"/>
          </w:tcPr>
          <w:p w14:paraId="3D479B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投标人提供有服务方案的得10分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不提供不得分。</w:t>
            </w:r>
          </w:p>
        </w:tc>
      </w:tr>
      <w:tr w14:paraId="5E4E5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jc w:val="center"/>
        </w:trPr>
        <w:tc>
          <w:tcPr>
            <w:tcW w:w="1391" w:type="dxa"/>
            <w:vMerge w:val="restart"/>
            <w:tcBorders>
              <w:top w:val="single" w:color="000000" w:sz="6" w:space="0"/>
              <w:left w:val="single" w:color="000000" w:sz="6" w:space="0"/>
              <w:right w:val="single" w:color="000000" w:sz="6" w:space="0"/>
            </w:tcBorders>
            <w:noWrap w:val="0"/>
            <w:vAlign w:val="center"/>
          </w:tcPr>
          <w:p w14:paraId="6B6724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综合部分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1693" w:type="dxa"/>
            <w:tcBorders>
              <w:top w:val="single" w:color="000000" w:sz="6" w:space="0"/>
              <w:left w:val="single" w:color="000000" w:sz="6" w:space="0"/>
              <w:bottom w:val="single" w:color="auto" w:sz="4" w:space="0"/>
              <w:right w:val="single" w:color="auto" w:sz="4" w:space="0"/>
            </w:tcBorders>
            <w:noWrap w:val="0"/>
            <w:vAlign w:val="center"/>
          </w:tcPr>
          <w:p w14:paraId="0DD234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rPr>
              <w:t>拟派人员情况（</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6374" w:type="dxa"/>
            <w:tcBorders>
              <w:top w:val="single" w:color="000000" w:sz="6" w:space="0"/>
              <w:left w:val="single" w:color="auto" w:sz="4" w:space="0"/>
              <w:bottom w:val="single" w:color="auto" w:sz="4" w:space="0"/>
              <w:right w:val="single" w:color="000000" w:sz="6" w:space="0"/>
            </w:tcBorders>
            <w:noWrap w:val="0"/>
            <w:vAlign w:val="center"/>
          </w:tcPr>
          <w:p w14:paraId="3B8F22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1、设计负责人(5分):具备工程建设类高级职称得5分。</w:t>
            </w:r>
          </w:p>
          <w:p w14:paraId="4F7C42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2.设计团队其他人员(不含设计负责人)(满分25分):</w:t>
            </w:r>
          </w:p>
          <w:p w14:paraId="1DB2F3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(1)建筑专业负责人:同时具有一级注册建筑师得3分、具有工程建设类高级及以上职称得2分，具有工程建设类中级职称得1分，没有不得分，本项满分5分;</w:t>
            </w:r>
          </w:p>
          <w:p w14:paraId="47F090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(2)结构专业负责人:同时具有一级注册结构师得3分、具有工程建设类高级及以上职称得2分，具有工程建设类中级职称得1分，没有不得分，本项满分5分;</w:t>
            </w:r>
          </w:p>
          <w:p w14:paraId="17EBC2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(3)电气专业负责人:同时具有注册电气工程师(供配电)得3分、具有工程建设类高级及以上职称得2分，具有工程建设类中级职称得1分，没有不得分，本项满分5分;</w:t>
            </w:r>
          </w:p>
          <w:p w14:paraId="3CDDF8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(4)给排水专业负责人:同时具有注册公用设备工程师(给排水)得3分、具有工程建设类高级及以上职称得2分，具有工程建设类中级职称得1分，没有不得分，本项满分5分;</w:t>
            </w:r>
          </w:p>
          <w:p w14:paraId="5CB9E4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(5)暖通专业负责人:同时具有注册公用设备（暖通空调）得3分、具有工程建设类高级及以上职称得2分，具有工程建设类中级职称得1分，没有不得分，本项满分5分;</w:t>
            </w:r>
          </w:p>
          <w:p w14:paraId="344327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上述人员配备全部满足的得30分，每缺1项扣5分。同一人具有多个专业的仅计一个专业的资格。</w:t>
            </w:r>
          </w:p>
          <w:p w14:paraId="588A0E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投标时提供相关证书以及开标之日前半年内任意连续三个月(如投标人为新成立不足三个月的企业，可提供自成立至今)社保缴费证明(或社保有效证明材料)。如上述人员为退休人员的，应符合国家法律法规关于从业人员执业年龄的规定，同时投标文件中须提供拟派退休人员身份证、退休证及投标人企业聘用合同(劳务合同)。提交的注册执业证书(如有)中聘用企业名称必须与投标人企业名称一致。</w:t>
            </w:r>
          </w:p>
        </w:tc>
      </w:tr>
      <w:tr w14:paraId="094F9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9" w:hRule="atLeast"/>
          <w:jc w:val="center"/>
        </w:trPr>
        <w:tc>
          <w:tcPr>
            <w:tcW w:w="1391" w:type="dxa"/>
            <w:vMerge w:val="continue"/>
            <w:tcBorders>
              <w:left w:val="single" w:color="000000" w:sz="6" w:space="0"/>
              <w:right w:val="single" w:color="000000" w:sz="6" w:space="0"/>
            </w:tcBorders>
            <w:noWrap w:val="0"/>
            <w:vAlign w:val="center"/>
          </w:tcPr>
          <w:p w14:paraId="61615A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p>
        </w:tc>
        <w:tc>
          <w:tcPr>
            <w:tcW w:w="1693" w:type="dxa"/>
            <w:tcBorders>
              <w:top w:val="single" w:color="auto" w:sz="4" w:space="0"/>
              <w:left w:val="single" w:color="000000" w:sz="6" w:space="0"/>
              <w:bottom w:val="single" w:color="000000" w:sz="6" w:space="0"/>
              <w:right w:val="single" w:color="auto" w:sz="4" w:space="0"/>
            </w:tcBorders>
            <w:noWrap w:val="0"/>
            <w:vAlign w:val="center"/>
          </w:tcPr>
          <w:p w14:paraId="2C424C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74E7FE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6374" w:type="dxa"/>
            <w:tcBorders>
              <w:top w:val="single" w:color="auto" w:sz="4" w:space="0"/>
              <w:left w:val="single" w:color="auto" w:sz="4" w:space="0"/>
              <w:bottom w:val="single" w:color="000000" w:sz="6" w:space="0"/>
              <w:right w:val="single" w:color="000000" w:sz="6" w:space="0"/>
            </w:tcBorders>
            <w:noWrap w:val="0"/>
            <w:vAlign w:val="center"/>
          </w:tcPr>
          <w:p w14:paraId="59F1E6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1月</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1日至今，投标人每具有1个</w:t>
            </w:r>
            <w:r>
              <w:rPr>
                <w:rFonts w:hint="eastAsia" w:ascii="宋体" w:hAnsi="宋体" w:eastAsia="宋体" w:cs="宋体"/>
                <w:color w:val="auto"/>
                <w:sz w:val="24"/>
                <w:szCs w:val="24"/>
                <w:highlight w:val="none"/>
                <w:lang w:val="en-US" w:eastAsia="zh-CN"/>
              </w:rPr>
              <w:t>建筑</w:t>
            </w: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设计</w:t>
            </w:r>
            <w:r>
              <w:rPr>
                <w:rFonts w:hint="eastAsia" w:ascii="宋体" w:hAnsi="宋体" w:eastAsia="宋体" w:cs="宋体"/>
                <w:color w:val="auto"/>
                <w:sz w:val="24"/>
                <w:szCs w:val="24"/>
                <w:highlight w:val="none"/>
                <w:lang w:val="en-US" w:eastAsia="zh-CN"/>
              </w:rPr>
              <w:t>公建</w:t>
            </w:r>
            <w:r>
              <w:rPr>
                <w:rFonts w:hint="eastAsia" w:ascii="宋体" w:hAnsi="宋体" w:eastAsia="宋体" w:cs="宋体"/>
                <w:color w:val="auto"/>
                <w:sz w:val="24"/>
                <w:szCs w:val="24"/>
                <w:highlight w:val="none"/>
              </w:rPr>
              <w:t>业绩得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分。（以合同签订时间为准</w:t>
            </w:r>
            <w:r>
              <w:rPr>
                <w:rFonts w:hint="eastAsia" w:ascii="宋体" w:hAnsi="宋体" w:eastAsia="宋体" w:cs="宋体"/>
                <w:color w:val="auto"/>
                <w:sz w:val="24"/>
                <w:szCs w:val="24"/>
                <w:highlight w:val="none"/>
                <w:lang w:eastAsia="zh-CN"/>
              </w:rPr>
              <w:t>，若为联合体，投标人应为牵头单位，且内部分工为设计专业</w:t>
            </w:r>
            <w:r>
              <w:rPr>
                <w:rFonts w:hint="eastAsia" w:ascii="宋体" w:hAnsi="宋体" w:eastAsia="宋体" w:cs="宋体"/>
                <w:color w:val="auto"/>
                <w:sz w:val="24"/>
                <w:szCs w:val="24"/>
                <w:highlight w:val="none"/>
              </w:rPr>
              <w:t>）</w:t>
            </w:r>
          </w:p>
        </w:tc>
      </w:tr>
      <w:tr w14:paraId="04499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8" w:hRule="atLeast"/>
          <w:jc w:val="center"/>
        </w:trPr>
        <w:tc>
          <w:tcPr>
            <w:tcW w:w="1391" w:type="dxa"/>
            <w:vMerge w:val="continue"/>
            <w:tcBorders>
              <w:left w:val="single" w:color="000000" w:sz="6" w:space="0"/>
              <w:right w:val="single" w:color="000000" w:sz="6" w:space="0"/>
            </w:tcBorders>
            <w:noWrap w:val="0"/>
            <w:vAlign w:val="center"/>
          </w:tcPr>
          <w:p w14:paraId="35809E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p>
        </w:tc>
        <w:tc>
          <w:tcPr>
            <w:tcW w:w="1693" w:type="dxa"/>
            <w:tcBorders>
              <w:top w:val="single" w:color="000000" w:sz="6" w:space="0"/>
              <w:left w:val="single" w:color="000000" w:sz="6" w:space="0"/>
              <w:bottom w:val="single" w:color="000000" w:sz="6" w:space="0"/>
              <w:right w:val="single" w:color="auto" w:sz="4" w:space="0"/>
            </w:tcBorders>
            <w:noWrap w:val="0"/>
            <w:vAlign w:val="center"/>
          </w:tcPr>
          <w:p w14:paraId="56374A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售后服务方案、承诺</w:t>
            </w:r>
          </w:p>
          <w:p w14:paraId="3DA709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val="en-US" w:eastAsia="zh-CN"/>
              </w:rPr>
              <w:t>（2分）</w:t>
            </w:r>
          </w:p>
        </w:tc>
        <w:tc>
          <w:tcPr>
            <w:tcW w:w="6374" w:type="dxa"/>
            <w:tcBorders>
              <w:top w:val="single" w:color="000000" w:sz="6" w:space="0"/>
              <w:left w:val="single" w:color="auto" w:sz="4" w:space="0"/>
              <w:bottom w:val="single" w:color="000000" w:sz="6" w:space="0"/>
              <w:right w:val="single" w:color="000000" w:sz="6" w:space="0"/>
            </w:tcBorders>
            <w:noWrap w:val="0"/>
            <w:vAlign w:val="center"/>
          </w:tcPr>
          <w:p w14:paraId="61B6EB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针对本项目的后期服务</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lang w:val="en-US" w:eastAsia="zh-CN"/>
              </w:rPr>
              <w:t>（包括响应时间，解决问题时间，因服务质量问题引起纠纷时提供的应急解决方案及赔偿标准等）得2分，缺项的不得分。</w:t>
            </w:r>
          </w:p>
        </w:tc>
      </w:tr>
      <w:tr w14:paraId="2505D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8" w:hRule="atLeast"/>
          <w:jc w:val="center"/>
        </w:trPr>
        <w:tc>
          <w:tcPr>
            <w:tcW w:w="1391" w:type="dxa"/>
            <w:vMerge w:val="continue"/>
            <w:tcBorders>
              <w:left w:val="single" w:color="000000" w:sz="6" w:space="0"/>
              <w:bottom w:val="single" w:color="000000" w:sz="6" w:space="0"/>
              <w:right w:val="single" w:color="000000" w:sz="6" w:space="0"/>
            </w:tcBorders>
            <w:noWrap w:val="0"/>
            <w:vAlign w:val="center"/>
          </w:tcPr>
          <w:p w14:paraId="4B3AC6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p>
        </w:tc>
        <w:tc>
          <w:tcPr>
            <w:tcW w:w="1693" w:type="dxa"/>
            <w:tcBorders>
              <w:top w:val="single" w:color="000000" w:sz="6" w:space="0"/>
              <w:left w:val="single" w:color="000000" w:sz="6" w:space="0"/>
              <w:bottom w:val="single" w:color="000000" w:sz="6" w:space="0"/>
              <w:right w:val="single" w:color="auto" w:sz="4" w:space="0"/>
            </w:tcBorders>
            <w:noWrap w:val="0"/>
            <w:vAlign w:val="center"/>
          </w:tcPr>
          <w:p w14:paraId="6A3EB3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奖项（3分）</w:t>
            </w:r>
          </w:p>
        </w:tc>
        <w:tc>
          <w:tcPr>
            <w:tcW w:w="6374" w:type="dxa"/>
            <w:tcBorders>
              <w:top w:val="single" w:color="000000" w:sz="6" w:space="0"/>
              <w:left w:val="single" w:color="auto" w:sz="4" w:space="0"/>
              <w:bottom w:val="single" w:color="000000" w:sz="6" w:space="0"/>
              <w:right w:val="single" w:color="000000" w:sz="6" w:space="0"/>
            </w:tcBorders>
            <w:noWrap w:val="0"/>
            <w:vAlign w:val="center"/>
          </w:tcPr>
          <w:p w14:paraId="16F6AC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2022年1月01日以来投标人获得过（公建项目）行政主管部门或在国内依法登记注册的行业协(学)会颁发的省级及以上的设计类奖项，每有1个得1分，此项最多得3分。</w:t>
            </w:r>
          </w:p>
        </w:tc>
      </w:tr>
    </w:tbl>
    <w:p w14:paraId="269F1D0E">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最终得分为磋商小组所有成员计分的算术平均值，计算保留小数点两位，小数点后第三位四舍五入。</w:t>
      </w:r>
    </w:p>
    <w:p w14:paraId="7E1B615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22.3磋商小组根据综合评分情况，按照评审得分由高到低顺序推荐成交候选供应商，并编写评审报告。综合得分相同的供应商，报价较低者优先；报价也相同的，由采购人自行确定。</w:t>
      </w:r>
    </w:p>
    <w:p w14:paraId="3064708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8C7575D">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22.5若供应商的报价高于项目预算，磋商小组有权根据采购人意见及其实际情况，拒绝该报价。</w:t>
      </w:r>
    </w:p>
    <w:p w14:paraId="410F2F8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1B75473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22.7在竞争性磋商期间，供应商不得向竞争性磋商小组成员询问其它供应商竞争性磋商情况，不得进行旨在影响成交结果的活动。</w:t>
      </w:r>
    </w:p>
    <w:p w14:paraId="717756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22.8在竞争性磋商期间，采购人将有专门人员与供应商进行联络。</w:t>
      </w:r>
    </w:p>
    <w:p w14:paraId="51D9EC47">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23.竞争性磋商终止</w:t>
      </w:r>
    </w:p>
    <w:p w14:paraId="44B6BED3">
      <w:pPr>
        <w:spacing w:line="560" w:lineRule="exact"/>
        <w:ind w:firstLine="480" w:firstLineChars="200"/>
        <w:rPr>
          <w:rFonts w:ascii="宋体" w:hAnsi="宋体" w:cs="宋体"/>
          <w:b/>
          <w:color w:val="auto"/>
          <w:sz w:val="24"/>
          <w:highlight w:val="none"/>
        </w:rPr>
      </w:pPr>
      <w:r>
        <w:rPr>
          <w:rFonts w:hint="eastAsia" w:ascii="宋体" w:hAnsi="宋体" w:cs="宋体"/>
          <w:bCs/>
          <w:color w:val="auto"/>
          <w:sz w:val="24"/>
          <w:highlight w:val="none"/>
        </w:rPr>
        <w:t>23.1出现下列情形之一时，采购人有权宣布竞争性磋商终止，并将理由通知所有供应商：</w:t>
      </w:r>
    </w:p>
    <w:p w14:paraId="2531D57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（1）因情况变化，不再符合竞争性磋商适用情形的；</w:t>
      </w:r>
    </w:p>
    <w:p w14:paraId="59F32D8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641EF00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（3）在采购过程中符合磋商文件要求的供应商不足3家的；</w:t>
      </w:r>
    </w:p>
    <w:p w14:paraId="488117C4">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（4）在采购活动中因重大变故，采购任务取消的；</w:t>
      </w:r>
    </w:p>
    <w:p w14:paraId="458C308C">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七、成交通知</w:t>
      </w:r>
    </w:p>
    <w:p w14:paraId="2C5E524B">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24.成交通知</w:t>
      </w:r>
    </w:p>
    <w:p w14:paraId="3811EA97">
      <w:pPr>
        <w:pStyle w:val="43"/>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24.1采购人应当自收到评审报告之日起5个工作日内在评审报告推荐的中标或者成交候选人中按顺序确定中标或者成交供应商。</w:t>
      </w:r>
    </w:p>
    <w:p w14:paraId="306BF8EF">
      <w:pPr>
        <w:tabs>
          <w:tab w:val="left" w:pos="18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w:t>
      </w:r>
      <w:r>
        <w:rPr>
          <w:rFonts w:hint="eastAsia" w:ascii="宋体" w:hAnsi="宋体" w:cs="宋体"/>
          <w:color w:val="auto"/>
          <w:sz w:val="24"/>
          <w:highlight w:val="none"/>
          <w:lang w:val="en-US" w:eastAsia="zh-CN"/>
        </w:rPr>
        <w:t>在发出成交公告后</w:t>
      </w:r>
      <w:r>
        <w:rPr>
          <w:rFonts w:hint="eastAsia" w:ascii="宋体" w:hAnsi="宋体" w:eastAsia="宋体" w:cs="宋体"/>
          <w:color w:val="auto"/>
          <w:sz w:val="24"/>
          <w:highlight w:val="none"/>
          <w:lang w:val="en-US" w:eastAsia="zh-CN"/>
        </w:rPr>
        <w:t>请采购人、中标人登录</w:t>
      </w:r>
      <w:r>
        <w:rPr>
          <w:rFonts w:hint="eastAsia" w:ascii="宋体" w:hAnsi="宋体" w:eastAsia="宋体" w:cs="宋体"/>
          <w:color w:val="auto"/>
          <w:sz w:val="24"/>
          <w:highlight w:val="none"/>
        </w:rPr>
        <w:t>周口市公共资源</w:t>
      </w:r>
      <w:r>
        <w:rPr>
          <w:rFonts w:hint="eastAsia" w:ascii="宋体" w:hAnsi="宋体" w:eastAsia="宋体" w:cs="宋体"/>
          <w:color w:val="auto"/>
          <w:sz w:val="24"/>
          <w:szCs w:val="24"/>
          <w:highlight w:val="none"/>
        </w:rPr>
        <w:t>交易</w:t>
      </w:r>
      <w:r>
        <w:rPr>
          <w:rFonts w:hint="eastAsia" w:ascii="宋体" w:hAnsi="宋体" w:eastAsia="宋体" w:cs="宋体"/>
          <w:color w:val="auto"/>
          <w:sz w:val="24"/>
          <w:highlight w:val="none"/>
          <w:lang w:eastAsia="zh-CN"/>
        </w:rPr>
        <w:t>中心网</w:t>
      </w:r>
      <w:r>
        <w:rPr>
          <w:rFonts w:hint="eastAsia" w:ascii="宋体" w:hAnsi="宋体" w:eastAsia="宋体" w:cs="宋体"/>
          <w:color w:val="auto"/>
          <w:sz w:val="24"/>
          <w:szCs w:val="24"/>
          <w:highlight w:val="none"/>
        </w:rPr>
        <w:t>（http://jyzx.zhoukou.gov.cn）</w:t>
      </w:r>
      <w:r>
        <w:rPr>
          <w:rFonts w:hint="eastAsia" w:ascii="宋体" w:hAnsi="宋体" w:eastAsia="宋体" w:cs="宋体"/>
          <w:color w:val="auto"/>
          <w:sz w:val="24"/>
          <w:szCs w:val="24"/>
          <w:highlight w:val="none"/>
          <w:lang w:val="en-US" w:eastAsia="zh-CN"/>
        </w:rPr>
        <w:t>自行下载</w:t>
      </w:r>
      <w:r>
        <w:rPr>
          <w:rFonts w:hint="eastAsia" w:cs="宋体"/>
          <w:color w:val="auto"/>
          <w:sz w:val="24"/>
          <w:highlight w:val="none"/>
          <w:lang w:val="en-US" w:eastAsia="zh-CN"/>
        </w:rPr>
        <w:t>成交</w:t>
      </w:r>
      <w:r>
        <w:rPr>
          <w:rFonts w:hint="eastAsia" w:ascii="宋体" w:hAnsi="宋体" w:eastAsia="宋体" w:cs="宋体"/>
          <w:color w:val="auto"/>
          <w:sz w:val="24"/>
          <w:highlight w:val="none"/>
        </w:rPr>
        <w:t>通知书。</w:t>
      </w:r>
    </w:p>
    <w:p w14:paraId="40E79B4E">
      <w:pPr>
        <w:tabs>
          <w:tab w:val="left" w:pos="180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24.3成交通知书对采购人和成交供应商具有同等法律效力。成交通知书发出后，采购人改变成交结果，或者成交供应商放弃成交，应当承担相应的法律责任。</w:t>
      </w:r>
    </w:p>
    <w:p w14:paraId="2022F3CA">
      <w:pPr>
        <w:spacing w:line="720" w:lineRule="auto"/>
        <w:jc w:val="center"/>
        <w:rPr>
          <w:rFonts w:ascii="宋体" w:hAnsi="宋体" w:cs="宋体"/>
          <w:color w:val="auto"/>
          <w:sz w:val="24"/>
          <w:highlight w:val="none"/>
        </w:rPr>
      </w:pPr>
      <w:r>
        <w:rPr>
          <w:rFonts w:hint="eastAsia" w:ascii="宋体" w:hAnsi="宋体" w:cs="宋体"/>
          <w:b/>
          <w:color w:val="auto"/>
          <w:sz w:val="24"/>
          <w:highlight w:val="none"/>
        </w:rPr>
        <w:t>八、合同授予</w:t>
      </w:r>
    </w:p>
    <w:p w14:paraId="6D56C4B9">
      <w:pPr>
        <w:tabs>
          <w:tab w:val="left" w:pos="1620"/>
        </w:tabs>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25.签订合同及合同的执行</w:t>
      </w:r>
    </w:p>
    <w:p w14:paraId="41CC6BA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25.1采购人、成交供应商按照竞争性磋商文件确定的合同文本签订政府采购合同。</w:t>
      </w:r>
    </w:p>
    <w:p w14:paraId="388DB5B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25.2采购人不得向成交供应商提出超过竞争性磋商文件以外的任何要求作为签订合同的条件，不得与成交供应商订立背离竞争性磋商文件确定的合同文本协议。</w:t>
      </w:r>
    </w:p>
    <w:p w14:paraId="29DA150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18B728B0">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九、质疑处理</w:t>
      </w:r>
    </w:p>
    <w:p w14:paraId="11335AD8">
      <w:pPr>
        <w:spacing w:line="560" w:lineRule="exact"/>
        <w:ind w:firstLine="482" w:firstLineChars="200"/>
        <w:jc w:val="both"/>
        <w:outlineLvl w:val="9"/>
        <w:rPr>
          <w:rFonts w:ascii="宋体" w:hAnsi="宋体" w:cs="宋体"/>
          <w:b/>
          <w:color w:val="auto"/>
          <w:sz w:val="24"/>
          <w:highlight w:val="none"/>
        </w:rPr>
      </w:pPr>
      <w:r>
        <w:rPr>
          <w:rFonts w:hint="eastAsia" w:ascii="宋体" w:hAnsi="宋体" w:cs="宋体"/>
          <w:b/>
          <w:color w:val="auto"/>
          <w:sz w:val="24"/>
          <w:highlight w:val="none"/>
        </w:rPr>
        <w:t>26.质疑程序及处理</w:t>
      </w:r>
    </w:p>
    <w:p w14:paraId="31CD71D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w:t>
      </w:r>
      <w:r>
        <w:rPr>
          <w:rFonts w:hint="eastAsia" w:ascii="宋体" w:hAnsi="宋体" w:cs="宋体"/>
          <w:bCs/>
          <w:color w:val="auto"/>
          <w:sz w:val="24"/>
          <w:highlight w:val="none"/>
          <w:lang w:val="en-US" w:eastAsia="zh-CN"/>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3ED45B4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26.2采购人在收到供应商的书面质疑后七个工作日内做出答复，并以书面形式通知质疑供应商和其他供应商，但答复内容不得涉及商业秘密。</w:t>
      </w:r>
    </w:p>
    <w:p w14:paraId="36432794">
      <w:pPr>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26.3</w:t>
      </w:r>
      <w:r>
        <w:rPr>
          <w:rFonts w:hint="eastAsia" w:ascii="宋体" w:hAnsi="宋体" w:cs="宋体"/>
          <w:bCs/>
          <w:color w:val="auto"/>
          <w:sz w:val="24"/>
          <w:highlight w:val="none"/>
        </w:rPr>
        <w:t>质疑供应商行使质疑权时，必须遵守“实事求是”和“谨慎性”原则，承担使用虚假材料或恶意方式质疑的法律责任，</w:t>
      </w:r>
      <w:r>
        <w:rPr>
          <w:rFonts w:hint="eastAsia" w:ascii="宋体" w:hAnsi="宋体" w:cs="宋体"/>
          <w:color w:val="auto"/>
          <w:sz w:val="24"/>
          <w:highlight w:val="none"/>
        </w:rPr>
        <w:t>采购人</w:t>
      </w:r>
      <w:r>
        <w:rPr>
          <w:rFonts w:hint="eastAsia" w:ascii="宋体" w:hAnsi="宋体" w:cs="宋体"/>
          <w:bCs/>
          <w:color w:val="auto"/>
          <w:sz w:val="24"/>
          <w:highlight w:val="none"/>
        </w:rPr>
        <w:t>将遵循“谁过错谁负担”的原则，由过错方提交相关的调查论证费用。</w:t>
      </w:r>
    </w:p>
    <w:p w14:paraId="54BCBF0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1EB8DB5A">
      <w:pPr>
        <w:spacing w:line="560" w:lineRule="exact"/>
        <w:rPr>
          <w:rFonts w:ascii="宋体" w:hAnsi="宋体" w:cs="宋体"/>
          <w:color w:val="auto"/>
          <w:sz w:val="24"/>
          <w:highlight w:val="none"/>
        </w:rPr>
        <w:sectPr>
          <w:footerReference r:id="rId3" w:type="default"/>
          <w:pgSz w:w="11907" w:h="16840"/>
          <w:pgMar w:top="2098" w:right="1474" w:bottom="1985" w:left="1588" w:header="851" w:footer="992" w:gutter="0"/>
          <w:cols w:space="720" w:num="1"/>
          <w:docGrid w:type="lines" w:linePitch="312" w:charSpace="0"/>
        </w:sectPr>
      </w:pPr>
    </w:p>
    <w:p w14:paraId="1BDCE9B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宋体" w:hAnsi="宋体" w:cs="宋体"/>
          <w:b/>
          <w:color w:val="auto"/>
          <w:sz w:val="32"/>
          <w:szCs w:val="32"/>
          <w:highlight w:val="none"/>
        </w:rPr>
      </w:pPr>
      <w:bookmarkStart w:id="28" w:name="_Toc14467"/>
      <w:r>
        <w:rPr>
          <w:rFonts w:hint="eastAsia" w:ascii="宋体" w:hAnsi="宋体" w:cs="宋体"/>
          <w:b/>
          <w:color w:val="auto"/>
          <w:sz w:val="32"/>
          <w:szCs w:val="32"/>
          <w:highlight w:val="none"/>
        </w:rPr>
        <w:t>第三章 采购项目内容及要求</w:t>
      </w:r>
      <w:bookmarkEnd w:id="28"/>
    </w:p>
    <w:p w14:paraId="52E81AF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本项目采购内容</w:t>
      </w:r>
    </w:p>
    <w:p w14:paraId="6AA4121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一、采购内容及要求</w:t>
      </w:r>
    </w:p>
    <w:p w14:paraId="090A69D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（1）采购内容:关于郸城县生活垃圾分类基础设施建设项目图纸设计采购申请项目</w:t>
      </w:r>
    </w:p>
    <w:p w14:paraId="7B813E7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（2）服务期限:合同签订后30日历天完成。</w:t>
      </w:r>
    </w:p>
    <w:p w14:paraId="4E05309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（3）质量要求:合格，符合国家或行业现行规范及标准。</w:t>
      </w:r>
    </w:p>
    <w:p w14:paraId="3A2BB17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二、设计要求</w:t>
      </w:r>
    </w:p>
    <w:p w14:paraId="5FA712C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（1）通过调研本项目以及与采购人的沟通，充分了解本项目设计思路及要求。</w:t>
      </w:r>
    </w:p>
    <w:p w14:paraId="005D49D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（2）自行组织现场的实际踏勘和测量，根据提供的相关资料，设计时做到科学布局。</w:t>
      </w:r>
    </w:p>
    <w:p w14:paraId="24931B4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（3）此次设计文件完整齐全，内容、深度符合规定，文字说明和图纸均应符合相关规范标准，表达清晰、准确。对设计人的所有设计成果文件(包括书面和电子文件等)，采购人具有使用权和提供优化建议的权力。</w:t>
      </w:r>
    </w:p>
    <w:p w14:paraId="0DEB170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2、服务内容及要求</w:t>
      </w:r>
    </w:p>
    <w:p w14:paraId="1493472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2.1服务要求：服务年限,在接到采购方服务请求后，1小时响应，2小时内上门解决问题；质保期内提供免费上门服务，质保期外的收费按相关行业规则或由双方协商收取。</w:t>
      </w:r>
    </w:p>
    <w:p w14:paraId="730467C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2.2</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val="zh-CN"/>
        </w:rPr>
        <w:t>地点：采购人指定地点。</w:t>
      </w:r>
    </w:p>
    <w:p w14:paraId="4395827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2.3</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合同签订后30日历天完成。</w:t>
      </w:r>
    </w:p>
    <w:p w14:paraId="2899690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2.4验收：由最终用户组织验收。</w:t>
      </w:r>
    </w:p>
    <w:p w14:paraId="73AA602D">
      <w:pPr>
        <w:keepNext w:val="0"/>
        <w:keepLines w:val="0"/>
        <w:pageBreakBefore w:val="0"/>
        <w:widowControl w:val="0"/>
        <w:kinsoku/>
        <w:wordWrap/>
        <w:overflowPunct/>
        <w:topLinePunct w:val="0"/>
        <w:autoSpaceDE/>
        <w:autoSpaceDN/>
        <w:bidi w:val="0"/>
        <w:adjustRightInd/>
        <w:snapToGrid/>
        <w:ind w:firstLine="480" w:firstLineChars="200"/>
        <w:textAlignment w:val="auto"/>
        <w:rPr>
          <w:rStyle w:val="74"/>
          <w:rFonts w:hint="eastAsia" w:ascii="宋体" w:hAnsi="宋体" w:cs="宋体"/>
          <w:color w:val="auto"/>
          <w:sz w:val="24"/>
          <w:highlight w:val="none"/>
          <w:lang w:val="zh-CN"/>
        </w:rPr>
      </w:pPr>
      <w:r>
        <w:rPr>
          <w:rStyle w:val="74"/>
          <w:rFonts w:hint="eastAsia" w:ascii="宋体" w:hAnsi="宋体" w:cs="宋体"/>
          <w:color w:val="auto"/>
          <w:sz w:val="24"/>
          <w:highlight w:val="none"/>
          <w:lang w:val="zh-CN"/>
        </w:rPr>
        <w:br w:type="page"/>
      </w:r>
    </w:p>
    <w:p w14:paraId="1BE50B69">
      <w:pPr>
        <w:spacing w:line="480" w:lineRule="auto"/>
        <w:jc w:val="center"/>
        <w:outlineLvl w:val="0"/>
        <w:rPr>
          <w:rFonts w:ascii="宋体" w:hAnsi="宋体" w:cs="宋体"/>
          <w:color w:val="auto"/>
          <w:sz w:val="32"/>
          <w:szCs w:val="32"/>
          <w:highlight w:val="none"/>
        </w:rPr>
      </w:pPr>
      <w:bookmarkStart w:id="29" w:name="_Toc23608"/>
      <w:r>
        <w:rPr>
          <w:rFonts w:hint="eastAsia" w:ascii="宋体" w:hAnsi="宋体" w:cs="宋体"/>
          <w:b/>
          <w:bCs/>
          <w:color w:val="auto"/>
          <w:sz w:val="32"/>
          <w:szCs w:val="32"/>
          <w:highlight w:val="none"/>
        </w:rPr>
        <w:t>第四章 响应性文件内容及格式</w:t>
      </w:r>
      <w:bookmarkEnd w:id="29"/>
    </w:p>
    <w:p w14:paraId="5EB7DE6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注：请供应商按照以下文件的要求格式、内容，顺序制作响应性文件，</w:t>
      </w:r>
      <w:r>
        <w:rPr>
          <w:rFonts w:hint="eastAsia" w:ascii="宋体" w:hAnsi="宋体" w:eastAsia="宋体" w:cs="宋体"/>
          <w:color w:val="auto"/>
          <w:sz w:val="24"/>
          <w:highlight w:val="none"/>
        </w:rPr>
        <w:t>并编制目录及</w:t>
      </w:r>
      <w:r>
        <w:rPr>
          <w:rFonts w:hint="eastAsia" w:ascii="宋体" w:hAnsi="宋体" w:eastAsia="宋体" w:cs="宋体"/>
          <w:color w:val="auto"/>
          <w:sz w:val="24"/>
          <w:highlight w:val="none"/>
          <w:lang w:val="en-US" w:eastAsia="zh-CN"/>
        </w:rPr>
        <w:t>分</w:t>
      </w:r>
      <w:r>
        <w:rPr>
          <w:rFonts w:hint="eastAsia" w:ascii="宋体" w:hAnsi="宋体" w:eastAsia="宋体" w:cs="宋体"/>
          <w:color w:val="auto"/>
          <w:sz w:val="24"/>
          <w:highlight w:val="none"/>
        </w:rPr>
        <w:t>页码</w:t>
      </w:r>
      <w:r>
        <w:rPr>
          <w:rFonts w:hint="eastAsia" w:ascii="宋体" w:hAnsi="宋体" w:eastAsia="宋体" w:cs="宋体"/>
          <w:color w:val="auto"/>
          <w:sz w:val="24"/>
          <w:highlight w:val="none"/>
          <w:lang w:val="en-US" w:eastAsia="zh-CN"/>
        </w:rPr>
        <w:t>总页码</w:t>
      </w:r>
      <w:r>
        <w:rPr>
          <w:rFonts w:hint="eastAsia" w:ascii="宋体" w:hAnsi="宋体" w:cs="宋体"/>
          <w:color w:val="auto"/>
          <w:sz w:val="24"/>
          <w:highlight w:val="none"/>
        </w:rPr>
        <w:t>，否则可能将影响对响应性文件的评价。</w:t>
      </w:r>
    </w:p>
    <w:p w14:paraId="5C853A4D">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重要提示：</w:t>
      </w:r>
    </w:p>
    <w:p w14:paraId="1717D191">
      <w:pPr>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．供应商在编制响应性文件时，对于给定格式的文件内容，必须按照给定的标准格式进行填报；对于没有给定标准格式的文件内容，可以由供应商自行设计。</w:t>
      </w:r>
    </w:p>
    <w:p w14:paraId="35677F80">
      <w:pPr>
        <w:snapToGrid w:val="0"/>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.法定代表人本人参加竞争性磋商的，不需提供授权委托书。</w:t>
      </w:r>
    </w:p>
    <w:p w14:paraId="2681619A">
      <w:pPr>
        <w:rPr>
          <w:rFonts w:hint="eastAsia" w:ascii="宋体" w:hAnsi="宋体" w:cs="宋体"/>
          <w:color w:val="auto"/>
          <w:sz w:val="24"/>
          <w:highlight w:val="none"/>
        </w:rPr>
      </w:pPr>
      <w:r>
        <w:rPr>
          <w:rFonts w:hint="eastAsia" w:ascii="宋体" w:hAnsi="宋体" w:cs="宋体"/>
          <w:color w:val="auto"/>
          <w:sz w:val="24"/>
          <w:highlight w:val="none"/>
        </w:rPr>
        <w:br w:type="page"/>
      </w:r>
    </w:p>
    <w:p w14:paraId="386A87D8">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格式2-1</w:t>
      </w:r>
    </w:p>
    <w:p w14:paraId="252FF9AB">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rPr>
        <w:t>企业营业执照副本</w:t>
      </w:r>
      <w:r>
        <w:rPr>
          <w:rFonts w:hint="eastAsia" w:ascii="宋体" w:hAnsi="宋体" w:cs="宋体"/>
          <w:color w:val="auto"/>
          <w:sz w:val="24"/>
          <w:highlight w:val="none"/>
          <w:lang w:val="en-US" w:eastAsia="zh-CN"/>
        </w:rPr>
        <w:t>及</w:t>
      </w:r>
      <w:r>
        <w:rPr>
          <w:rFonts w:hint="eastAsia" w:ascii="宋体" w:hAnsi="宋体" w:cs="宋体"/>
          <w:color w:val="auto"/>
          <w:kern w:val="0"/>
          <w:sz w:val="24"/>
          <w:highlight w:val="none"/>
        </w:rPr>
        <w:t>资格性证明材料</w:t>
      </w:r>
    </w:p>
    <w:p w14:paraId="1EFD9C0D">
      <w:pPr>
        <w:pStyle w:val="43"/>
        <w:rPr>
          <w:rFonts w:hint="eastAsia"/>
          <w:color w:val="auto"/>
          <w:highlight w:val="none"/>
          <w:lang w:eastAsia="zh-CN"/>
        </w:rPr>
      </w:pPr>
    </w:p>
    <w:p w14:paraId="02A78941">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格式2-</w:t>
      </w:r>
      <w:r>
        <w:rPr>
          <w:rFonts w:hint="eastAsia" w:ascii="宋体" w:hAnsi="宋体" w:cs="宋体"/>
          <w:color w:val="auto"/>
          <w:sz w:val="24"/>
          <w:highlight w:val="none"/>
          <w:lang w:val="en-US" w:eastAsia="zh-CN"/>
        </w:rPr>
        <w:t>2</w:t>
      </w:r>
    </w:p>
    <w:p w14:paraId="33392D4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法定代表人身份证明书</w:t>
      </w:r>
    </w:p>
    <w:p w14:paraId="7AAC677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（法定代表人参加竞争性磋商的，出具此证明书）</w:t>
      </w:r>
    </w:p>
    <w:p w14:paraId="740B6E81">
      <w:pPr>
        <w:spacing w:line="360" w:lineRule="auto"/>
        <w:ind w:firstLine="480" w:firstLineChars="200"/>
        <w:rPr>
          <w:rFonts w:ascii="宋体" w:hAnsi="宋体" w:cs="宋体"/>
          <w:color w:val="auto"/>
          <w:sz w:val="24"/>
          <w:highlight w:val="none"/>
        </w:rPr>
      </w:pPr>
    </w:p>
    <w:p w14:paraId="3587FB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同志，系我单位法定代表人，任职务。</w:t>
      </w:r>
    </w:p>
    <w:p w14:paraId="4D8578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0571D4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附：联系地址：               </w:t>
      </w:r>
    </w:p>
    <w:p w14:paraId="3CF7F744">
      <w:pPr>
        <w:spacing w:line="360" w:lineRule="auto"/>
        <w:ind w:firstLine="960" w:firstLineChars="400"/>
        <w:rPr>
          <w:rFonts w:ascii="宋体" w:hAnsi="宋体" w:cs="宋体"/>
          <w:b/>
          <w:color w:val="auto"/>
          <w:sz w:val="24"/>
          <w:highlight w:val="none"/>
        </w:rPr>
      </w:pPr>
      <w:r>
        <w:rPr>
          <w:rFonts w:hint="eastAsia" w:ascii="宋体" w:hAnsi="宋体" w:cs="宋体"/>
          <w:color w:val="auto"/>
          <w:sz w:val="24"/>
          <w:highlight w:val="none"/>
        </w:rPr>
        <w:t>联系电话：</w:t>
      </w:r>
    </w:p>
    <w:tbl>
      <w:tblPr>
        <w:tblStyle w:val="2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07E6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6F0C2BBD">
            <w:pPr>
              <w:spacing w:line="480" w:lineRule="exact"/>
              <w:rPr>
                <w:rFonts w:ascii="宋体" w:hAnsi="宋体" w:cs="宋体"/>
                <w:b/>
                <w:bCs/>
                <w:color w:val="auto"/>
                <w:sz w:val="24"/>
                <w:highlight w:val="none"/>
              </w:rPr>
            </w:pPr>
          </w:p>
          <w:p w14:paraId="5E5AE03C">
            <w:pPr>
              <w:spacing w:line="480" w:lineRule="exact"/>
              <w:rPr>
                <w:rFonts w:ascii="宋体" w:hAnsi="宋体" w:cs="宋体"/>
                <w:b/>
                <w:bCs/>
                <w:color w:val="auto"/>
                <w:sz w:val="24"/>
                <w:highlight w:val="none"/>
              </w:rPr>
            </w:pPr>
          </w:p>
          <w:p w14:paraId="25523091">
            <w:pPr>
              <w:spacing w:line="480" w:lineRule="exact"/>
              <w:jc w:val="center"/>
              <w:rPr>
                <w:rFonts w:ascii="宋体" w:hAnsi="宋体" w:cs="宋体"/>
                <w:b/>
                <w:bCs/>
                <w:color w:val="auto"/>
                <w:sz w:val="24"/>
                <w:highlight w:val="none"/>
              </w:rPr>
            </w:pPr>
            <w:r>
              <w:rPr>
                <w:rFonts w:hint="eastAsia" w:ascii="宋体" w:hAnsi="宋体" w:cs="宋体"/>
                <w:b/>
                <w:bCs/>
                <w:color w:val="auto"/>
                <w:sz w:val="24"/>
                <w:highlight w:val="none"/>
              </w:rPr>
              <w:t>（※附：法定代表人身份证复印件※）</w:t>
            </w:r>
          </w:p>
          <w:p w14:paraId="282549D5">
            <w:pPr>
              <w:spacing w:line="480" w:lineRule="exact"/>
              <w:rPr>
                <w:rFonts w:ascii="宋体" w:hAnsi="宋体" w:cs="宋体"/>
                <w:color w:val="auto"/>
                <w:sz w:val="24"/>
                <w:highlight w:val="none"/>
              </w:rPr>
            </w:pPr>
          </w:p>
          <w:p w14:paraId="53732C3A">
            <w:pPr>
              <w:spacing w:line="480" w:lineRule="exact"/>
              <w:rPr>
                <w:rFonts w:ascii="宋体" w:hAnsi="宋体" w:cs="宋体"/>
                <w:color w:val="auto"/>
                <w:sz w:val="24"/>
                <w:highlight w:val="none"/>
              </w:rPr>
            </w:pPr>
          </w:p>
        </w:tc>
      </w:tr>
    </w:tbl>
    <w:p w14:paraId="09A85F09">
      <w:pPr>
        <w:spacing w:line="360" w:lineRule="auto"/>
        <w:ind w:firstLine="960" w:firstLineChars="400"/>
        <w:rPr>
          <w:rFonts w:ascii="宋体" w:hAnsi="宋体" w:cs="宋体"/>
          <w:color w:val="auto"/>
          <w:sz w:val="24"/>
          <w:highlight w:val="none"/>
        </w:rPr>
      </w:pPr>
    </w:p>
    <w:p w14:paraId="5B19A384">
      <w:pPr>
        <w:spacing w:line="360" w:lineRule="auto"/>
        <w:ind w:firstLine="3840" w:firstLineChars="1600"/>
        <w:rPr>
          <w:rFonts w:ascii="宋体" w:hAnsi="宋体" w:cs="宋体"/>
          <w:color w:val="auto"/>
          <w:sz w:val="24"/>
          <w:highlight w:val="none"/>
        </w:rPr>
      </w:pPr>
    </w:p>
    <w:p w14:paraId="28F42A06">
      <w:pPr>
        <w:spacing w:line="360" w:lineRule="auto"/>
        <w:ind w:firstLine="3840" w:firstLineChars="1600"/>
        <w:rPr>
          <w:rFonts w:ascii="宋体" w:hAnsi="宋体" w:cs="宋体"/>
          <w:color w:val="auto"/>
          <w:sz w:val="24"/>
          <w:highlight w:val="none"/>
        </w:rPr>
      </w:pPr>
    </w:p>
    <w:p w14:paraId="08B9CC87">
      <w:pPr>
        <w:spacing w:line="360" w:lineRule="auto"/>
        <w:ind w:firstLine="3840" w:firstLineChars="1600"/>
        <w:rPr>
          <w:rFonts w:ascii="宋体" w:hAnsi="宋体" w:cs="宋体"/>
          <w:color w:val="auto"/>
          <w:sz w:val="24"/>
          <w:highlight w:val="none"/>
        </w:rPr>
      </w:pPr>
    </w:p>
    <w:p w14:paraId="404826F2">
      <w:pPr>
        <w:spacing w:line="360" w:lineRule="auto"/>
        <w:jc w:val="center"/>
        <w:rPr>
          <w:rFonts w:ascii="宋体" w:hAnsi="宋体" w:cs="宋体"/>
          <w:color w:val="auto"/>
          <w:sz w:val="24"/>
          <w:highlight w:val="none"/>
        </w:rPr>
      </w:pPr>
    </w:p>
    <w:p w14:paraId="67ED9993">
      <w:pPr>
        <w:spacing w:line="360" w:lineRule="auto"/>
        <w:jc w:val="center"/>
        <w:rPr>
          <w:rFonts w:ascii="宋体" w:hAnsi="宋体" w:cs="宋体"/>
          <w:color w:val="auto"/>
          <w:sz w:val="24"/>
          <w:highlight w:val="none"/>
        </w:rPr>
      </w:pPr>
    </w:p>
    <w:p w14:paraId="02946CA3">
      <w:pPr>
        <w:spacing w:line="360" w:lineRule="auto"/>
        <w:jc w:val="center"/>
        <w:rPr>
          <w:rFonts w:ascii="宋体" w:hAnsi="宋体" w:cs="宋体"/>
          <w:color w:val="auto"/>
          <w:sz w:val="24"/>
          <w:highlight w:val="none"/>
        </w:rPr>
      </w:pPr>
    </w:p>
    <w:p w14:paraId="67EC6F68">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 xml:space="preserve">章： </w:t>
      </w:r>
    </w:p>
    <w:p w14:paraId="7C57376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51B467E6">
      <w:pPr>
        <w:spacing w:line="360" w:lineRule="auto"/>
        <w:jc w:val="center"/>
        <w:rPr>
          <w:rFonts w:ascii="宋体" w:hAnsi="宋体" w:cs="宋体"/>
          <w:color w:val="auto"/>
          <w:sz w:val="24"/>
          <w:highlight w:val="none"/>
        </w:rPr>
      </w:pPr>
    </w:p>
    <w:p w14:paraId="25A0CCB0">
      <w:pPr>
        <w:spacing w:line="360" w:lineRule="auto"/>
        <w:jc w:val="center"/>
        <w:rPr>
          <w:rFonts w:ascii="宋体" w:hAnsi="宋体" w:cs="宋体"/>
          <w:color w:val="auto"/>
          <w:sz w:val="24"/>
          <w:highlight w:val="none"/>
        </w:rPr>
      </w:pPr>
    </w:p>
    <w:p w14:paraId="6B3FEA69">
      <w:pPr>
        <w:spacing w:line="360" w:lineRule="auto"/>
        <w:jc w:val="center"/>
        <w:rPr>
          <w:rFonts w:ascii="宋体" w:hAnsi="宋体" w:cs="宋体"/>
          <w:color w:val="auto"/>
          <w:sz w:val="24"/>
          <w:highlight w:val="none"/>
        </w:rPr>
      </w:pPr>
    </w:p>
    <w:p w14:paraId="350AA5A0">
      <w:pPr>
        <w:pStyle w:val="43"/>
        <w:ind w:firstLine="240"/>
        <w:rPr>
          <w:rFonts w:ascii="宋体" w:hAnsi="宋体" w:cs="宋体"/>
          <w:color w:val="auto"/>
          <w:sz w:val="24"/>
          <w:highlight w:val="none"/>
        </w:rPr>
      </w:pPr>
    </w:p>
    <w:p w14:paraId="654F67C0">
      <w:pPr>
        <w:pStyle w:val="43"/>
        <w:ind w:firstLine="240"/>
        <w:rPr>
          <w:rFonts w:ascii="宋体" w:hAnsi="宋体" w:cs="宋体"/>
          <w:color w:val="auto"/>
          <w:sz w:val="24"/>
          <w:highlight w:val="none"/>
        </w:rPr>
      </w:pPr>
    </w:p>
    <w:p w14:paraId="683811E8">
      <w:pPr>
        <w:pStyle w:val="43"/>
        <w:ind w:firstLine="240"/>
        <w:rPr>
          <w:rFonts w:ascii="宋体" w:hAnsi="宋体" w:cs="宋体"/>
          <w:color w:val="auto"/>
          <w:sz w:val="24"/>
          <w:highlight w:val="none"/>
        </w:rPr>
      </w:pPr>
    </w:p>
    <w:p w14:paraId="442369DD">
      <w:pPr>
        <w:pStyle w:val="43"/>
        <w:ind w:firstLine="240"/>
        <w:rPr>
          <w:rFonts w:ascii="宋体" w:hAnsi="宋体" w:cs="宋体"/>
          <w:color w:val="auto"/>
          <w:sz w:val="24"/>
          <w:highlight w:val="none"/>
        </w:rPr>
      </w:pPr>
    </w:p>
    <w:p w14:paraId="42EBD075">
      <w:pPr>
        <w:pStyle w:val="43"/>
        <w:ind w:firstLine="240"/>
        <w:rPr>
          <w:rFonts w:ascii="宋体" w:hAnsi="宋体" w:cs="宋体"/>
          <w:color w:val="auto"/>
          <w:sz w:val="24"/>
          <w:highlight w:val="none"/>
        </w:rPr>
      </w:pPr>
    </w:p>
    <w:p w14:paraId="617DAF9A">
      <w:pPr>
        <w:pStyle w:val="43"/>
        <w:ind w:firstLine="240"/>
        <w:rPr>
          <w:rFonts w:ascii="宋体" w:hAnsi="宋体" w:cs="宋体"/>
          <w:color w:val="auto"/>
          <w:sz w:val="24"/>
          <w:highlight w:val="none"/>
        </w:rPr>
      </w:pPr>
    </w:p>
    <w:p w14:paraId="37AEE250">
      <w:pPr>
        <w:pStyle w:val="43"/>
        <w:ind w:firstLine="240"/>
        <w:rPr>
          <w:rFonts w:ascii="宋体" w:hAnsi="宋体" w:cs="宋体"/>
          <w:color w:val="auto"/>
          <w:sz w:val="24"/>
          <w:highlight w:val="none"/>
        </w:rPr>
      </w:pPr>
    </w:p>
    <w:p w14:paraId="13713E0D">
      <w:pPr>
        <w:pStyle w:val="43"/>
        <w:ind w:firstLine="240"/>
        <w:rPr>
          <w:rFonts w:ascii="宋体" w:hAnsi="宋体" w:cs="宋体"/>
          <w:color w:val="auto"/>
          <w:sz w:val="24"/>
          <w:highlight w:val="none"/>
        </w:rPr>
      </w:pPr>
    </w:p>
    <w:p w14:paraId="5D310D75">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格式2-</w:t>
      </w:r>
      <w:r>
        <w:rPr>
          <w:rFonts w:hint="eastAsia" w:ascii="宋体" w:hAnsi="宋体" w:cs="宋体"/>
          <w:color w:val="auto"/>
          <w:sz w:val="24"/>
          <w:highlight w:val="none"/>
          <w:lang w:val="en-US" w:eastAsia="zh-CN"/>
        </w:rPr>
        <w:t>3</w:t>
      </w:r>
    </w:p>
    <w:p w14:paraId="2F5BFAB4">
      <w:pPr>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授权委托书</w:t>
      </w:r>
    </w:p>
    <w:p w14:paraId="2A3504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（委托代理人参加竞争性磋商的，出具此证明书）</w:t>
      </w:r>
    </w:p>
    <w:p w14:paraId="1DF0FC86">
      <w:pPr>
        <w:spacing w:line="360" w:lineRule="auto"/>
        <w:ind w:firstLine="480" w:firstLineChars="200"/>
        <w:rPr>
          <w:rFonts w:ascii="宋体" w:hAnsi="宋体" w:cs="宋体"/>
          <w:color w:val="auto"/>
          <w:sz w:val="24"/>
          <w:highlight w:val="none"/>
        </w:rPr>
      </w:pPr>
    </w:p>
    <w:p w14:paraId="76B5D0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委托人授权（被委托人的姓名、职务）为委托人的委托代理人，就项目编号为的项目及合同的执行，以本单位名义处理一切与之有关的事务。</w:t>
      </w:r>
    </w:p>
    <w:p w14:paraId="4FECA6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本授权书于年月日签字生效，特此声明。</w:t>
      </w:r>
    </w:p>
    <w:p w14:paraId="699C6979">
      <w:pPr>
        <w:spacing w:line="360" w:lineRule="auto"/>
        <w:rPr>
          <w:rFonts w:ascii="宋体" w:hAnsi="宋体" w:cs="宋体"/>
          <w:color w:val="auto"/>
          <w:sz w:val="24"/>
          <w:highlight w:val="none"/>
        </w:rPr>
      </w:pPr>
    </w:p>
    <w:p w14:paraId="3C5A4B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委托人：</w:t>
      </w:r>
    </w:p>
    <w:p w14:paraId="109BB6E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 xml:space="preserve">电子签章：       </w:t>
      </w:r>
    </w:p>
    <w:p w14:paraId="3DF519E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被委托人：</w:t>
      </w:r>
    </w:p>
    <w:p w14:paraId="04743C4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w:t>
      </w:r>
    </w:p>
    <w:tbl>
      <w:tblPr>
        <w:tblStyle w:val="27"/>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241D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15FEE847">
            <w:pPr>
              <w:spacing w:line="480" w:lineRule="exact"/>
              <w:rPr>
                <w:rFonts w:ascii="宋体" w:hAnsi="宋体" w:cs="宋体"/>
                <w:b/>
                <w:bCs/>
                <w:color w:val="auto"/>
                <w:sz w:val="24"/>
                <w:highlight w:val="none"/>
              </w:rPr>
            </w:pPr>
          </w:p>
          <w:p w14:paraId="6E8CA7B5">
            <w:pPr>
              <w:spacing w:line="480" w:lineRule="exact"/>
              <w:rPr>
                <w:rFonts w:ascii="宋体" w:hAnsi="宋体" w:cs="宋体"/>
                <w:b/>
                <w:bCs/>
                <w:color w:val="auto"/>
                <w:sz w:val="24"/>
                <w:highlight w:val="none"/>
              </w:rPr>
            </w:pPr>
          </w:p>
          <w:p w14:paraId="78CF2DBD">
            <w:pPr>
              <w:spacing w:line="480" w:lineRule="exact"/>
              <w:jc w:val="center"/>
              <w:rPr>
                <w:rFonts w:ascii="宋体" w:hAnsi="宋体" w:cs="宋体"/>
                <w:color w:val="auto"/>
                <w:sz w:val="24"/>
                <w:highlight w:val="none"/>
              </w:rPr>
            </w:pPr>
            <w:r>
              <w:rPr>
                <w:rFonts w:hint="eastAsia" w:ascii="宋体" w:hAnsi="宋体" w:cs="宋体"/>
                <w:b/>
                <w:bCs/>
                <w:color w:val="auto"/>
                <w:sz w:val="24"/>
                <w:highlight w:val="none"/>
              </w:rPr>
              <w:t>（※附：被委托人身份证复印件※）</w:t>
            </w:r>
          </w:p>
        </w:tc>
      </w:tr>
    </w:tbl>
    <w:p w14:paraId="320114DF">
      <w:pPr>
        <w:spacing w:line="360" w:lineRule="auto"/>
        <w:ind w:firstLine="480" w:firstLineChars="200"/>
        <w:rPr>
          <w:rFonts w:ascii="宋体" w:hAnsi="宋体" w:cs="宋体"/>
          <w:color w:val="auto"/>
          <w:sz w:val="24"/>
          <w:highlight w:val="none"/>
        </w:rPr>
      </w:pPr>
    </w:p>
    <w:p w14:paraId="2DC7419C">
      <w:pPr>
        <w:spacing w:line="360" w:lineRule="auto"/>
        <w:ind w:firstLine="480" w:firstLineChars="200"/>
        <w:rPr>
          <w:rFonts w:ascii="宋体" w:hAnsi="宋体" w:cs="宋体"/>
          <w:color w:val="auto"/>
          <w:sz w:val="24"/>
          <w:highlight w:val="none"/>
        </w:rPr>
      </w:pPr>
    </w:p>
    <w:p w14:paraId="656D6A67">
      <w:pPr>
        <w:spacing w:line="360" w:lineRule="auto"/>
        <w:ind w:firstLine="480" w:firstLineChars="200"/>
        <w:rPr>
          <w:rFonts w:ascii="宋体" w:hAnsi="宋体" w:cs="宋体"/>
          <w:color w:val="auto"/>
          <w:sz w:val="24"/>
          <w:highlight w:val="none"/>
        </w:rPr>
      </w:pPr>
    </w:p>
    <w:p w14:paraId="348FF110">
      <w:pPr>
        <w:spacing w:line="360" w:lineRule="auto"/>
        <w:ind w:firstLine="4920" w:firstLineChars="2050"/>
        <w:rPr>
          <w:rFonts w:ascii="宋体" w:hAnsi="宋体" w:cs="宋体"/>
          <w:color w:val="auto"/>
          <w:sz w:val="24"/>
          <w:highlight w:val="none"/>
        </w:rPr>
      </w:pPr>
    </w:p>
    <w:p w14:paraId="018BB868">
      <w:pPr>
        <w:spacing w:line="360" w:lineRule="auto"/>
        <w:jc w:val="center"/>
        <w:rPr>
          <w:rFonts w:ascii="宋体" w:hAnsi="宋体" w:cs="宋体"/>
          <w:color w:val="auto"/>
          <w:sz w:val="24"/>
          <w:highlight w:val="none"/>
        </w:rPr>
      </w:pPr>
    </w:p>
    <w:p w14:paraId="26BCD803">
      <w:pPr>
        <w:spacing w:line="360" w:lineRule="auto"/>
        <w:jc w:val="center"/>
        <w:rPr>
          <w:rFonts w:hint="eastAsia" w:ascii="宋体" w:hAnsi="宋体" w:cs="宋体"/>
          <w:color w:val="auto"/>
          <w:sz w:val="24"/>
          <w:highlight w:val="none"/>
        </w:rPr>
      </w:pPr>
    </w:p>
    <w:p w14:paraId="3E525AA6">
      <w:pPr>
        <w:spacing w:line="360" w:lineRule="auto"/>
        <w:jc w:val="center"/>
        <w:rPr>
          <w:rFonts w:hint="eastAsia" w:ascii="宋体" w:hAnsi="宋体" w:cs="宋体"/>
          <w:color w:val="auto"/>
          <w:sz w:val="24"/>
          <w:highlight w:val="none"/>
        </w:rPr>
      </w:pPr>
    </w:p>
    <w:p w14:paraId="7741132F">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 xml:space="preserve">章： </w:t>
      </w:r>
    </w:p>
    <w:p w14:paraId="16FC257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52C587F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6E340463">
      <w:pPr>
        <w:rPr>
          <w:rFonts w:hint="eastAsia" w:ascii="宋体" w:hAnsi="宋体" w:cs="宋体"/>
          <w:color w:val="auto"/>
          <w:sz w:val="24"/>
          <w:highlight w:val="none"/>
        </w:rPr>
      </w:pPr>
      <w:r>
        <w:rPr>
          <w:rFonts w:hint="eastAsia" w:ascii="宋体" w:hAnsi="宋体" w:cs="宋体"/>
          <w:color w:val="auto"/>
          <w:sz w:val="24"/>
          <w:highlight w:val="none"/>
        </w:rPr>
        <w:br w:type="page"/>
      </w:r>
    </w:p>
    <w:p w14:paraId="270CBBCB">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格式2-3政府采购法第二十二条及参加政府采购活动前三年内无重大违法记录的书面声明</w:t>
      </w:r>
    </w:p>
    <w:p w14:paraId="5AD4206B">
      <w:pPr>
        <w:spacing w:line="360" w:lineRule="auto"/>
        <w:jc w:val="left"/>
        <w:rPr>
          <w:rFonts w:ascii="宋体" w:hAnsi="宋体" w:cs="宋体"/>
          <w:color w:val="auto"/>
          <w:sz w:val="24"/>
          <w:highlight w:val="none"/>
        </w:rPr>
      </w:pPr>
    </w:p>
    <w:p w14:paraId="678C27A2">
      <w:pPr>
        <w:spacing w:line="360" w:lineRule="auto"/>
        <w:jc w:val="left"/>
        <w:rPr>
          <w:rFonts w:ascii="宋体" w:hAnsi="宋体" w:cs="宋体"/>
          <w:color w:val="auto"/>
          <w:sz w:val="24"/>
          <w:highlight w:val="none"/>
        </w:rPr>
      </w:pPr>
    </w:p>
    <w:p w14:paraId="4A8E2CC5">
      <w:pPr>
        <w:spacing w:line="360" w:lineRule="auto"/>
        <w:jc w:val="left"/>
        <w:rPr>
          <w:rFonts w:ascii="宋体" w:hAnsi="宋体" w:cs="宋体"/>
          <w:color w:val="auto"/>
          <w:sz w:val="24"/>
          <w:highlight w:val="none"/>
        </w:rPr>
      </w:pPr>
    </w:p>
    <w:p w14:paraId="590EBD7D">
      <w:pPr>
        <w:spacing w:line="360" w:lineRule="auto"/>
        <w:jc w:val="left"/>
        <w:rPr>
          <w:rFonts w:ascii="宋体" w:hAnsi="宋体" w:cs="宋体"/>
          <w:color w:val="auto"/>
          <w:sz w:val="24"/>
          <w:highlight w:val="none"/>
        </w:rPr>
      </w:pPr>
    </w:p>
    <w:p w14:paraId="2CD1E1EA">
      <w:pPr>
        <w:rPr>
          <w:rFonts w:hint="eastAsia" w:ascii="宋体" w:hAnsi="宋体" w:cs="宋体"/>
          <w:color w:val="auto"/>
          <w:sz w:val="24"/>
          <w:highlight w:val="none"/>
        </w:rPr>
      </w:pPr>
      <w:r>
        <w:rPr>
          <w:rFonts w:hint="eastAsia" w:ascii="宋体" w:hAnsi="宋体" w:cs="宋体"/>
          <w:color w:val="auto"/>
          <w:sz w:val="24"/>
          <w:highlight w:val="none"/>
        </w:rPr>
        <w:br w:type="page"/>
      </w:r>
    </w:p>
    <w:p w14:paraId="4968A0ED">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格式3</w:t>
      </w:r>
    </w:p>
    <w:p w14:paraId="5381893E">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投标函</w:t>
      </w:r>
    </w:p>
    <w:p w14:paraId="1FB9A650">
      <w:pPr>
        <w:pStyle w:val="24"/>
        <w:shd w:val="clear" w:color="auto" w:fill="FFFFFF"/>
        <w:adjustRightInd w:val="0"/>
        <w:snapToGrid w:val="0"/>
        <w:spacing w:before="0" w:beforeAutospacing="0" w:after="0" w:afterAutospacing="0" w:line="360" w:lineRule="auto"/>
        <w:rPr>
          <w:rFonts w:ascii="宋体" w:hAnsi="宋体" w:cs="宋体"/>
          <w:color w:val="auto"/>
          <w:kern w:val="0"/>
          <w:sz w:val="24"/>
          <w:highlight w:val="none"/>
        </w:rPr>
      </w:pPr>
      <w:r>
        <w:rPr>
          <w:rFonts w:hint="eastAsia" w:cs="宋体"/>
          <w:color w:val="auto"/>
          <w:szCs w:val="24"/>
          <w:highlight w:val="none"/>
        </w:rPr>
        <w:t>致：</w:t>
      </w:r>
      <w:r>
        <w:rPr>
          <w:rFonts w:hint="eastAsia" w:ascii="宋体" w:hAnsi="宋体" w:eastAsia="宋体" w:cs="宋体"/>
          <w:b w:val="0"/>
          <w:color w:val="auto"/>
          <w:kern w:val="2"/>
          <w:sz w:val="24"/>
          <w:highlight w:val="none"/>
          <w:lang w:val="en-US" w:eastAsia="zh-CN" w:bidi="ar-SA"/>
        </w:rPr>
        <w:t>（采购人或采购代理机构）</w:t>
      </w:r>
    </w:p>
    <w:p w14:paraId="501F7905">
      <w:pPr>
        <w:pStyle w:val="63"/>
        <w:ind w:firstLine="600" w:firstLineChars="250"/>
        <w:rPr>
          <w:rFonts w:ascii="宋体" w:hAnsi="宋体"/>
          <w:color w:val="auto"/>
          <w:sz w:val="24"/>
          <w:szCs w:val="24"/>
          <w:highlight w:val="none"/>
        </w:rPr>
      </w:pPr>
      <w:r>
        <w:rPr>
          <w:rFonts w:hint="eastAsia" w:ascii="宋体" w:hAnsi="宋体"/>
          <w:color w:val="auto"/>
          <w:sz w:val="24"/>
          <w:szCs w:val="24"/>
          <w:highlight w:val="none"/>
        </w:rPr>
        <w:t>根据贵方</w:t>
      </w:r>
      <w:r>
        <w:rPr>
          <w:rFonts w:hint="eastAsia" w:ascii="宋体" w:hAnsi="宋体"/>
          <w:color w:val="auto"/>
          <w:sz w:val="24"/>
          <w:szCs w:val="24"/>
          <w:highlight w:val="none"/>
          <w:u w:val="single"/>
        </w:rPr>
        <w:t>（本项目名称）</w:t>
      </w:r>
      <w:r>
        <w:rPr>
          <w:rFonts w:hint="eastAsia" w:ascii="宋体" w:hAnsi="宋体"/>
          <w:color w:val="auto"/>
          <w:sz w:val="24"/>
          <w:szCs w:val="24"/>
          <w:highlight w:val="none"/>
        </w:rPr>
        <w:t>项目的竞争性磋商邀请（项目编号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），委托代理人 (全名、职务)代表 供应商名称、地址)提交投标文件，报价为</w:t>
      </w:r>
      <w:r>
        <w:rPr>
          <w:rFonts w:hint="eastAsia" w:ascii="宋体" w:hAnsi="宋体"/>
          <w:color w:val="auto"/>
          <w:sz w:val="24"/>
          <w:szCs w:val="24"/>
          <w:highlight w:val="none"/>
          <w:u w:val="single"/>
        </w:rPr>
        <w:t>：    元，</w:t>
      </w:r>
      <w:r>
        <w:rPr>
          <w:rFonts w:hint="eastAsia" w:ascii="宋体" w:hAnsi="宋体"/>
          <w:color w:val="auto"/>
          <w:sz w:val="24"/>
          <w:szCs w:val="24"/>
          <w:highlight w:val="none"/>
        </w:rPr>
        <w:t>并对之负法律责任。</w:t>
      </w:r>
    </w:p>
    <w:p w14:paraId="2C73A7D1">
      <w:pPr>
        <w:ind w:firstLine="568" w:firstLineChars="237"/>
        <w:rPr>
          <w:rFonts w:ascii="宋体" w:hAnsi="宋体" w:cs="宋体"/>
          <w:color w:val="auto"/>
          <w:sz w:val="24"/>
          <w:highlight w:val="none"/>
        </w:rPr>
      </w:pPr>
      <w:r>
        <w:rPr>
          <w:rFonts w:hint="eastAsia" w:ascii="宋体" w:hAnsi="宋体" w:cs="宋体"/>
          <w:color w:val="auto"/>
          <w:sz w:val="24"/>
          <w:highlight w:val="none"/>
        </w:rPr>
        <w:t>据此函，宣布同意如下：</w:t>
      </w:r>
    </w:p>
    <w:p w14:paraId="4E098A18">
      <w:pPr>
        <w:ind w:firstLine="480" w:firstLineChars="200"/>
        <w:rPr>
          <w:rFonts w:ascii="宋体" w:hAnsi="宋体" w:cs="宋体"/>
          <w:color w:val="auto"/>
          <w:sz w:val="24"/>
          <w:highlight w:val="none"/>
        </w:rPr>
      </w:pPr>
      <w:r>
        <w:rPr>
          <w:rFonts w:hint="eastAsia" w:ascii="宋体" w:hAnsi="宋体" w:cs="宋体"/>
          <w:color w:val="auto"/>
          <w:sz w:val="24"/>
          <w:highlight w:val="none"/>
        </w:rPr>
        <w:t>(1)我们完全理解贵方不一定要接受最低报价，并同意本文件规定的响应性文件有效期。</w:t>
      </w:r>
    </w:p>
    <w:p w14:paraId="6F35DEC8">
      <w:pPr>
        <w:ind w:firstLine="480" w:firstLineChars="200"/>
        <w:rPr>
          <w:rFonts w:ascii="宋体" w:hAnsi="宋体" w:cs="宋体"/>
          <w:color w:val="auto"/>
          <w:sz w:val="24"/>
          <w:highlight w:val="none"/>
        </w:rPr>
      </w:pPr>
      <w:r>
        <w:rPr>
          <w:rFonts w:hint="eastAsia" w:ascii="宋体" w:hAnsi="宋体" w:cs="宋体"/>
          <w:color w:val="auto"/>
          <w:sz w:val="24"/>
          <w:highlight w:val="none"/>
        </w:rPr>
        <w:t>(2)我们已详细审核全部竞争性磋商文件，我们知道必须放弃提出含糊不清或误解的问题的权利。</w:t>
      </w:r>
    </w:p>
    <w:p w14:paraId="63BECE3B">
      <w:pPr>
        <w:numPr>
          <w:ilvl w:val="0"/>
          <w:numId w:val="5"/>
        </w:numPr>
        <w:ind w:firstLine="480" w:firstLineChars="200"/>
        <w:rPr>
          <w:rFonts w:ascii="宋体" w:hAnsi="宋体" w:cs="宋体"/>
          <w:color w:val="auto"/>
          <w:sz w:val="24"/>
          <w:highlight w:val="none"/>
        </w:rPr>
      </w:pPr>
      <w:r>
        <w:rPr>
          <w:rFonts w:hint="eastAsia" w:ascii="宋体" w:hAnsi="宋体" w:cs="宋体"/>
          <w:color w:val="auto"/>
          <w:sz w:val="24"/>
          <w:highlight w:val="none"/>
        </w:rPr>
        <w:t>同意向贵方提供贵方可能另外要求的与其竞争性磋商有关的任何证据和资料。</w:t>
      </w:r>
    </w:p>
    <w:p w14:paraId="008C903E">
      <w:pPr>
        <w:ind w:firstLine="480" w:firstLineChars="200"/>
        <w:rPr>
          <w:rFonts w:ascii="宋体" w:hAnsi="宋体" w:cs="宋体"/>
          <w:color w:val="auto"/>
          <w:sz w:val="24"/>
          <w:highlight w:val="none"/>
        </w:rPr>
      </w:pPr>
      <w:r>
        <w:rPr>
          <w:rFonts w:hint="eastAsia" w:ascii="宋体" w:hAnsi="宋体" w:cs="宋体"/>
          <w:color w:val="auto"/>
          <w:sz w:val="24"/>
          <w:highlight w:val="none"/>
        </w:rPr>
        <w:t>(4)一旦我们成交，我们将严格履行合同责任和义务。</w:t>
      </w:r>
    </w:p>
    <w:p w14:paraId="3647BD7D">
      <w:pPr>
        <w:ind w:firstLine="480" w:firstLineChars="200"/>
        <w:rPr>
          <w:rFonts w:ascii="宋体" w:hAnsi="宋体" w:cs="宋体"/>
          <w:color w:val="auto"/>
          <w:sz w:val="24"/>
          <w:highlight w:val="none"/>
        </w:rPr>
      </w:pPr>
      <w:r>
        <w:rPr>
          <w:rFonts w:hint="eastAsia" w:ascii="宋体" w:hAnsi="宋体" w:cs="宋体"/>
          <w:color w:val="auto"/>
          <w:sz w:val="24"/>
          <w:highlight w:val="none"/>
        </w:rPr>
        <w:t>(5)我们完全理解不向未成交人解释未成交理由的义务。</w:t>
      </w:r>
    </w:p>
    <w:p w14:paraId="42DDAF79">
      <w:pPr>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(6)</w:t>
      </w:r>
      <w:r>
        <w:rPr>
          <w:rFonts w:hint="eastAsia" w:ascii="宋体" w:hAnsi="宋体" w:cs="宋体"/>
          <w:color w:val="auto"/>
          <w:sz w:val="24"/>
          <w:highlight w:val="none"/>
          <w:lang w:val="zh-CN"/>
        </w:rPr>
        <w:t>如果我们的谈判响应文件被接受，我们将履行谈判文件中规定的每一项要求，按期、按质、按量履行合同。</w:t>
      </w:r>
    </w:p>
    <w:p w14:paraId="48B362BC">
      <w:pPr>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zh-CN"/>
        </w:rPr>
        <w:t>我方愿按《中华人民共和国合同法》履行我方的全部责任。</w:t>
      </w:r>
    </w:p>
    <w:p w14:paraId="671E15B7">
      <w:pPr>
        <w:ind w:firstLine="480" w:firstLineChars="200"/>
        <w:rPr>
          <w:rFonts w:ascii="宋体" w:hAnsi="宋体" w:cs="宋体"/>
          <w:color w:val="auto"/>
          <w:sz w:val="24"/>
          <w:highlight w:val="none"/>
        </w:rPr>
      </w:pPr>
      <w:r>
        <w:rPr>
          <w:rFonts w:hint="eastAsia" w:ascii="宋体" w:hAnsi="宋体" w:cs="宋体"/>
          <w:color w:val="auto"/>
          <w:sz w:val="24"/>
          <w:highlight w:val="none"/>
        </w:rPr>
        <w:t>(8)与本次竞争性磋商有关的正式通讯地址为：</w:t>
      </w:r>
    </w:p>
    <w:p w14:paraId="4CA9CD33">
      <w:pPr>
        <w:ind w:firstLine="480" w:firstLineChars="200"/>
        <w:rPr>
          <w:rFonts w:ascii="宋体" w:hAnsi="宋体" w:cs="宋体"/>
          <w:color w:val="auto"/>
          <w:sz w:val="24"/>
          <w:highlight w:val="none"/>
        </w:rPr>
      </w:pPr>
      <w:r>
        <w:rPr>
          <w:rFonts w:hint="eastAsia" w:ascii="宋体" w:hAnsi="宋体" w:cs="宋体"/>
          <w:color w:val="auto"/>
          <w:sz w:val="24"/>
          <w:highlight w:val="none"/>
        </w:rPr>
        <w:t>地 址：                  邮 编：</w:t>
      </w:r>
    </w:p>
    <w:p w14:paraId="6CB3CFFD">
      <w:pPr>
        <w:ind w:firstLine="480" w:firstLineChars="200"/>
        <w:rPr>
          <w:rFonts w:ascii="宋体" w:hAnsi="宋体" w:cs="宋体"/>
          <w:color w:val="auto"/>
          <w:sz w:val="24"/>
          <w:highlight w:val="none"/>
        </w:rPr>
      </w:pPr>
      <w:r>
        <w:rPr>
          <w:rFonts w:hint="eastAsia" w:ascii="宋体" w:hAnsi="宋体" w:cs="宋体"/>
          <w:color w:val="auto"/>
          <w:sz w:val="24"/>
          <w:highlight w:val="none"/>
        </w:rPr>
        <w:t>电 话：                  电子信箱：</w:t>
      </w:r>
    </w:p>
    <w:p w14:paraId="0A170A31">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我们保证：</w:t>
      </w:r>
    </w:p>
    <w:p w14:paraId="08435BD2">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(1)不提供虚假材料谋取成交；</w:t>
      </w:r>
    </w:p>
    <w:p w14:paraId="523E22C2">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(2)不以不正当手段抵毁、排挤其他供应商；</w:t>
      </w:r>
    </w:p>
    <w:p w14:paraId="695DE018">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(3)不与采购人和其它供应商恶意串通；</w:t>
      </w:r>
    </w:p>
    <w:p w14:paraId="0C13C564">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(4)不向采购人和采购代理机构提供不正当利益；</w:t>
      </w:r>
    </w:p>
    <w:p w14:paraId="074C4C9B">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(5)不拒绝有关部门监督检查或提供虚假情况。</w:t>
      </w:r>
    </w:p>
    <w:p w14:paraId="7C511947">
      <w:pPr>
        <w:spacing w:line="560" w:lineRule="exact"/>
        <w:jc w:val="left"/>
        <w:rPr>
          <w:rFonts w:ascii="宋体" w:hAnsi="宋体" w:cs="宋体"/>
          <w:color w:val="auto"/>
          <w:sz w:val="24"/>
          <w:highlight w:val="none"/>
        </w:rPr>
      </w:pPr>
    </w:p>
    <w:p w14:paraId="4111A60A">
      <w:pPr>
        <w:spacing w:line="56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联系人：              联系电话：</w:t>
      </w:r>
    </w:p>
    <w:p w14:paraId="0C8C07A6">
      <w:pPr>
        <w:spacing w:line="360" w:lineRule="auto"/>
        <w:jc w:val="left"/>
        <w:rPr>
          <w:rFonts w:ascii="宋体" w:hAnsi="宋体" w:cs="宋体"/>
          <w:color w:val="auto"/>
          <w:sz w:val="24"/>
          <w:highlight w:val="none"/>
        </w:rPr>
      </w:pPr>
    </w:p>
    <w:p w14:paraId="32E1D113">
      <w:pPr>
        <w:spacing w:line="360" w:lineRule="auto"/>
        <w:jc w:val="left"/>
        <w:rPr>
          <w:rFonts w:ascii="宋体" w:hAnsi="宋体" w:cs="宋体"/>
          <w:color w:val="auto"/>
          <w:sz w:val="24"/>
          <w:highlight w:val="none"/>
        </w:rPr>
      </w:pPr>
    </w:p>
    <w:p w14:paraId="3073074C">
      <w:pPr>
        <w:spacing w:line="360" w:lineRule="auto"/>
        <w:jc w:val="left"/>
        <w:rPr>
          <w:rFonts w:ascii="宋体" w:hAnsi="宋体" w:cs="宋体"/>
          <w:color w:val="auto"/>
          <w:sz w:val="24"/>
          <w:highlight w:val="none"/>
        </w:rPr>
      </w:pPr>
    </w:p>
    <w:p w14:paraId="080BF8B8">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 xml:space="preserve">章： </w:t>
      </w:r>
    </w:p>
    <w:p w14:paraId="47D0309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1ED77997">
      <w:pPr>
        <w:spacing w:line="360" w:lineRule="auto"/>
        <w:jc w:val="left"/>
        <w:rPr>
          <w:rFonts w:hint="eastAsia" w:ascii="宋体" w:hAnsi="宋体" w:eastAsia="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格式4</w:t>
      </w:r>
    </w:p>
    <w:p w14:paraId="10DB2780">
      <w:pPr>
        <w:spacing w:line="360" w:lineRule="auto"/>
        <w:jc w:val="center"/>
        <w:rPr>
          <w:rFonts w:hint="eastAsia" w:ascii="宋体" w:hAnsi="宋体" w:eastAsia="宋体" w:cs="宋体"/>
          <w:color w:val="auto"/>
          <w:sz w:val="24"/>
          <w:highlight w:val="none"/>
        </w:rPr>
      </w:pPr>
      <w:bookmarkStart w:id="30" w:name="_Toc197934561"/>
      <w:bookmarkStart w:id="31" w:name="_Toc495414231"/>
      <w:r>
        <w:rPr>
          <w:rFonts w:hint="eastAsia" w:ascii="宋体" w:hAnsi="宋体" w:eastAsia="宋体" w:cs="宋体"/>
          <w:color w:val="auto"/>
          <w:sz w:val="24"/>
          <w:highlight w:val="none"/>
        </w:rPr>
        <w:t>一．报价一览表</w:t>
      </w:r>
      <w:bookmarkEnd w:id="30"/>
      <w:bookmarkEnd w:id="31"/>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5B4C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12651053">
            <w:pPr>
              <w:widowControl/>
              <w:spacing w:line="3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14:paraId="0642CBC4">
            <w:pPr>
              <w:spacing w:line="360" w:lineRule="exact"/>
              <w:jc w:val="both"/>
              <w:rPr>
                <w:rFonts w:ascii="宋体" w:hAnsi="宋体" w:cs="宋体"/>
                <w:color w:val="auto"/>
                <w:sz w:val="24"/>
                <w:highlight w:val="none"/>
              </w:rPr>
            </w:pPr>
          </w:p>
        </w:tc>
      </w:tr>
      <w:tr w14:paraId="6FDF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06FC1FEA">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投标人全称</w:t>
            </w:r>
          </w:p>
        </w:tc>
        <w:tc>
          <w:tcPr>
            <w:tcW w:w="6667" w:type="dxa"/>
            <w:tcBorders>
              <w:top w:val="nil"/>
            </w:tcBorders>
            <w:vAlign w:val="center"/>
          </w:tcPr>
          <w:p w14:paraId="2C8A7B26">
            <w:pPr>
              <w:spacing w:line="360" w:lineRule="auto"/>
              <w:rPr>
                <w:rFonts w:ascii="宋体" w:hAnsi="宋体" w:cs="宋体"/>
                <w:color w:val="auto"/>
                <w:sz w:val="24"/>
                <w:highlight w:val="none"/>
              </w:rPr>
            </w:pPr>
          </w:p>
        </w:tc>
      </w:tr>
      <w:tr w14:paraId="2141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C040825">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最终投标报价（包：）</w:t>
            </w:r>
          </w:p>
          <w:p w14:paraId="4C26592B">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（人民币）</w:t>
            </w:r>
          </w:p>
        </w:tc>
        <w:tc>
          <w:tcPr>
            <w:tcW w:w="6667" w:type="dxa"/>
            <w:tcBorders>
              <w:top w:val="nil"/>
            </w:tcBorders>
            <w:vAlign w:val="center"/>
          </w:tcPr>
          <w:p w14:paraId="3F6ADB10">
            <w:pPr>
              <w:spacing w:line="360" w:lineRule="auto"/>
              <w:ind w:right="-670"/>
              <w:rPr>
                <w:rFonts w:ascii="宋体" w:hAnsi="宋体" w:cs="宋体"/>
                <w:color w:val="auto"/>
                <w:sz w:val="24"/>
                <w:highlight w:val="none"/>
              </w:rPr>
            </w:pPr>
            <w:r>
              <w:rPr>
                <w:rFonts w:hint="eastAsia" w:ascii="宋体" w:hAnsi="宋体" w:cs="宋体"/>
                <w:color w:val="auto"/>
                <w:sz w:val="24"/>
                <w:highlight w:val="none"/>
              </w:rPr>
              <w:t xml:space="preserve">投标总价：       大写：           </w:t>
            </w:r>
          </w:p>
        </w:tc>
      </w:tr>
      <w:tr w14:paraId="572E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3934BDF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c>
          <w:tcPr>
            <w:tcW w:w="6667" w:type="dxa"/>
            <w:tcBorders>
              <w:top w:val="nil"/>
            </w:tcBorders>
            <w:vAlign w:val="center"/>
          </w:tcPr>
          <w:p w14:paraId="00FFA40E">
            <w:pPr>
              <w:spacing w:line="360" w:lineRule="auto"/>
              <w:jc w:val="left"/>
              <w:rPr>
                <w:rFonts w:ascii="宋体" w:hAnsi="宋体" w:cs="宋体"/>
                <w:color w:val="auto"/>
                <w:sz w:val="24"/>
                <w:highlight w:val="none"/>
              </w:rPr>
            </w:pPr>
          </w:p>
        </w:tc>
      </w:tr>
    </w:tbl>
    <w:p w14:paraId="1E2BEC27">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 xml:space="preserve">章： </w:t>
      </w:r>
    </w:p>
    <w:p w14:paraId="4D3682E7">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备注：</w:t>
      </w:r>
    </w:p>
    <w:p w14:paraId="236A566E">
      <w:pPr>
        <w:spacing w:line="360" w:lineRule="auto"/>
        <w:rPr>
          <w:rFonts w:ascii="宋体" w:hAnsi="宋体" w:cs="宋体"/>
          <w:color w:val="auto"/>
          <w:sz w:val="24"/>
          <w:highlight w:val="none"/>
        </w:rPr>
      </w:pPr>
      <w:r>
        <w:rPr>
          <w:rFonts w:hint="eastAsia" w:ascii="宋体" w:hAnsi="宋体" w:cs="宋体"/>
          <w:color w:val="auto"/>
          <w:sz w:val="24"/>
          <w:highlight w:val="none"/>
        </w:rPr>
        <w:t>1、此表用于开标会唱标之用。</w:t>
      </w:r>
    </w:p>
    <w:p w14:paraId="364F7C54">
      <w:pPr>
        <w:spacing w:line="360" w:lineRule="auto"/>
        <w:rPr>
          <w:rFonts w:ascii="宋体" w:hAnsi="宋体" w:cs="宋体"/>
          <w:color w:val="auto"/>
          <w:sz w:val="24"/>
          <w:highlight w:val="none"/>
        </w:rPr>
      </w:pPr>
      <w:r>
        <w:rPr>
          <w:rFonts w:hint="eastAsia" w:ascii="宋体" w:hAnsi="宋体" w:cs="宋体"/>
          <w:color w:val="auto"/>
          <w:sz w:val="24"/>
          <w:highlight w:val="none"/>
        </w:rPr>
        <w:t>2、表中最终投标报价即为优惠后报价，并作为评审及定标依据。任何有选择或有条件的最终投标报价，或者表中某一包填写多个报价，均为无效报价。</w:t>
      </w:r>
    </w:p>
    <w:p w14:paraId="7BF0BD0E">
      <w:pPr>
        <w:spacing w:line="360" w:lineRule="auto"/>
        <w:jc w:val="left"/>
        <w:rPr>
          <w:rFonts w:ascii="宋体" w:hAnsi="宋体" w:cs="宋体"/>
          <w:color w:val="auto"/>
          <w:sz w:val="24"/>
          <w:highlight w:val="none"/>
        </w:rPr>
      </w:pPr>
      <w:bookmarkStart w:id="32" w:name="_Toc495414234"/>
      <w:bookmarkStart w:id="33" w:name="_Toc220232409"/>
    </w:p>
    <w:p w14:paraId="36529120">
      <w:pPr>
        <w:pStyle w:val="43"/>
        <w:ind w:firstLine="240"/>
        <w:rPr>
          <w:rFonts w:ascii="宋体" w:hAnsi="宋体" w:cs="宋体"/>
          <w:color w:val="auto"/>
          <w:sz w:val="24"/>
          <w:highlight w:val="none"/>
        </w:rPr>
      </w:pPr>
    </w:p>
    <w:p w14:paraId="01177790">
      <w:pPr>
        <w:pStyle w:val="43"/>
        <w:ind w:firstLine="240"/>
        <w:rPr>
          <w:rFonts w:ascii="宋体" w:hAnsi="宋体" w:cs="宋体"/>
          <w:color w:val="auto"/>
          <w:sz w:val="24"/>
          <w:highlight w:val="none"/>
        </w:rPr>
      </w:pPr>
    </w:p>
    <w:p w14:paraId="407DEBC6">
      <w:pPr>
        <w:pStyle w:val="43"/>
        <w:ind w:firstLine="240"/>
        <w:rPr>
          <w:rFonts w:ascii="宋体" w:hAnsi="宋体" w:cs="宋体"/>
          <w:color w:val="auto"/>
          <w:sz w:val="24"/>
          <w:highlight w:val="none"/>
        </w:rPr>
      </w:pPr>
    </w:p>
    <w:p w14:paraId="41A4AF41">
      <w:pPr>
        <w:pStyle w:val="43"/>
        <w:ind w:firstLine="240"/>
        <w:rPr>
          <w:rFonts w:ascii="宋体" w:hAnsi="宋体" w:cs="宋体"/>
          <w:color w:val="auto"/>
          <w:sz w:val="24"/>
          <w:highlight w:val="none"/>
        </w:rPr>
      </w:pPr>
    </w:p>
    <w:p w14:paraId="14FAC393">
      <w:pPr>
        <w:pStyle w:val="43"/>
        <w:ind w:firstLine="240"/>
        <w:rPr>
          <w:rFonts w:ascii="宋体" w:hAnsi="宋体" w:cs="宋体"/>
          <w:color w:val="auto"/>
          <w:sz w:val="24"/>
          <w:highlight w:val="none"/>
        </w:rPr>
      </w:pPr>
    </w:p>
    <w:p w14:paraId="7E446A09">
      <w:pPr>
        <w:pStyle w:val="43"/>
        <w:ind w:firstLine="240"/>
        <w:rPr>
          <w:rFonts w:ascii="宋体" w:hAnsi="宋体" w:cs="宋体"/>
          <w:color w:val="auto"/>
          <w:sz w:val="24"/>
          <w:highlight w:val="none"/>
        </w:rPr>
      </w:pPr>
    </w:p>
    <w:p w14:paraId="7DFB0467">
      <w:pPr>
        <w:spacing w:line="360" w:lineRule="auto"/>
        <w:jc w:val="left"/>
        <w:rPr>
          <w:rFonts w:ascii="宋体" w:hAnsi="宋体" w:cs="宋体"/>
          <w:color w:val="auto"/>
          <w:sz w:val="24"/>
          <w:highlight w:val="none"/>
        </w:rPr>
      </w:pPr>
    </w:p>
    <w:p w14:paraId="2D99F3BD">
      <w:pPr>
        <w:spacing w:line="360" w:lineRule="auto"/>
        <w:jc w:val="left"/>
        <w:rPr>
          <w:rFonts w:hint="eastAsia" w:ascii="宋体" w:hAnsi="宋体" w:cs="宋体"/>
          <w:color w:val="auto"/>
          <w:sz w:val="24"/>
          <w:highlight w:val="none"/>
        </w:rPr>
      </w:pPr>
    </w:p>
    <w:p w14:paraId="08C5A19F">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格式5</w:t>
      </w:r>
    </w:p>
    <w:p w14:paraId="62A9AB61">
      <w:pPr>
        <w:bidi w:val="0"/>
        <w:jc w:val="center"/>
        <w:rPr>
          <w:color w:val="auto"/>
          <w:sz w:val="32"/>
          <w:szCs w:val="40"/>
          <w:highlight w:val="none"/>
        </w:rPr>
      </w:pPr>
      <w:r>
        <w:rPr>
          <w:rFonts w:hint="eastAsia"/>
          <w:color w:val="auto"/>
          <w:sz w:val="32"/>
          <w:szCs w:val="40"/>
          <w:highlight w:val="none"/>
        </w:rPr>
        <w:t>投标分项报价表</w:t>
      </w:r>
      <w:bookmarkEnd w:id="32"/>
      <w:bookmarkEnd w:id="33"/>
    </w:p>
    <w:tbl>
      <w:tblPr>
        <w:tblStyle w:val="2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66BF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0573FCAB">
            <w:pPr>
              <w:pStyle w:val="67"/>
              <w:widowControl w:val="0"/>
              <w:spacing w:before="0" w:beforeAutospacing="0" w:after="0" w:afterAutospacing="0" w:line="340" w:lineRule="exact"/>
              <w:rPr>
                <w:rFonts w:cs="宋体"/>
                <w:b w:val="0"/>
                <w:bCs w:val="0"/>
                <w:color w:val="auto"/>
                <w:kern w:val="2"/>
                <w:sz w:val="24"/>
                <w:szCs w:val="24"/>
                <w:highlight w:val="none"/>
              </w:rPr>
            </w:pPr>
            <w:r>
              <w:rPr>
                <w:rFonts w:hint="eastAsia" w:cs="宋体"/>
                <w:b w:val="0"/>
                <w:bCs w:val="0"/>
                <w:color w:val="auto"/>
                <w:kern w:val="2"/>
                <w:sz w:val="24"/>
                <w:szCs w:val="24"/>
                <w:highlight w:val="none"/>
              </w:rPr>
              <w:t>序号</w:t>
            </w:r>
          </w:p>
        </w:tc>
        <w:tc>
          <w:tcPr>
            <w:tcW w:w="2205" w:type="dxa"/>
            <w:vAlign w:val="center"/>
          </w:tcPr>
          <w:p w14:paraId="3234C5E5">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服务项目名称</w:t>
            </w:r>
          </w:p>
        </w:tc>
        <w:tc>
          <w:tcPr>
            <w:tcW w:w="957" w:type="dxa"/>
            <w:vAlign w:val="center"/>
          </w:tcPr>
          <w:p w14:paraId="49F66A63">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840" w:type="dxa"/>
            <w:vAlign w:val="center"/>
          </w:tcPr>
          <w:p w14:paraId="3D299EA5">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260" w:type="dxa"/>
            <w:vAlign w:val="center"/>
          </w:tcPr>
          <w:p w14:paraId="68606B8A">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单价</w:t>
            </w:r>
          </w:p>
        </w:tc>
        <w:tc>
          <w:tcPr>
            <w:tcW w:w="1340" w:type="dxa"/>
            <w:vAlign w:val="center"/>
          </w:tcPr>
          <w:p w14:paraId="6F52BE58">
            <w:pPr>
              <w:spacing w:line="340" w:lineRule="exact"/>
              <w:jc w:val="center"/>
              <w:rPr>
                <w:rFonts w:ascii="宋体" w:hAnsi="宋体" w:cs="宋体"/>
                <w:color w:val="auto"/>
                <w:sz w:val="24"/>
                <w:highlight w:val="none"/>
              </w:rPr>
            </w:pPr>
            <w:r>
              <w:rPr>
                <w:rFonts w:hint="eastAsia" w:ascii="宋体" w:hAnsi="宋体" w:cs="宋体"/>
                <w:bCs/>
                <w:color w:val="auto"/>
                <w:sz w:val="24"/>
                <w:highlight w:val="none"/>
              </w:rPr>
              <w:t>小计</w:t>
            </w:r>
          </w:p>
        </w:tc>
        <w:tc>
          <w:tcPr>
            <w:tcW w:w="1347" w:type="dxa"/>
            <w:vAlign w:val="center"/>
          </w:tcPr>
          <w:p w14:paraId="61A8E99A">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54A9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6C2F91BB">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205" w:type="dxa"/>
          </w:tcPr>
          <w:p w14:paraId="4E01721F">
            <w:pPr>
              <w:spacing w:line="340" w:lineRule="exact"/>
              <w:rPr>
                <w:rFonts w:ascii="宋体" w:hAnsi="宋体" w:cs="宋体"/>
                <w:color w:val="auto"/>
                <w:sz w:val="24"/>
                <w:highlight w:val="none"/>
              </w:rPr>
            </w:pPr>
          </w:p>
        </w:tc>
        <w:tc>
          <w:tcPr>
            <w:tcW w:w="957" w:type="dxa"/>
          </w:tcPr>
          <w:p w14:paraId="71EC0CCA">
            <w:pPr>
              <w:spacing w:line="340" w:lineRule="exact"/>
              <w:rPr>
                <w:rFonts w:ascii="宋体" w:hAnsi="宋体" w:cs="宋体"/>
                <w:color w:val="auto"/>
                <w:sz w:val="24"/>
                <w:highlight w:val="none"/>
              </w:rPr>
            </w:pPr>
          </w:p>
        </w:tc>
        <w:tc>
          <w:tcPr>
            <w:tcW w:w="840" w:type="dxa"/>
          </w:tcPr>
          <w:p w14:paraId="51DE779F">
            <w:pPr>
              <w:spacing w:line="340" w:lineRule="exact"/>
              <w:rPr>
                <w:rFonts w:ascii="宋体" w:hAnsi="宋体" w:cs="宋体"/>
                <w:color w:val="auto"/>
                <w:sz w:val="24"/>
                <w:highlight w:val="none"/>
              </w:rPr>
            </w:pPr>
          </w:p>
        </w:tc>
        <w:tc>
          <w:tcPr>
            <w:tcW w:w="1260" w:type="dxa"/>
          </w:tcPr>
          <w:p w14:paraId="1C545F34">
            <w:pPr>
              <w:spacing w:line="340" w:lineRule="exact"/>
              <w:rPr>
                <w:rFonts w:ascii="宋体" w:hAnsi="宋体" w:cs="宋体"/>
                <w:color w:val="auto"/>
                <w:sz w:val="24"/>
                <w:highlight w:val="none"/>
              </w:rPr>
            </w:pPr>
          </w:p>
        </w:tc>
        <w:tc>
          <w:tcPr>
            <w:tcW w:w="1340" w:type="dxa"/>
          </w:tcPr>
          <w:p w14:paraId="2FD32A5E">
            <w:pPr>
              <w:spacing w:line="340" w:lineRule="exact"/>
              <w:rPr>
                <w:rFonts w:ascii="宋体" w:hAnsi="宋体" w:cs="宋体"/>
                <w:color w:val="auto"/>
                <w:sz w:val="24"/>
                <w:highlight w:val="none"/>
              </w:rPr>
            </w:pPr>
          </w:p>
        </w:tc>
        <w:tc>
          <w:tcPr>
            <w:tcW w:w="1347" w:type="dxa"/>
          </w:tcPr>
          <w:p w14:paraId="025931BB">
            <w:pPr>
              <w:spacing w:line="340" w:lineRule="exact"/>
              <w:rPr>
                <w:rFonts w:ascii="宋体" w:hAnsi="宋体" w:cs="宋体"/>
                <w:color w:val="auto"/>
                <w:sz w:val="24"/>
                <w:highlight w:val="none"/>
              </w:rPr>
            </w:pPr>
          </w:p>
        </w:tc>
      </w:tr>
      <w:tr w14:paraId="0A9A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2A841C5">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205" w:type="dxa"/>
          </w:tcPr>
          <w:p w14:paraId="6A063675">
            <w:pPr>
              <w:spacing w:line="340" w:lineRule="exact"/>
              <w:rPr>
                <w:rFonts w:ascii="宋体" w:hAnsi="宋体" w:cs="宋体"/>
                <w:color w:val="auto"/>
                <w:sz w:val="24"/>
                <w:highlight w:val="none"/>
              </w:rPr>
            </w:pPr>
          </w:p>
        </w:tc>
        <w:tc>
          <w:tcPr>
            <w:tcW w:w="957" w:type="dxa"/>
          </w:tcPr>
          <w:p w14:paraId="6F0B1C60">
            <w:pPr>
              <w:spacing w:line="340" w:lineRule="exact"/>
              <w:rPr>
                <w:rFonts w:ascii="宋体" w:hAnsi="宋体" w:cs="宋体"/>
                <w:color w:val="auto"/>
                <w:sz w:val="24"/>
                <w:highlight w:val="none"/>
              </w:rPr>
            </w:pPr>
          </w:p>
        </w:tc>
        <w:tc>
          <w:tcPr>
            <w:tcW w:w="840" w:type="dxa"/>
          </w:tcPr>
          <w:p w14:paraId="39CBD266">
            <w:pPr>
              <w:spacing w:line="340" w:lineRule="exact"/>
              <w:rPr>
                <w:rFonts w:ascii="宋体" w:hAnsi="宋体" w:cs="宋体"/>
                <w:color w:val="auto"/>
                <w:sz w:val="24"/>
                <w:highlight w:val="none"/>
              </w:rPr>
            </w:pPr>
          </w:p>
        </w:tc>
        <w:tc>
          <w:tcPr>
            <w:tcW w:w="1260" w:type="dxa"/>
          </w:tcPr>
          <w:p w14:paraId="3E9CB49B">
            <w:pPr>
              <w:spacing w:line="340" w:lineRule="exact"/>
              <w:rPr>
                <w:rFonts w:ascii="宋体" w:hAnsi="宋体" w:cs="宋体"/>
                <w:color w:val="auto"/>
                <w:sz w:val="24"/>
                <w:highlight w:val="none"/>
              </w:rPr>
            </w:pPr>
          </w:p>
        </w:tc>
        <w:tc>
          <w:tcPr>
            <w:tcW w:w="1340" w:type="dxa"/>
          </w:tcPr>
          <w:p w14:paraId="3BBA285F">
            <w:pPr>
              <w:spacing w:line="340" w:lineRule="exact"/>
              <w:rPr>
                <w:rFonts w:ascii="宋体" w:hAnsi="宋体" w:cs="宋体"/>
                <w:color w:val="auto"/>
                <w:sz w:val="24"/>
                <w:highlight w:val="none"/>
              </w:rPr>
            </w:pPr>
          </w:p>
        </w:tc>
        <w:tc>
          <w:tcPr>
            <w:tcW w:w="1347" w:type="dxa"/>
          </w:tcPr>
          <w:p w14:paraId="689086F1">
            <w:pPr>
              <w:spacing w:line="340" w:lineRule="exact"/>
              <w:rPr>
                <w:rFonts w:ascii="宋体" w:hAnsi="宋体" w:cs="宋体"/>
                <w:color w:val="auto"/>
                <w:sz w:val="24"/>
                <w:highlight w:val="none"/>
              </w:rPr>
            </w:pPr>
          </w:p>
        </w:tc>
      </w:tr>
      <w:tr w14:paraId="78F6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34809A6">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205" w:type="dxa"/>
          </w:tcPr>
          <w:p w14:paraId="45CE820C">
            <w:pPr>
              <w:spacing w:line="340" w:lineRule="exact"/>
              <w:rPr>
                <w:rFonts w:ascii="宋体" w:hAnsi="宋体" w:cs="宋体"/>
                <w:color w:val="auto"/>
                <w:sz w:val="24"/>
                <w:highlight w:val="none"/>
              </w:rPr>
            </w:pPr>
          </w:p>
        </w:tc>
        <w:tc>
          <w:tcPr>
            <w:tcW w:w="957" w:type="dxa"/>
          </w:tcPr>
          <w:p w14:paraId="4CDEA77E">
            <w:pPr>
              <w:spacing w:line="340" w:lineRule="exact"/>
              <w:rPr>
                <w:rFonts w:ascii="宋体" w:hAnsi="宋体" w:cs="宋体"/>
                <w:color w:val="auto"/>
                <w:sz w:val="24"/>
                <w:highlight w:val="none"/>
              </w:rPr>
            </w:pPr>
          </w:p>
        </w:tc>
        <w:tc>
          <w:tcPr>
            <w:tcW w:w="840" w:type="dxa"/>
          </w:tcPr>
          <w:p w14:paraId="018AE153">
            <w:pPr>
              <w:spacing w:line="340" w:lineRule="exact"/>
              <w:rPr>
                <w:rFonts w:ascii="宋体" w:hAnsi="宋体" w:cs="宋体"/>
                <w:color w:val="auto"/>
                <w:sz w:val="24"/>
                <w:highlight w:val="none"/>
              </w:rPr>
            </w:pPr>
          </w:p>
        </w:tc>
        <w:tc>
          <w:tcPr>
            <w:tcW w:w="1260" w:type="dxa"/>
          </w:tcPr>
          <w:p w14:paraId="12465041">
            <w:pPr>
              <w:spacing w:line="340" w:lineRule="exact"/>
              <w:rPr>
                <w:rFonts w:ascii="宋体" w:hAnsi="宋体" w:cs="宋体"/>
                <w:color w:val="auto"/>
                <w:sz w:val="24"/>
                <w:highlight w:val="none"/>
              </w:rPr>
            </w:pPr>
          </w:p>
        </w:tc>
        <w:tc>
          <w:tcPr>
            <w:tcW w:w="1340" w:type="dxa"/>
          </w:tcPr>
          <w:p w14:paraId="33C1F5CC">
            <w:pPr>
              <w:spacing w:line="340" w:lineRule="exact"/>
              <w:rPr>
                <w:rFonts w:ascii="宋体" w:hAnsi="宋体" w:cs="宋体"/>
                <w:color w:val="auto"/>
                <w:sz w:val="24"/>
                <w:highlight w:val="none"/>
              </w:rPr>
            </w:pPr>
          </w:p>
        </w:tc>
        <w:tc>
          <w:tcPr>
            <w:tcW w:w="1347" w:type="dxa"/>
          </w:tcPr>
          <w:p w14:paraId="0AF10787">
            <w:pPr>
              <w:spacing w:line="340" w:lineRule="exact"/>
              <w:rPr>
                <w:rFonts w:ascii="宋体" w:hAnsi="宋体" w:cs="宋体"/>
                <w:color w:val="auto"/>
                <w:sz w:val="24"/>
                <w:highlight w:val="none"/>
              </w:rPr>
            </w:pPr>
          </w:p>
        </w:tc>
      </w:tr>
      <w:tr w14:paraId="6C20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FEE9094">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205" w:type="dxa"/>
          </w:tcPr>
          <w:p w14:paraId="10839935">
            <w:pPr>
              <w:spacing w:line="340" w:lineRule="exact"/>
              <w:rPr>
                <w:rFonts w:ascii="宋体" w:hAnsi="宋体" w:cs="宋体"/>
                <w:color w:val="auto"/>
                <w:sz w:val="24"/>
                <w:highlight w:val="none"/>
              </w:rPr>
            </w:pPr>
          </w:p>
        </w:tc>
        <w:tc>
          <w:tcPr>
            <w:tcW w:w="957" w:type="dxa"/>
          </w:tcPr>
          <w:p w14:paraId="5CFC5DDE">
            <w:pPr>
              <w:spacing w:line="340" w:lineRule="exact"/>
              <w:rPr>
                <w:rFonts w:ascii="宋体" w:hAnsi="宋体" w:cs="宋体"/>
                <w:color w:val="auto"/>
                <w:sz w:val="24"/>
                <w:highlight w:val="none"/>
              </w:rPr>
            </w:pPr>
          </w:p>
        </w:tc>
        <w:tc>
          <w:tcPr>
            <w:tcW w:w="840" w:type="dxa"/>
          </w:tcPr>
          <w:p w14:paraId="1756C4AC">
            <w:pPr>
              <w:spacing w:line="340" w:lineRule="exact"/>
              <w:rPr>
                <w:rFonts w:ascii="宋体" w:hAnsi="宋体" w:cs="宋体"/>
                <w:color w:val="auto"/>
                <w:sz w:val="24"/>
                <w:highlight w:val="none"/>
              </w:rPr>
            </w:pPr>
          </w:p>
        </w:tc>
        <w:tc>
          <w:tcPr>
            <w:tcW w:w="1260" w:type="dxa"/>
          </w:tcPr>
          <w:p w14:paraId="62FE7CB1">
            <w:pPr>
              <w:spacing w:line="340" w:lineRule="exact"/>
              <w:rPr>
                <w:rFonts w:ascii="宋体" w:hAnsi="宋体" w:cs="宋体"/>
                <w:color w:val="auto"/>
                <w:sz w:val="24"/>
                <w:highlight w:val="none"/>
              </w:rPr>
            </w:pPr>
          </w:p>
        </w:tc>
        <w:tc>
          <w:tcPr>
            <w:tcW w:w="1340" w:type="dxa"/>
          </w:tcPr>
          <w:p w14:paraId="0EFBE6C1">
            <w:pPr>
              <w:spacing w:line="340" w:lineRule="exact"/>
              <w:rPr>
                <w:rFonts w:ascii="宋体" w:hAnsi="宋体" w:cs="宋体"/>
                <w:color w:val="auto"/>
                <w:sz w:val="24"/>
                <w:highlight w:val="none"/>
              </w:rPr>
            </w:pPr>
          </w:p>
        </w:tc>
        <w:tc>
          <w:tcPr>
            <w:tcW w:w="1347" w:type="dxa"/>
          </w:tcPr>
          <w:p w14:paraId="79162870">
            <w:pPr>
              <w:spacing w:line="340" w:lineRule="exact"/>
              <w:rPr>
                <w:rFonts w:ascii="宋体" w:hAnsi="宋体" w:cs="宋体"/>
                <w:color w:val="auto"/>
                <w:sz w:val="24"/>
                <w:highlight w:val="none"/>
              </w:rPr>
            </w:pPr>
          </w:p>
        </w:tc>
      </w:tr>
      <w:tr w14:paraId="1731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95BDAEE">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205" w:type="dxa"/>
          </w:tcPr>
          <w:p w14:paraId="25017E17">
            <w:pPr>
              <w:spacing w:line="340" w:lineRule="exact"/>
              <w:rPr>
                <w:rFonts w:ascii="宋体" w:hAnsi="宋体" w:cs="宋体"/>
                <w:color w:val="auto"/>
                <w:sz w:val="24"/>
                <w:highlight w:val="none"/>
              </w:rPr>
            </w:pPr>
          </w:p>
        </w:tc>
        <w:tc>
          <w:tcPr>
            <w:tcW w:w="957" w:type="dxa"/>
          </w:tcPr>
          <w:p w14:paraId="743F7F96">
            <w:pPr>
              <w:spacing w:line="340" w:lineRule="exact"/>
              <w:rPr>
                <w:rFonts w:ascii="宋体" w:hAnsi="宋体" w:cs="宋体"/>
                <w:color w:val="auto"/>
                <w:sz w:val="24"/>
                <w:highlight w:val="none"/>
              </w:rPr>
            </w:pPr>
          </w:p>
        </w:tc>
        <w:tc>
          <w:tcPr>
            <w:tcW w:w="840" w:type="dxa"/>
          </w:tcPr>
          <w:p w14:paraId="78E3AF11">
            <w:pPr>
              <w:spacing w:line="340" w:lineRule="exact"/>
              <w:rPr>
                <w:rFonts w:ascii="宋体" w:hAnsi="宋体" w:cs="宋体"/>
                <w:color w:val="auto"/>
                <w:sz w:val="24"/>
                <w:highlight w:val="none"/>
              </w:rPr>
            </w:pPr>
          </w:p>
        </w:tc>
        <w:tc>
          <w:tcPr>
            <w:tcW w:w="1260" w:type="dxa"/>
          </w:tcPr>
          <w:p w14:paraId="74B7318D">
            <w:pPr>
              <w:spacing w:line="340" w:lineRule="exact"/>
              <w:rPr>
                <w:rFonts w:ascii="宋体" w:hAnsi="宋体" w:cs="宋体"/>
                <w:color w:val="auto"/>
                <w:sz w:val="24"/>
                <w:highlight w:val="none"/>
              </w:rPr>
            </w:pPr>
          </w:p>
        </w:tc>
        <w:tc>
          <w:tcPr>
            <w:tcW w:w="1340" w:type="dxa"/>
          </w:tcPr>
          <w:p w14:paraId="23EAACEF">
            <w:pPr>
              <w:spacing w:line="340" w:lineRule="exact"/>
              <w:rPr>
                <w:rFonts w:ascii="宋体" w:hAnsi="宋体" w:cs="宋体"/>
                <w:color w:val="auto"/>
                <w:sz w:val="24"/>
                <w:highlight w:val="none"/>
              </w:rPr>
            </w:pPr>
          </w:p>
        </w:tc>
        <w:tc>
          <w:tcPr>
            <w:tcW w:w="1347" w:type="dxa"/>
          </w:tcPr>
          <w:p w14:paraId="4FBD2FB5">
            <w:pPr>
              <w:spacing w:line="340" w:lineRule="exact"/>
              <w:rPr>
                <w:rFonts w:ascii="宋体" w:hAnsi="宋体" w:cs="宋体"/>
                <w:color w:val="auto"/>
                <w:sz w:val="24"/>
                <w:highlight w:val="none"/>
              </w:rPr>
            </w:pPr>
          </w:p>
        </w:tc>
      </w:tr>
      <w:tr w14:paraId="2F59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F13CAE4">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2205" w:type="dxa"/>
          </w:tcPr>
          <w:p w14:paraId="0778002F">
            <w:pPr>
              <w:spacing w:line="340" w:lineRule="exact"/>
              <w:rPr>
                <w:rFonts w:ascii="宋体" w:hAnsi="宋体" w:cs="宋体"/>
                <w:color w:val="auto"/>
                <w:sz w:val="24"/>
                <w:highlight w:val="none"/>
              </w:rPr>
            </w:pPr>
          </w:p>
        </w:tc>
        <w:tc>
          <w:tcPr>
            <w:tcW w:w="957" w:type="dxa"/>
          </w:tcPr>
          <w:p w14:paraId="2AE8D737">
            <w:pPr>
              <w:spacing w:line="340" w:lineRule="exact"/>
              <w:rPr>
                <w:rFonts w:ascii="宋体" w:hAnsi="宋体" w:cs="宋体"/>
                <w:color w:val="auto"/>
                <w:sz w:val="24"/>
                <w:highlight w:val="none"/>
              </w:rPr>
            </w:pPr>
          </w:p>
        </w:tc>
        <w:tc>
          <w:tcPr>
            <w:tcW w:w="840" w:type="dxa"/>
          </w:tcPr>
          <w:p w14:paraId="3032D8A2">
            <w:pPr>
              <w:spacing w:line="340" w:lineRule="exact"/>
              <w:rPr>
                <w:rFonts w:ascii="宋体" w:hAnsi="宋体" w:cs="宋体"/>
                <w:color w:val="auto"/>
                <w:sz w:val="24"/>
                <w:highlight w:val="none"/>
              </w:rPr>
            </w:pPr>
          </w:p>
        </w:tc>
        <w:tc>
          <w:tcPr>
            <w:tcW w:w="1260" w:type="dxa"/>
          </w:tcPr>
          <w:p w14:paraId="72C5C8D6">
            <w:pPr>
              <w:spacing w:line="340" w:lineRule="exact"/>
              <w:rPr>
                <w:rFonts w:ascii="宋体" w:hAnsi="宋体" w:cs="宋体"/>
                <w:color w:val="auto"/>
                <w:sz w:val="24"/>
                <w:highlight w:val="none"/>
              </w:rPr>
            </w:pPr>
          </w:p>
        </w:tc>
        <w:tc>
          <w:tcPr>
            <w:tcW w:w="1340" w:type="dxa"/>
          </w:tcPr>
          <w:p w14:paraId="44B6AC95">
            <w:pPr>
              <w:spacing w:line="340" w:lineRule="exact"/>
              <w:rPr>
                <w:rFonts w:ascii="宋体" w:hAnsi="宋体" w:cs="宋体"/>
                <w:color w:val="auto"/>
                <w:sz w:val="24"/>
                <w:highlight w:val="none"/>
              </w:rPr>
            </w:pPr>
          </w:p>
        </w:tc>
        <w:tc>
          <w:tcPr>
            <w:tcW w:w="1347" w:type="dxa"/>
          </w:tcPr>
          <w:p w14:paraId="4CE58B48">
            <w:pPr>
              <w:spacing w:line="340" w:lineRule="exact"/>
              <w:rPr>
                <w:rFonts w:ascii="宋体" w:hAnsi="宋体" w:cs="宋体"/>
                <w:color w:val="auto"/>
                <w:sz w:val="24"/>
                <w:highlight w:val="none"/>
              </w:rPr>
            </w:pPr>
          </w:p>
        </w:tc>
      </w:tr>
      <w:tr w14:paraId="3EDF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F70A2D6">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2205" w:type="dxa"/>
          </w:tcPr>
          <w:p w14:paraId="113B8EB7">
            <w:pPr>
              <w:spacing w:line="340" w:lineRule="exact"/>
              <w:rPr>
                <w:rFonts w:ascii="宋体" w:hAnsi="宋体" w:cs="宋体"/>
                <w:color w:val="auto"/>
                <w:sz w:val="24"/>
                <w:highlight w:val="none"/>
              </w:rPr>
            </w:pPr>
          </w:p>
        </w:tc>
        <w:tc>
          <w:tcPr>
            <w:tcW w:w="957" w:type="dxa"/>
          </w:tcPr>
          <w:p w14:paraId="7FB11383">
            <w:pPr>
              <w:spacing w:line="340" w:lineRule="exact"/>
              <w:rPr>
                <w:rFonts w:ascii="宋体" w:hAnsi="宋体" w:cs="宋体"/>
                <w:color w:val="auto"/>
                <w:sz w:val="24"/>
                <w:highlight w:val="none"/>
              </w:rPr>
            </w:pPr>
          </w:p>
        </w:tc>
        <w:tc>
          <w:tcPr>
            <w:tcW w:w="840" w:type="dxa"/>
          </w:tcPr>
          <w:p w14:paraId="08BF12CA">
            <w:pPr>
              <w:spacing w:line="340" w:lineRule="exact"/>
              <w:rPr>
                <w:rFonts w:ascii="宋体" w:hAnsi="宋体" w:cs="宋体"/>
                <w:color w:val="auto"/>
                <w:sz w:val="24"/>
                <w:highlight w:val="none"/>
              </w:rPr>
            </w:pPr>
          </w:p>
        </w:tc>
        <w:tc>
          <w:tcPr>
            <w:tcW w:w="1260" w:type="dxa"/>
          </w:tcPr>
          <w:p w14:paraId="7F57BA20">
            <w:pPr>
              <w:spacing w:line="340" w:lineRule="exact"/>
              <w:rPr>
                <w:rFonts w:ascii="宋体" w:hAnsi="宋体" w:cs="宋体"/>
                <w:color w:val="auto"/>
                <w:sz w:val="24"/>
                <w:highlight w:val="none"/>
              </w:rPr>
            </w:pPr>
          </w:p>
        </w:tc>
        <w:tc>
          <w:tcPr>
            <w:tcW w:w="1340" w:type="dxa"/>
          </w:tcPr>
          <w:p w14:paraId="61E6FD52">
            <w:pPr>
              <w:spacing w:line="340" w:lineRule="exact"/>
              <w:rPr>
                <w:rFonts w:ascii="宋体" w:hAnsi="宋体" w:cs="宋体"/>
                <w:color w:val="auto"/>
                <w:sz w:val="24"/>
                <w:highlight w:val="none"/>
              </w:rPr>
            </w:pPr>
          </w:p>
        </w:tc>
        <w:tc>
          <w:tcPr>
            <w:tcW w:w="1347" w:type="dxa"/>
          </w:tcPr>
          <w:p w14:paraId="7CA278E4">
            <w:pPr>
              <w:spacing w:line="340" w:lineRule="exact"/>
              <w:rPr>
                <w:rFonts w:ascii="宋体" w:hAnsi="宋体" w:cs="宋体"/>
                <w:color w:val="auto"/>
                <w:sz w:val="24"/>
                <w:highlight w:val="none"/>
              </w:rPr>
            </w:pPr>
          </w:p>
        </w:tc>
      </w:tr>
      <w:tr w14:paraId="1C40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A6025E9">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2205" w:type="dxa"/>
          </w:tcPr>
          <w:p w14:paraId="131ADF1A">
            <w:pPr>
              <w:spacing w:line="340" w:lineRule="exact"/>
              <w:rPr>
                <w:rFonts w:ascii="宋体" w:hAnsi="宋体" w:cs="宋体"/>
                <w:color w:val="auto"/>
                <w:sz w:val="24"/>
                <w:highlight w:val="none"/>
              </w:rPr>
            </w:pPr>
          </w:p>
        </w:tc>
        <w:tc>
          <w:tcPr>
            <w:tcW w:w="957" w:type="dxa"/>
          </w:tcPr>
          <w:p w14:paraId="7EB52204">
            <w:pPr>
              <w:spacing w:line="340" w:lineRule="exact"/>
              <w:rPr>
                <w:rFonts w:ascii="宋体" w:hAnsi="宋体" w:cs="宋体"/>
                <w:color w:val="auto"/>
                <w:sz w:val="24"/>
                <w:highlight w:val="none"/>
              </w:rPr>
            </w:pPr>
          </w:p>
        </w:tc>
        <w:tc>
          <w:tcPr>
            <w:tcW w:w="840" w:type="dxa"/>
          </w:tcPr>
          <w:p w14:paraId="7C7DB5F6">
            <w:pPr>
              <w:spacing w:line="340" w:lineRule="exact"/>
              <w:rPr>
                <w:rFonts w:ascii="宋体" w:hAnsi="宋体" w:cs="宋体"/>
                <w:color w:val="auto"/>
                <w:sz w:val="24"/>
                <w:highlight w:val="none"/>
              </w:rPr>
            </w:pPr>
          </w:p>
        </w:tc>
        <w:tc>
          <w:tcPr>
            <w:tcW w:w="1260" w:type="dxa"/>
          </w:tcPr>
          <w:p w14:paraId="4BB9949D">
            <w:pPr>
              <w:spacing w:line="340" w:lineRule="exact"/>
              <w:rPr>
                <w:rFonts w:ascii="宋体" w:hAnsi="宋体" w:cs="宋体"/>
                <w:color w:val="auto"/>
                <w:sz w:val="24"/>
                <w:highlight w:val="none"/>
              </w:rPr>
            </w:pPr>
          </w:p>
        </w:tc>
        <w:tc>
          <w:tcPr>
            <w:tcW w:w="1340" w:type="dxa"/>
          </w:tcPr>
          <w:p w14:paraId="6C7D5362">
            <w:pPr>
              <w:spacing w:line="340" w:lineRule="exact"/>
              <w:rPr>
                <w:rFonts w:ascii="宋体" w:hAnsi="宋体" w:cs="宋体"/>
                <w:color w:val="auto"/>
                <w:sz w:val="24"/>
                <w:highlight w:val="none"/>
              </w:rPr>
            </w:pPr>
          </w:p>
        </w:tc>
        <w:tc>
          <w:tcPr>
            <w:tcW w:w="1347" w:type="dxa"/>
          </w:tcPr>
          <w:p w14:paraId="6AB4E926">
            <w:pPr>
              <w:spacing w:line="340" w:lineRule="exact"/>
              <w:rPr>
                <w:rFonts w:ascii="宋体" w:hAnsi="宋体" w:cs="宋体"/>
                <w:color w:val="auto"/>
                <w:sz w:val="24"/>
                <w:highlight w:val="none"/>
              </w:rPr>
            </w:pPr>
          </w:p>
        </w:tc>
      </w:tr>
      <w:tr w14:paraId="47DD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92B1AE2">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2205" w:type="dxa"/>
          </w:tcPr>
          <w:p w14:paraId="345E76D4">
            <w:pPr>
              <w:spacing w:line="340" w:lineRule="exact"/>
              <w:rPr>
                <w:rFonts w:ascii="宋体" w:hAnsi="宋体" w:cs="宋体"/>
                <w:color w:val="auto"/>
                <w:sz w:val="24"/>
                <w:highlight w:val="none"/>
              </w:rPr>
            </w:pPr>
          </w:p>
        </w:tc>
        <w:tc>
          <w:tcPr>
            <w:tcW w:w="957" w:type="dxa"/>
          </w:tcPr>
          <w:p w14:paraId="7F3B24AE">
            <w:pPr>
              <w:spacing w:line="340" w:lineRule="exact"/>
              <w:rPr>
                <w:rFonts w:ascii="宋体" w:hAnsi="宋体" w:cs="宋体"/>
                <w:color w:val="auto"/>
                <w:sz w:val="24"/>
                <w:highlight w:val="none"/>
              </w:rPr>
            </w:pPr>
          </w:p>
        </w:tc>
        <w:tc>
          <w:tcPr>
            <w:tcW w:w="840" w:type="dxa"/>
          </w:tcPr>
          <w:p w14:paraId="4EE0DE22">
            <w:pPr>
              <w:spacing w:line="340" w:lineRule="exact"/>
              <w:rPr>
                <w:rFonts w:ascii="宋体" w:hAnsi="宋体" w:cs="宋体"/>
                <w:color w:val="auto"/>
                <w:sz w:val="24"/>
                <w:highlight w:val="none"/>
              </w:rPr>
            </w:pPr>
          </w:p>
        </w:tc>
        <w:tc>
          <w:tcPr>
            <w:tcW w:w="1260" w:type="dxa"/>
          </w:tcPr>
          <w:p w14:paraId="01BB037F">
            <w:pPr>
              <w:spacing w:line="340" w:lineRule="exact"/>
              <w:rPr>
                <w:rFonts w:ascii="宋体" w:hAnsi="宋体" w:cs="宋体"/>
                <w:color w:val="auto"/>
                <w:sz w:val="24"/>
                <w:highlight w:val="none"/>
              </w:rPr>
            </w:pPr>
          </w:p>
        </w:tc>
        <w:tc>
          <w:tcPr>
            <w:tcW w:w="1340" w:type="dxa"/>
          </w:tcPr>
          <w:p w14:paraId="1AC1425E">
            <w:pPr>
              <w:spacing w:line="340" w:lineRule="exact"/>
              <w:rPr>
                <w:rFonts w:ascii="宋体" w:hAnsi="宋体" w:cs="宋体"/>
                <w:color w:val="auto"/>
                <w:sz w:val="24"/>
                <w:highlight w:val="none"/>
              </w:rPr>
            </w:pPr>
          </w:p>
        </w:tc>
        <w:tc>
          <w:tcPr>
            <w:tcW w:w="1347" w:type="dxa"/>
          </w:tcPr>
          <w:p w14:paraId="40526BBB">
            <w:pPr>
              <w:spacing w:line="340" w:lineRule="exact"/>
              <w:rPr>
                <w:rFonts w:ascii="宋体" w:hAnsi="宋体" w:cs="宋体"/>
                <w:color w:val="auto"/>
                <w:sz w:val="24"/>
                <w:highlight w:val="none"/>
              </w:rPr>
            </w:pPr>
          </w:p>
        </w:tc>
      </w:tr>
      <w:tr w14:paraId="3CB6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476F221">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2205" w:type="dxa"/>
          </w:tcPr>
          <w:p w14:paraId="3BD6C1C5">
            <w:pPr>
              <w:spacing w:line="340" w:lineRule="exact"/>
              <w:rPr>
                <w:rFonts w:ascii="宋体" w:hAnsi="宋体" w:cs="宋体"/>
                <w:color w:val="auto"/>
                <w:sz w:val="24"/>
                <w:highlight w:val="none"/>
              </w:rPr>
            </w:pPr>
          </w:p>
        </w:tc>
        <w:tc>
          <w:tcPr>
            <w:tcW w:w="957" w:type="dxa"/>
          </w:tcPr>
          <w:p w14:paraId="5B222A4F">
            <w:pPr>
              <w:spacing w:line="340" w:lineRule="exact"/>
              <w:rPr>
                <w:rFonts w:ascii="宋体" w:hAnsi="宋体" w:cs="宋体"/>
                <w:color w:val="auto"/>
                <w:sz w:val="24"/>
                <w:highlight w:val="none"/>
              </w:rPr>
            </w:pPr>
          </w:p>
        </w:tc>
        <w:tc>
          <w:tcPr>
            <w:tcW w:w="840" w:type="dxa"/>
          </w:tcPr>
          <w:p w14:paraId="4858347D">
            <w:pPr>
              <w:spacing w:line="340" w:lineRule="exact"/>
              <w:rPr>
                <w:rFonts w:ascii="宋体" w:hAnsi="宋体" w:cs="宋体"/>
                <w:color w:val="auto"/>
                <w:sz w:val="24"/>
                <w:highlight w:val="none"/>
              </w:rPr>
            </w:pPr>
          </w:p>
        </w:tc>
        <w:tc>
          <w:tcPr>
            <w:tcW w:w="1260" w:type="dxa"/>
          </w:tcPr>
          <w:p w14:paraId="3D3610F1">
            <w:pPr>
              <w:spacing w:line="340" w:lineRule="exact"/>
              <w:rPr>
                <w:rFonts w:ascii="宋体" w:hAnsi="宋体" w:cs="宋体"/>
                <w:color w:val="auto"/>
                <w:sz w:val="24"/>
                <w:highlight w:val="none"/>
              </w:rPr>
            </w:pPr>
          </w:p>
        </w:tc>
        <w:tc>
          <w:tcPr>
            <w:tcW w:w="1340" w:type="dxa"/>
          </w:tcPr>
          <w:p w14:paraId="3CE7115F">
            <w:pPr>
              <w:spacing w:line="340" w:lineRule="exact"/>
              <w:rPr>
                <w:rFonts w:ascii="宋体" w:hAnsi="宋体" w:cs="宋体"/>
                <w:color w:val="auto"/>
                <w:sz w:val="24"/>
                <w:highlight w:val="none"/>
              </w:rPr>
            </w:pPr>
          </w:p>
        </w:tc>
        <w:tc>
          <w:tcPr>
            <w:tcW w:w="1347" w:type="dxa"/>
          </w:tcPr>
          <w:p w14:paraId="5C63E007">
            <w:pPr>
              <w:spacing w:line="340" w:lineRule="exact"/>
              <w:rPr>
                <w:rFonts w:ascii="宋体" w:hAnsi="宋体" w:cs="宋体"/>
                <w:color w:val="auto"/>
                <w:sz w:val="24"/>
                <w:highlight w:val="none"/>
              </w:rPr>
            </w:pPr>
          </w:p>
        </w:tc>
      </w:tr>
      <w:tr w14:paraId="069E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331782D">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2205" w:type="dxa"/>
          </w:tcPr>
          <w:p w14:paraId="573BCFD0">
            <w:pPr>
              <w:spacing w:line="340" w:lineRule="exact"/>
              <w:rPr>
                <w:rFonts w:ascii="宋体" w:hAnsi="宋体" w:cs="宋体"/>
                <w:color w:val="auto"/>
                <w:sz w:val="24"/>
                <w:highlight w:val="none"/>
              </w:rPr>
            </w:pPr>
          </w:p>
        </w:tc>
        <w:tc>
          <w:tcPr>
            <w:tcW w:w="957" w:type="dxa"/>
          </w:tcPr>
          <w:p w14:paraId="110875FE">
            <w:pPr>
              <w:spacing w:line="340" w:lineRule="exact"/>
              <w:rPr>
                <w:rFonts w:ascii="宋体" w:hAnsi="宋体" w:cs="宋体"/>
                <w:color w:val="auto"/>
                <w:sz w:val="24"/>
                <w:highlight w:val="none"/>
              </w:rPr>
            </w:pPr>
          </w:p>
        </w:tc>
        <w:tc>
          <w:tcPr>
            <w:tcW w:w="840" w:type="dxa"/>
          </w:tcPr>
          <w:p w14:paraId="1461C399">
            <w:pPr>
              <w:spacing w:line="340" w:lineRule="exact"/>
              <w:rPr>
                <w:rFonts w:ascii="宋体" w:hAnsi="宋体" w:cs="宋体"/>
                <w:color w:val="auto"/>
                <w:sz w:val="24"/>
                <w:highlight w:val="none"/>
              </w:rPr>
            </w:pPr>
          </w:p>
        </w:tc>
        <w:tc>
          <w:tcPr>
            <w:tcW w:w="1260" w:type="dxa"/>
          </w:tcPr>
          <w:p w14:paraId="57903698">
            <w:pPr>
              <w:spacing w:line="340" w:lineRule="exact"/>
              <w:rPr>
                <w:rFonts w:ascii="宋体" w:hAnsi="宋体" w:cs="宋体"/>
                <w:color w:val="auto"/>
                <w:sz w:val="24"/>
                <w:highlight w:val="none"/>
              </w:rPr>
            </w:pPr>
          </w:p>
        </w:tc>
        <w:tc>
          <w:tcPr>
            <w:tcW w:w="1340" w:type="dxa"/>
          </w:tcPr>
          <w:p w14:paraId="6D07A17B">
            <w:pPr>
              <w:spacing w:line="340" w:lineRule="exact"/>
              <w:rPr>
                <w:rFonts w:ascii="宋体" w:hAnsi="宋体" w:cs="宋体"/>
                <w:color w:val="auto"/>
                <w:sz w:val="24"/>
                <w:highlight w:val="none"/>
              </w:rPr>
            </w:pPr>
          </w:p>
        </w:tc>
        <w:tc>
          <w:tcPr>
            <w:tcW w:w="1347" w:type="dxa"/>
          </w:tcPr>
          <w:p w14:paraId="44557040">
            <w:pPr>
              <w:spacing w:line="340" w:lineRule="exact"/>
              <w:rPr>
                <w:rFonts w:ascii="宋体" w:hAnsi="宋体" w:cs="宋体"/>
                <w:color w:val="auto"/>
                <w:sz w:val="24"/>
                <w:highlight w:val="none"/>
              </w:rPr>
            </w:pPr>
          </w:p>
        </w:tc>
      </w:tr>
      <w:tr w14:paraId="0A98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13E0C86">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2205" w:type="dxa"/>
          </w:tcPr>
          <w:p w14:paraId="65928AF4">
            <w:pPr>
              <w:spacing w:line="340" w:lineRule="exact"/>
              <w:rPr>
                <w:rFonts w:ascii="宋体" w:hAnsi="宋体" w:cs="宋体"/>
                <w:color w:val="auto"/>
                <w:sz w:val="24"/>
                <w:highlight w:val="none"/>
              </w:rPr>
            </w:pPr>
          </w:p>
        </w:tc>
        <w:tc>
          <w:tcPr>
            <w:tcW w:w="957" w:type="dxa"/>
          </w:tcPr>
          <w:p w14:paraId="0233827A">
            <w:pPr>
              <w:spacing w:line="340" w:lineRule="exact"/>
              <w:rPr>
                <w:rFonts w:ascii="宋体" w:hAnsi="宋体" w:cs="宋体"/>
                <w:color w:val="auto"/>
                <w:sz w:val="24"/>
                <w:highlight w:val="none"/>
              </w:rPr>
            </w:pPr>
          </w:p>
        </w:tc>
        <w:tc>
          <w:tcPr>
            <w:tcW w:w="840" w:type="dxa"/>
          </w:tcPr>
          <w:p w14:paraId="312B1960">
            <w:pPr>
              <w:spacing w:line="340" w:lineRule="exact"/>
              <w:rPr>
                <w:rFonts w:ascii="宋体" w:hAnsi="宋体" w:cs="宋体"/>
                <w:color w:val="auto"/>
                <w:sz w:val="24"/>
                <w:highlight w:val="none"/>
              </w:rPr>
            </w:pPr>
          </w:p>
        </w:tc>
        <w:tc>
          <w:tcPr>
            <w:tcW w:w="1260" w:type="dxa"/>
          </w:tcPr>
          <w:p w14:paraId="10B9AB8C">
            <w:pPr>
              <w:spacing w:line="340" w:lineRule="exact"/>
              <w:rPr>
                <w:rFonts w:ascii="宋体" w:hAnsi="宋体" w:cs="宋体"/>
                <w:color w:val="auto"/>
                <w:sz w:val="24"/>
                <w:highlight w:val="none"/>
              </w:rPr>
            </w:pPr>
          </w:p>
        </w:tc>
        <w:tc>
          <w:tcPr>
            <w:tcW w:w="1340" w:type="dxa"/>
          </w:tcPr>
          <w:p w14:paraId="3ED407AC">
            <w:pPr>
              <w:spacing w:line="340" w:lineRule="exact"/>
              <w:rPr>
                <w:rFonts w:ascii="宋体" w:hAnsi="宋体" w:cs="宋体"/>
                <w:color w:val="auto"/>
                <w:sz w:val="24"/>
                <w:highlight w:val="none"/>
              </w:rPr>
            </w:pPr>
          </w:p>
        </w:tc>
        <w:tc>
          <w:tcPr>
            <w:tcW w:w="1347" w:type="dxa"/>
          </w:tcPr>
          <w:p w14:paraId="56DB6675">
            <w:pPr>
              <w:spacing w:line="340" w:lineRule="exact"/>
              <w:rPr>
                <w:rFonts w:ascii="宋体" w:hAnsi="宋体" w:cs="宋体"/>
                <w:color w:val="auto"/>
                <w:sz w:val="24"/>
                <w:highlight w:val="none"/>
              </w:rPr>
            </w:pPr>
          </w:p>
        </w:tc>
      </w:tr>
      <w:tr w14:paraId="2EA1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74C8B5D">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2205" w:type="dxa"/>
          </w:tcPr>
          <w:p w14:paraId="487B430B">
            <w:pPr>
              <w:spacing w:line="340" w:lineRule="exact"/>
              <w:rPr>
                <w:rFonts w:ascii="宋体" w:hAnsi="宋体" w:cs="宋体"/>
                <w:color w:val="auto"/>
                <w:sz w:val="24"/>
                <w:highlight w:val="none"/>
              </w:rPr>
            </w:pPr>
          </w:p>
        </w:tc>
        <w:tc>
          <w:tcPr>
            <w:tcW w:w="957" w:type="dxa"/>
          </w:tcPr>
          <w:p w14:paraId="5102DFF1">
            <w:pPr>
              <w:spacing w:line="340" w:lineRule="exact"/>
              <w:rPr>
                <w:rFonts w:ascii="宋体" w:hAnsi="宋体" w:cs="宋体"/>
                <w:color w:val="auto"/>
                <w:sz w:val="24"/>
                <w:highlight w:val="none"/>
              </w:rPr>
            </w:pPr>
          </w:p>
        </w:tc>
        <w:tc>
          <w:tcPr>
            <w:tcW w:w="840" w:type="dxa"/>
          </w:tcPr>
          <w:p w14:paraId="754A6234">
            <w:pPr>
              <w:spacing w:line="340" w:lineRule="exact"/>
              <w:rPr>
                <w:rFonts w:ascii="宋体" w:hAnsi="宋体" w:cs="宋体"/>
                <w:color w:val="auto"/>
                <w:sz w:val="24"/>
                <w:highlight w:val="none"/>
              </w:rPr>
            </w:pPr>
          </w:p>
        </w:tc>
        <w:tc>
          <w:tcPr>
            <w:tcW w:w="1260" w:type="dxa"/>
          </w:tcPr>
          <w:p w14:paraId="61FC6919">
            <w:pPr>
              <w:spacing w:line="340" w:lineRule="exact"/>
              <w:rPr>
                <w:rFonts w:ascii="宋体" w:hAnsi="宋体" w:cs="宋体"/>
                <w:color w:val="auto"/>
                <w:sz w:val="24"/>
                <w:highlight w:val="none"/>
              </w:rPr>
            </w:pPr>
          </w:p>
        </w:tc>
        <w:tc>
          <w:tcPr>
            <w:tcW w:w="1340" w:type="dxa"/>
          </w:tcPr>
          <w:p w14:paraId="6093EB31">
            <w:pPr>
              <w:spacing w:line="340" w:lineRule="exact"/>
              <w:rPr>
                <w:rFonts w:ascii="宋体" w:hAnsi="宋体" w:cs="宋体"/>
                <w:color w:val="auto"/>
                <w:sz w:val="24"/>
                <w:highlight w:val="none"/>
              </w:rPr>
            </w:pPr>
          </w:p>
        </w:tc>
        <w:tc>
          <w:tcPr>
            <w:tcW w:w="1347" w:type="dxa"/>
          </w:tcPr>
          <w:p w14:paraId="390656DE">
            <w:pPr>
              <w:spacing w:line="340" w:lineRule="exact"/>
              <w:rPr>
                <w:rFonts w:ascii="宋体" w:hAnsi="宋体" w:cs="宋体"/>
                <w:color w:val="auto"/>
                <w:sz w:val="24"/>
                <w:highlight w:val="none"/>
              </w:rPr>
            </w:pPr>
          </w:p>
        </w:tc>
      </w:tr>
      <w:tr w14:paraId="3D79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9B10763">
            <w:pPr>
              <w:spacing w:line="340" w:lineRule="exact"/>
              <w:jc w:val="center"/>
              <w:rPr>
                <w:rFonts w:ascii="宋体" w:hAnsi="宋体" w:cs="宋体"/>
                <w:color w:val="auto"/>
                <w:sz w:val="24"/>
                <w:highlight w:val="none"/>
              </w:rPr>
            </w:pPr>
          </w:p>
        </w:tc>
        <w:tc>
          <w:tcPr>
            <w:tcW w:w="2205" w:type="dxa"/>
            <w:vAlign w:val="center"/>
          </w:tcPr>
          <w:p w14:paraId="711A471B">
            <w:pPr>
              <w:pStyle w:val="68"/>
              <w:spacing w:line="340" w:lineRule="exact"/>
              <w:rPr>
                <w:rFonts w:ascii="宋体" w:hAnsi="宋体" w:cs="宋体"/>
                <w:color w:val="auto"/>
                <w:szCs w:val="24"/>
                <w:highlight w:val="none"/>
              </w:rPr>
            </w:pPr>
            <w:r>
              <w:rPr>
                <w:rFonts w:hint="eastAsia" w:ascii="宋体" w:hAnsi="宋体" w:cs="宋体"/>
                <w:color w:val="auto"/>
                <w:szCs w:val="24"/>
                <w:highlight w:val="none"/>
              </w:rPr>
              <w:t>其他费用</w:t>
            </w:r>
          </w:p>
        </w:tc>
        <w:tc>
          <w:tcPr>
            <w:tcW w:w="957" w:type="dxa"/>
          </w:tcPr>
          <w:p w14:paraId="37B8C68D">
            <w:pPr>
              <w:spacing w:line="340" w:lineRule="exact"/>
              <w:rPr>
                <w:rFonts w:ascii="宋体" w:hAnsi="宋体" w:cs="宋体"/>
                <w:color w:val="auto"/>
                <w:sz w:val="24"/>
                <w:highlight w:val="none"/>
              </w:rPr>
            </w:pPr>
          </w:p>
        </w:tc>
        <w:tc>
          <w:tcPr>
            <w:tcW w:w="840" w:type="dxa"/>
          </w:tcPr>
          <w:p w14:paraId="244BB71C">
            <w:pPr>
              <w:spacing w:line="340" w:lineRule="exact"/>
              <w:rPr>
                <w:rFonts w:ascii="宋体" w:hAnsi="宋体" w:cs="宋体"/>
                <w:color w:val="auto"/>
                <w:sz w:val="24"/>
                <w:highlight w:val="none"/>
              </w:rPr>
            </w:pPr>
          </w:p>
        </w:tc>
        <w:tc>
          <w:tcPr>
            <w:tcW w:w="1260" w:type="dxa"/>
          </w:tcPr>
          <w:p w14:paraId="1D6D7985">
            <w:pPr>
              <w:spacing w:line="340" w:lineRule="exact"/>
              <w:rPr>
                <w:rFonts w:ascii="宋体" w:hAnsi="宋体" w:cs="宋体"/>
                <w:color w:val="auto"/>
                <w:sz w:val="24"/>
                <w:highlight w:val="none"/>
              </w:rPr>
            </w:pPr>
          </w:p>
        </w:tc>
        <w:tc>
          <w:tcPr>
            <w:tcW w:w="1340" w:type="dxa"/>
          </w:tcPr>
          <w:p w14:paraId="597EB120">
            <w:pPr>
              <w:spacing w:line="340" w:lineRule="exact"/>
              <w:rPr>
                <w:rFonts w:ascii="宋体" w:hAnsi="宋体" w:cs="宋体"/>
                <w:color w:val="auto"/>
                <w:sz w:val="24"/>
                <w:highlight w:val="none"/>
              </w:rPr>
            </w:pPr>
          </w:p>
        </w:tc>
        <w:tc>
          <w:tcPr>
            <w:tcW w:w="1347" w:type="dxa"/>
          </w:tcPr>
          <w:p w14:paraId="66294B94">
            <w:pPr>
              <w:spacing w:line="340" w:lineRule="exact"/>
              <w:rPr>
                <w:rFonts w:ascii="宋体" w:hAnsi="宋体" w:cs="宋体"/>
                <w:color w:val="auto"/>
                <w:sz w:val="24"/>
                <w:highlight w:val="none"/>
              </w:rPr>
            </w:pPr>
          </w:p>
        </w:tc>
      </w:tr>
      <w:tr w14:paraId="7D7E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F2918E5">
            <w:pPr>
              <w:spacing w:line="340" w:lineRule="exact"/>
              <w:jc w:val="center"/>
              <w:rPr>
                <w:rFonts w:ascii="宋体" w:hAnsi="宋体" w:cs="宋体"/>
                <w:color w:val="auto"/>
                <w:sz w:val="24"/>
                <w:highlight w:val="none"/>
              </w:rPr>
            </w:pPr>
          </w:p>
        </w:tc>
        <w:tc>
          <w:tcPr>
            <w:tcW w:w="2205" w:type="dxa"/>
          </w:tcPr>
          <w:p w14:paraId="09E12913">
            <w:pPr>
              <w:spacing w:line="340" w:lineRule="exact"/>
              <w:rPr>
                <w:rFonts w:ascii="宋体" w:hAnsi="宋体" w:cs="宋体"/>
                <w:color w:val="auto"/>
                <w:sz w:val="24"/>
                <w:highlight w:val="none"/>
              </w:rPr>
            </w:pPr>
            <w:r>
              <w:rPr>
                <w:rFonts w:hint="eastAsia" w:ascii="宋体" w:hAnsi="宋体" w:cs="宋体"/>
                <w:color w:val="auto"/>
                <w:sz w:val="24"/>
                <w:highlight w:val="none"/>
              </w:rPr>
              <w:t>…</w:t>
            </w:r>
          </w:p>
        </w:tc>
        <w:tc>
          <w:tcPr>
            <w:tcW w:w="957" w:type="dxa"/>
          </w:tcPr>
          <w:p w14:paraId="5B8A41E0">
            <w:pPr>
              <w:spacing w:line="340" w:lineRule="exact"/>
              <w:rPr>
                <w:rFonts w:ascii="宋体" w:hAnsi="宋体" w:cs="宋体"/>
                <w:color w:val="auto"/>
                <w:sz w:val="24"/>
                <w:highlight w:val="none"/>
              </w:rPr>
            </w:pPr>
          </w:p>
        </w:tc>
        <w:tc>
          <w:tcPr>
            <w:tcW w:w="840" w:type="dxa"/>
          </w:tcPr>
          <w:p w14:paraId="31A27D15">
            <w:pPr>
              <w:spacing w:line="340" w:lineRule="exact"/>
              <w:rPr>
                <w:rFonts w:ascii="宋体" w:hAnsi="宋体" w:cs="宋体"/>
                <w:color w:val="auto"/>
                <w:sz w:val="24"/>
                <w:highlight w:val="none"/>
              </w:rPr>
            </w:pPr>
          </w:p>
        </w:tc>
        <w:tc>
          <w:tcPr>
            <w:tcW w:w="1260" w:type="dxa"/>
          </w:tcPr>
          <w:p w14:paraId="7BF64154">
            <w:pPr>
              <w:spacing w:line="340" w:lineRule="exact"/>
              <w:rPr>
                <w:rFonts w:ascii="宋体" w:hAnsi="宋体" w:cs="宋体"/>
                <w:color w:val="auto"/>
                <w:sz w:val="24"/>
                <w:highlight w:val="none"/>
              </w:rPr>
            </w:pPr>
          </w:p>
        </w:tc>
        <w:tc>
          <w:tcPr>
            <w:tcW w:w="1340" w:type="dxa"/>
          </w:tcPr>
          <w:p w14:paraId="4C654518">
            <w:pPr>
              <w:spacing w:line="340" w:lineRule="exact"/>
              <w:rPr>
                <w:rFonts w:ascii="宋体" w:hAnsi="宋体" w:cs="宋体"/>
                <w:color w:val="auto"/>
                <w:sz w:val="24"/>
                <w:highlight w:val="none"/>
              </w:rPr>
            </w:pPr>
          </w:p>
        </w:tc>
        <w:tc>
          <w:tcPr>
            <w:tcW w:w="1347" w:type="dxa"/>
          </w:tcPr>
          <w:p w14:paraId="6093A6F9">
            <w:pPr>
              <w:spacing w:line="340" w:lineRule="exact"/>
              <w:rPr>
                <w:rFonts w:ascii="宋体" w:hAnsi="宋体" w:cs="宋体"/>
                <w:color w:val="auto"/>
                <w:sz w:val="24"/>
                <w:highlight w:val="none"/>
              </w:rPr>
            </w:pPr>
          </w:p>
        </w:tc>
      </w:tr>
      <w:tr w14:paraId="7818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98BD529">
            <w:pPr>
              <w:spacing w:line="340" w:lineRule="exact"/>
              <w:jc w:val="center"/>
              <w:rPr>
                <w:rFonts w:ascii="宋体" w:hAnsi="宋体" w:cs="宋体"/>
                <w:color w:val="auto"/>
                <w:sz w:val="24"/>
                <w:highlight w:val="none"/>
              </w:rPr>
            </w:pPr>
          </w:p>
        </w:tc>
        <w:tc>
          <w:tcPr>
            <w:tcW w:w="2205" w:type="dxa"/>
          </w:tcPr>
          <w:p w14:paraId="1556FA3A">
            <w:pPr>
              <w:pStyle w:val="68"/>
              <w:spacing w:line="340" w:lineRule="exact"/>
              <w:rPr>
                <w:rFonts w:ascii="宋体" w:hAnsi="宋体" w:cs="宋体"/>
                <w:color w:val="auto"/>
                <w:szCs w:val="24"/>
                <w:highlight w:val="none"/>
              </w:rPr>
            </w:pPr>
            <w:r>
              <w:rPr>
                <w:rFonts w:hint="eastAsia" w:ascii="宋体" w:hAnsi="宋体" w:cs="宋体"/>
                <w:color w:val="auto"/>
                <w:szCs w:val="24"/>
                <w:highlight w:val="none"/>
              </w:rPr>
              <w:t>…</w:t>
            </w:r>
          </w:p>
        </w:tc>
        <w:tc>
          <w:tcPr>
            <w:tcW w:w="957" w:type="dxa"/>
          </w:tcPr>
          <w:p w14:paraId="65EDB339">
            <w:pPr>
              <w:spacing w:line="340" w:lineRule="exact"/>
              <w:rPr>
                <w:rFonts w:ascii="宋体" w:hAnsi="宋体" w:cs="宋体"/>
                <w:color w:val="auto"/>
                <w:sz w:val="24"/>
                <w:highlight w:val="none"/>
              </w:rPr>
            </w:pPr>
          </w:p>
        </w:tc>
        <w:tc>
          <w:tcPr>
            <w:tcW w:w="840" w:type="dxa"/>
          </w:tcPr>
          <w:p w14:paraId="73968189">
            <w:pPr>
              <w:spacing w:line="340" w:lineRule="exact"/>
              <w:rPr>
                <w:rFonts w:ascii="宋体" w:hAnsi="宋体" w:cs="宋体"/>
                <w:color w:val="auto"/>
                <w:sz w:val="24"/>
                <w:highlight w:val="none"/>
              </w:rPr>
            </w:pPr>
          </w:p>
        </w:tc>
        <w:tc>
          <w:tcPr>
            <w:tcW w:w="1260" w:type="dxa"/>
          </w:tcPr>
          <w:p w14:paraId="1E52D520">
            <w:pPr>
              <w:spacing w:line="340" w:lineRule="exact"/>
              <w:rPr>
                <w:rFonts w:ascii="宋体" w:hAnsi="宋体" w:cs="宋体"/>
                <w:color w:val="auto"/>
                <w:sz w:val="24"/>
                <w:highlight w:val="none"/>
              </w:rPr>
            </w:pPr>
          </w:p>
        </w:tc>
        <w:tc>
          <w:tcPr>
            <w:tcW w:w="1340" w:type="dxa"/>
          </w:tcPr>
          <w:p w14:paraId="7B17539C">
            <w:pPr>
              <w:spacing w:line="340" w:lineRule="exact"/>
              <w:rPr>
                <w:rFonts w:ascii="宋体" w:hAnsi="宋体" w:cs="宋体"/>
                <w:color w:val="auto"/>
                <w:sz w:val="24"/>
                <w:highlight w:val="none"/>
              </w:rPr>
            </w:pPr>
          </w:p>
        </w:tc>
        <w:tc>
          <w:tcPr>
            <w:tcW w:w="1347" w:type="dxa"/>
          </w:tcPr>
          <w:p w14:paraId="45B28A1C">
            <w:pPr>
              <w:spacing w:line="340" w:lineRule="exact"/>
              <w:rPr>
                <w:rFonts w:ascii="宋体" w:hAnsi="宋体" w:cs="宋体"/>
                <w:color w:val="auto"/>
                <w:sz w:val="24"/>
                <w:highlight w:val="none"/>
              </w:rPr>
            </w:pPr>
          </w:p>
        </w:tc>
      </w:tr>
      <w:tr w14:paraId="17AF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C5E5486">
            <w:pPr>
              <w:spacing w:line="340" w:lineRule="exact"/>
              <w:jc w:val="center"/>
              <w:rPr>
                <w:rFonts w:ascii="宋体" w:hAnsi="宋体" w:cs="宋体"/>
                <w:color w:val="auto"/>
                <w:sz w:val="24"/>
                <w:highlight w:val="none"/>
              </w:rPr>
            </w:pPr>
          </w:p>
        </w:tc>
        <w:tc>
          <w:tcPr>
            <w:tcW w:w="2205" w:type="dxa"/>
          </w:tcPr>
          <w:p w14:paraId="54A0473F">
            <w:pPr>
              <w:spacing w:line="340" w:lineRule="exact"/>
              <w:rPr>
                <w:rFonts w:ascii="宋体" w:hAnsi="宋体" w:cs="宋体"/>
                <w:color w:val="auto"/>
                <w:sz w:val="24"/>
                <w:highlight w:val="none"/>
              </w:rPr>
            </w:pPr>
            <w:r>
              <w:rPr>
                <w:rFonts w:hint="eastAsia" w:ascii="宋体" w:hAnsi="宋体" w:cs="宋体"/>
                <w:color w:val="auto"/>
                <w:sz w:val="24"/>
                <w:highlight w:val="none"/>
              </w:rPr>
              <w:t>…</w:t>
            </w:r>
          </w:p>
        </w:tc>
        <w:tc>
          <w:tcPr>
            <w:tcW w:w="957" w:type="dxa"/>
          </w:tcPr>
          <w:p w14:paraId="64167CE4">
            <w:pPr>
              <w:spacing w:line="340" w:lineRule="exact"/>
              <w:rPr>
                <w:rFonts w:ascii="宋体" w:hAnsi="宋体" w:cs="宋体"/>
                <w:color w:val="auto"/>
                <w:sz w:val="24"/>
                <w:highlight w:val="none"/>
              </w:rPr>
            </w:pPr>
          </w:p>
        </w:tc>
        <w:tc>
          <w:tcPr>
            <w:tcW w:w="840" w:type="dxa"/>
          </w:tcPr>
          <w:p w14:paraId="0F0BF1AA">
            <w:pPr>
              <w:spacing w:line="340" w:lineRule="exact"/>
              <w:rPr>
                <w:rFonts w:ascii="宋体" w:hAnsi="宋体" w:cs="宋体"/>
                <w:color w:val="auto"/>
                <w:sz w:val="24"/>
                <w:highlight w:val="none"/>
              </w:rPr>
            </w:pPr>
          </w:p>
        </w:tc>
        <w:tc>
          <w:tcPr>
            <w:tcW w:w="1260" w:type="dxa"/>
          </w:tcPr>
          <w:p w14:paraId="65FDB3E5">
            <w:pPr>
              <w:spacing w:line="340" w:lineRule="exact"/>
              <w:rPr>
                <w:rFonts w:ascii="宋体" w:hAnsi="宋体" w:cs="宋体"/>
                <w:color w:val="auto"/>
                <w:sz w:val="24"/>
                <w:highlight w:val="none"/>
              </w:rPr>
            </w:pPr>
          </w:p>
        </w:tc>
        <w:tc>
          <w:tcPr>
            <w:tcW w:w="1340" w:type="dxa"/>
          </w:tcPr>
          <w:p w14:paraId="61BB3F3A">
            <w:pPr>
              <w:spacing w:line="340" w:lineRule="exact"/>
              <w:rPr>
                <w:rFonts w:ascii="宋体" w:hAnsi="宋体" w:cs="宋体"/>
                <w:color w:val="auto"/>
                <w:sz w:val="24"/>
                <w:highlight w:val="none"/>
              </w:rPr>
            </w:pPr>
          </w:p>
        </w:tc>
        <w:tc>
          <w:tcPr>
            <w:tcW w:w="1347" w:type="dxa"/>
          </w:tcPr>
          <w:p w14:paraId="340F3EF6">
            <w:pPr>
              <w:spacing w:line="340" w:lineRule="exact"/>
              <w:rPr>
                <w:rFonts w:ascii="宋体" w:hAnsi="宋体" w:cs="宋体"/>
                <w:color w:val="auto"/>
                <w:sz w:val="24"/>
                <w:highlight w:val="none"/>
              </w:rPr>
            </w:pPr>
          </w:p>
        </w:tc>
      </w:tr>
      <w:tr w14:paraId="7FFF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6B492F9">
            <w:pPr>
              <w:spacing w:line="340" w:lineRule="exact"/>
              <w:jc w:val="center"/>
              <w:rPr>
                <w:rFonts w:ascii="宋体" w:hAnsi="宋体" w:cs="宋体"/>
                <w:color w:val="auto"/>
                <w:sz w:val="24"/>
                <w:highlight w:val="none"/>
              </w:rPr>
            </w:pPr>
          </w:p>
        </w:tc>
        <w:tc>
          <w:tcPr>
            <w:tcW w:w="2205" w:type="dxa"/>
            <w:vAlign w:val="center"/>
          </w:tcPr>
          <w:p w14:paraId="1FA4BE8E">
            <w:pPr>
              <w:pStyle w:val="68"/>
              <w:spacing w:line="340" w:lineRule="exact"/>
              <w:rPr>
                <w:rFonts w:ascii="宋体" w:hAnsi="宋体" w:cs="宋体"/>
                <w:color w:val="auto"/>
                <w:szCs w:val="24"/>
                <w:highlight w:val="none"/>
              </w:rPr>
            </w:pPr>
            <w:r>
              <w:rPr>
                <w:rFonts w:hint="eastAsia" w:ascii="宋体" w:hAnsi="宋体" w:cs="宋体"/>
                <w:color w:val="auto"/>
                <w:szCs w:val="24"/>
                <w:highlight w:val="none"/>
              </w:rPr>
              <w:t>合计</w:t>
            </w:r>
          </w:p>
        </w:tc>
        <w:tc>
          <w:tcPr>
            <w:tcW w:w="957" w:type="dxa"/>
          </w:tcPr>
          <w:p w14:paraId="7DB2B061">
            <w:pPr>
              <w:spacing w:line="340" w:lineRule="exact"/>
              <w:rPr>
                <w:rFonts w:ascii="宋体" w:hAnsi="宋体" w:cs="宋体"/>
                <w:color w:val="auto"/>
                <w:sz w:val="24"/>
                <w:highlight w:val="none"/>
              </w:rPr>
            </w:pPr>
          </w:p>
        </w:tc>
        <w:tc>
          <w:tcPr>
            <w:tcW w:w="840" w:type="dxa"/>
          </w:tcPr>
          <w:p w14:paraId="5F318967">
            <w:pPr>
              <w:spacing w:line="340" w:lineRule="exact"/>
              <w:rPr>
                <w:rFonts w:ascii="宋体" w:hAnsi="宋体" w:cs="宋体"/>
                <w:color w:val="auto"/>
                <w:sz w:val="24"/>
                <w:highlight w:val="none"/>
              </w:rPr>
            </w:pPr>
          </w:p>
        </w:tc>
        <w:tc>
          <w:tcPr>
            <w:tcW w:w="1260" w:type="dxa"/>
          </w:tcPr>
          <w:p w14:paraId="4F3E73DA">
            <w:pPr>
              <w:spacing w:line="340" w:lineRule="exact"/>
              <w:rPr>
                <w:rFonts w:ascii="宋体" w:hAnsi="宋体" w:cs="宋体"/>
                <w:color w:val="auto"/>
                <w:sz w:val="24"/>
                <w:highlight w:val="none"/>
              </w:rPr>
            </w:pPr>
          </w:p>
        </w:tc>
        <w:tc>
          <w:tcPr>
            <w:tcW w:w="1340" w:type="dxa"/>
          </w:tcPr>
          <w:p w14:paraId="4B8036A2">
            <w:pPr>
              <w:spacing w:line="340" w:lineRule="exact"/>
              <w:rPr>
                <w:rFonts w:ascii="宋体" w:hAnsi="宋体" w:cs="宋体"/>
                <w:color w:val="auto"/>
                <w:sz w:val="24"/>
                <w:highlight w:val="none"/>
              </w:rPr>
            </w:pPr>
          </w:p>
        </w:tc>
        <w:tc>
          <w:tcPr>
            <w:tcW w:w="1347" w:type="dxa"/>
          </w:tcPr>
          <w:p w14:paraId="1EFD3D8E">
            <w:pPr>
              <w:spacing w:line="340" w:lineRule="exact"/>
              <w:rPr>
                <w:rFonts w:ascii="宋体" w:hAnsi="宋体" w:cs="宋体"/>
                <w:color w:val="auto"/>
                <w:sz w:val="24"/>
                <w:highlight w:val="none"/>
              </w:rPr>
            </w:pPr>
          </w:p>
        </w:tc>
      </w:tr>
    </w:tbl>
    <w:p w14:paraId="2B0B0A69">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 xml:space="preserve">章： </w:t>
      </w:r>
    </w:p>
    <w:p w14:paraId="682B7D60">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65A464CB">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备注：</w:t>
      </w:r>
    </w:p>
    <w:p w14:paraId="486E2549">
      <w:pPr>
        <w:spacing w:line="360" w:lineRule="auto"/>
        <w:jc w:val="left"/>
        <w:rPr>
          <w:rFonts w:ascii="宋体" w:hAnsi="宋体" w:cs="宋体"/>
          <w:color w:val="auto"/>
          <w:sz w:val="24"/>
          <w:highlight w:val="none"/>
        </w:rPr>
      </w:pPr>
      <w:r>
        <w:rPr>
          <w:rFonts w:hint="eastAsia" w:ascii="宋体" w:hAnsi="宋体" w:cs="宋体"/>
          <w:color w:val="auto"/>
          <w:sz w:val="24"/>
          <w:highlight w:val="none"/>
        </w:rPr>
        <w:t>表中所列内容为对应本项目需求的全部要求。如有漏项或缺项，投标人承担全部责任。</w:t>
      </w:r>
    </w:p>
    <w:p w14:paraId="1D5FD610">
      <w:pPr>
        <w:spacing w:line="360" w:lineRule="auto"/>
        <w:jc w:val="center"/>
        <w:rPr>
          <w:rFonts w:ascii="宋体" w:hAnsi="宋体" w:cs="宋体"/>
          <w:b/>
          <w:color w:val="auto"/>
          <w:sz w:val="24"/>
          <w:highlight w:val="none"/>
        </w:rPr>
      </w:pPr>
    </w:p>
    <w:p w14:paraId="0CCF706F">
      <w:pPr>
        <w:spacing w:line="360" w:lineRule="auto"/>
        <w:jc w:val="center"/>
        <w:rPr>
          <w:rFonts w:ascii="宋体" w:hAnsi="宋体" w:cs="宋体"/>
          <w:b/>
          <w:color w:val="auto"/>
          <w:sz w:val="24"/>
          <w:highlight w:val="none"/>
        </w:rPr>
      </w:pPr>
    </w:p>
    <w:p w14:paraId="3C399D75">
      <w:pPr>
        <w:pStyle w:val="43"/>
        <w:ind w:firstLine="241"/>
        <w:rPr>
          <w:rFonts w:ascii="宋体" w:hAnsi="宋体" w:cs="宋体"/>
          <w:b/>
          <w:color w:val="auto"/>
          <w:sz w:val="24"/>
          <w:highlight w:val="none"/>
        </w:rPr>
      </w:pPr>
    </w:p>
    <w:p w14:paraId="651907CD">
      <w:pPr>
        <w:pStyle w:val="43"/>
        <w:ind w:firstLine="241"/>
        <w:rPr>
          <w:rFonts w:ascii="宋体" w:hAnsi="宋体" w:cs="宋体"/>
          <w:b/>
          <w:color w:val="auto"/>
          <w:sz w:val="24"/>
          <w:highlight w:val="none"/>
        </w:rPr>
      </w:pPr>
    </w:p>
    <w:p w14:paraId="6E2E8319">
      <w:pPr>
        <w:rPr>
          <w:rFonts w:hint="eastAsia" w:ascii="宋体" w:hAnsi="宋体" w:cs="宋体"/>
          <w:color w:val="auto"/>
          <w:sz w:val="24"/>
          <w:highlight w:val="none"/>
        </w:rPr>
      </w:pPr>
      <w:r>
        <w:rPr>
          <w:rFonts w:hint="eastAsia" w:ascii="宋体" w:hAnsi="宋体" w:cs="宋体"/>
          <w:color w:val="auto"/>
          <w:sz w:val="24"/>
          <w:highlight w:val="none"/>
        </w:rPr>
        <w:br w:type="page"/>
      </w:r>
    </w:p>
    <w:p w14:paraId="321E1F06">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格式6                     </w:t>
      </w:r>
      <w:r>
        <w:rPr>
          <w:rFonts w:hint="eastAsia" w:ascii="宋体" w:hAnsi="宋体" w:cs="宋体"/>
          <w:b/>
          <w:color w:val="auto"/>
          <w:sz w:val="24"/>
          <w:highlight w:val="none"/>
        </w:rPr>
        <w:t>技术参数响应表</w:t>
      </w:r>
    </w:p>
    <w:p w14:paraId="2F4A01D3">
      <w:pPr>
        <w:rPr>
          <w:rFonts w:ascii="宋体" w:hAnsi="宋体" w:cs="宋体"/>
          <w:color w:val="auto"/>
          <w:sz w:val="24"/>
          <w:highlight w:val="none"/>
        </w:rPr>
      </w:pPr>
    </w:p>
    <w:p w14:paraId="1AB27A98">
      <w:pPr>
        <w:rPr>
          <w:rFonts w:ascii="宋体" w:hAnsi="宋体" w:cs="宋体"/>
          <w:color w:val="auto"/>
          <w:sz w:val="24"/>
          <w:highlight w:val="none"/>
        </w:rPr>
      </w:pPr>
    </w:p>
    <w:tbl>
      <w:tblPr>
        <w:tblStyle w:val="27"/>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6337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4BC15C8F">
            <w:pPr>
              <w:pStyle w:val="14"/>
              <w:jc w:val="center"/>
              <w:rPr>
                <w:rFonts w:hAnsi="宋体" w:cs="宋体"/>
                <w:bCs/>
                <w:color w:val="auto"/>
                <w:sz w:val="24"/>
                <w:szCs w:val="24"/>
                <w:highlight w:val="none"/>
              </w:rPr>
            </w:pPr>
            <w:r>
              <w:rPr>
                <w:rFonts w:hint="eastAsia" w:hAnsi="宋体" w:cs="宋体"/>
                <w:bCs/>
                <w:color w:val="auto"/>
                <w:sz w:val="24"/>
                <w:szCs w:val="24"/>
                <w:highlight w:val="none"/>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2BD735E1">
            <w:pPr>
              <w:pStyle w:val="14"/>
              <w:jc w:val="center"/>
              <w:rPr>
                <w:rFonts w:hAnsi="宋体" w:cs="宋体"/>
                <w:bCs/>
                <w:color w:val="auto"/>
                <w:sz w:val="24"/>
                <w:szCs w:val="24"/>
                <w:highlight w:val="none"/>
              </w:rPr>
            </w:pPr>
            <w:r>
              <w:rPr>
                <w:rFonts w:hint="eastAsia" w:hAnsi="宋体" w:cs="宋体"/>
                <w:bCs/>
                <w:color w:val="auto"/>
                <w:sz w:val="24"/>
                <w:szCs w:val="24"/>
                <w:highlight w:val="none"/>
              </w:rPr>
              <w:t>按投标人所投内容填写</w:t>
            </w:r>
          </w:p>
        </w:tc>
      </w:tr>
      <w:tr w14:paraId="3B64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294B12E2">
            <w:pPr>
              <w:pStyle w:val="14"/>
              <w:jc w:val="center"/>
              <w:rPr>
                <w:rFonts w:hAnsi="宋体" w:cs="宋体"/>
                <w:bCs/>
                <w:color w:val="auto"/>
                <w:sz w:val="24"/>
                <w:szCs w:val="24"/>
                <w:highlight w:val="none"/>
              </w:rPr>
            </w:pPr>
            <w:r>
              <w:rPr>
                <w:rFonts w:hint="eastAsia" w:hAnsi="宋体" w:cs="宋体"/>
                <w:bCs/>
                <w:color w:val="auto"/>
                <w:sz w:val="24"/>
                <w:szCs w:val="24"/>
                <w:highlight w:val="none"/>
              </w:rPr>
              <w:t>序号</w:t>
            </w:r>
          </w:p>
        </w:tc>
        <w:tc>
          <w:tcPr>
            <w:tcW w:w="723" w:type="dxa"/>
            <w:tcBorders>
              <w:top w:val="single" w:color="auto" w:sz="4" w:space="0"/>
              <w:left w:val="nil"/>
              <w:bottom w:val="single" w:color="auto" w:sz="4" w:space="0"/>
              <w:right w:val="single" w:color="auto" w:sz="4" w:space="0"/>
            </w:tcBorders>
            <w:vAlign w:val="center"/>
          </w:tcPr>
          <w:p w14:paraId="73033063">
            <w:pPr>
              <w:pStyle w:val="14"/>
              <w:jc w:val="center"/>
              <w:rPr>
                <w:rFonts w:hAnsi="宋体" w:cs="宋体"/>
                <w:bCs/>
                <w:color w:val="auto"/>
                <w:sz w:val="24"/>
                <w:szCs w:val="24"/>
                <w:highlight w:val="none"/>
              </w:rPr>
            </w:pPr>
            <w:r>
              <w:rPr>
                <w:rFonts w:hint="eastAsia" w:hAnsi="宋体" w:cs="宋体"/>
                <w:bCs/>
                <w:color w:val="auto"/>
                <w:sz w:val="24"/>
                <w:szCs w:val="24"/>
                <w:highlight w:val="none"/>
              </w:rPr>
              <w:t>品名</w:t>
            </w:r>
          </w:p>
        </w:tc>
        <w:tc>
          <w:tcPr>
            <w:tcW w:w="3490" w:type="dxa"/>
            <w:tcBorders>
              <w:top w:val="single" w:color="auto" w:sz="4" w:space="0"/>
              <w:left w:val="nil"/>
              <w:bottom w:val="single" w:color="auto" w:sz="4" w:space="0"/>
              <w:right w:val="single" w:color="auto" w:sz="4" w:space="0"/>
            </w:tcBorders>
            <w:vAlign w:val="center"/>
          </w:tcPr>
          <w:p w14:paraId="1E0C7259">
            <w:pPr>
              <w:pStyle w:val="14"/>
              <w:jc w:val="center"/>
              <w:rPr>
                <w:rFonts w:hAnsi="宋体" w:cs="宋体"/>
                <w:bCs/>
                <w:color w:val="auto"/>
                <w:sz w:val="24"/>
                <w:szCs w:val="24"/>
                <w:highlight w:val="none"/>
              </w:rPr>
            </w:pPr>
            <w:r>
              <w:rPr>
                <w:rFonts w:hint="eastAsia" w:hAnsi="宋体" w:cs="宋体"/>
                <w:color w:val="auto"/>
                <w:sz w:val="24"/>
                <w:szCs w:val="24"/>
                <w:highlight w:val="none"/>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524AE8DB">
            <w:pPr>
              <w:pStyle w:val="14"/>
              <w:jc w:val="center"/>
              <w:rPr>
                <w:rFonts w:hAnsi="宋体" w:cs="宋体"/>
                <w:bCs/>
                <w:color w:val="auto"/>
                <w:sz w:val="24"/>
                <w:szCs w:val="24"/>
                <w:highlight w:val="none"/>
              </w:rPr>
            </w:pPr>
            <w:r>
              <w:rPr>
                <w:rFonts w:hint="eastAsia" w:hAnsi="宋体" w:cs="宋体"/>
                <w:color w:val="auto"/>
                <w:sz w:val="24"/>
                <w:szCs w:val="24"/>
                <w:highlight w:val="none"/>
              </w:rPr>
              <w:t>响应</w:t>
            </w:r>
          </w:p>
        </w:tc>
        <w:tc>
          <w:tcPr>
            <w:tcW w:w="1336" w:type="dxa"/>
            <w:tcBorders>
              <w:top w:val="single" w:color="auto" w:sz="4" w:space="0"/>
              <w:left w:val="nil"/>
              <w:bottom w:val="single" w:color="auto" w:sz="4" w:space="0"/>
              <w:right w:val="single" w:color="auto" w:sz="4" w:space="0"/>
            </w:tcBorders>
            <w:vAlign w:val="center"/>
          </w:tcPr>
          <w:p w14:paraId="67CB955A">
            <w:pPr>
              <w:pStyle w:val="14"/>
              <w:jc w:val="center"/>
              <w:rPr>
                <w:rFonts w:hAnsi="宋体" w:cs="宋体"/>
                <w:bCs/>
                <w:color w:val="auto"/>
                <w:sz w:val="24"/>
                <w:szCs w:val="24"/>
                <w:highlight w:val="none"/>
              </w:rPr>
            </w:pPr>
            <w:r>
              <w:rPr>
                <w:rFonts w:hint="eastAsia" w:hAnsi="宋体" w:cs="宋体"/>
                <w:bCs/>
                <w:color w:val="auto"/>
                <w:sz w:val="24"/>
                <w:szCs w:val="24"/>
                <w:highlight w:val="none"/>
              </w:rPr>
              <w:t>偏离说明</w:t>
            </w:r>
          </w:p>
        </w:tc>
      </w:tr>
      <w:tr w14:paraId="70FB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8699552">
            <w:pPr>
              <w:jc w:val="center"/>
              <w:rPr>
                <w:rFonts w:ascii="宋体" w:hAnsi="宋体" w:cs="宋体"/>
                <w:color w:val="auto"/>
                <w:sz w:val="24"/>
                <w:highlight w:val="none"/>
              </w:rPr>
            </w:pPr>
            <w:r>
              <w:rPr>
                <w:rFonts w:hint="eastAsia" w:ascii="宋体" w:hAnsi="宋体" w:cs="宋体"/>
                <w:color w:val="auto"/>
                <w:sz w:val="24"/>
                <w:highlight w:val="none"/>
              </w:rPr>
              <w:t>1</w:t>
            </w:r>
          </w:p>
        </w:tc>
        <w:tc>
          <w:tcPr>
            <w:tcW w:w="723" w:type="dxa"/>
            <w:tcBorders>
              <w:top w:val="single" w:color="auto" w:sz="4" w:space="0"/>
              <w:left w:val="nil"/>
              <w:bottom w:val="single" w:color="auto" w:sz="4" w:space="0"/>
              <w:right w:val="single" w:color="auto" w:sz="4" w:space="0"/>
            </w:tcBorders>
            <w:vAlign w:val="center"/>
          </w:tcPr>
          <w:p w14:paraId="171BD95A">
            <w:pPr>
              <w:widowControl/>
              <w:jc w:val="left"/>
              <w:rPr>
                <w:rFonts w:ascii="宋体" w:hAnsi="宋体" w:cs="宋体"/>
                <w:color w:val="auto"/>
                <w:kern w:val="0"/>
                <w:sz w:val="24"/>
                <w:highlight w:val="none"/>
              </w:rPr>
            </w:pPr>
          </w:p>
        </w:tc>
        <w:tc>
          <w:tcPr>
            <w:tcW w:w="3490" w:type="dxa"/>
            <w:tcBorders>
              <w:top w:val="single" w:color="auto" w:sz="4" w:space="0"/>
              <w:left w:val="nil"/>
              <w:bottom w:val="single" w:color="auto" w:sz="4" w:space="0"/>
              <w:right w:val="single" w:color="auto" w:sz="4" w:space="0"/>
            </w:tcBorders>
          </w:tcPr>
          <w:p w14:paraId="2C6D8EAB">
            <w:pPr>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tcPr>
          <w:p w14:paraId="7A4ED1E8">
            <w:pPr>
              <w:widowControl/>
              <w:rPr>
                <w:rFonts w:ascii="宋体" w:hAnsi="宋体" w:cs="宋体"/>
                <w:color w:val="auto"/>
                <w:kern w:val="0"/>
                <w:sz w:val="24"/>
                <w:highlight w:val="none"/>
              </w:rPr>
            </w:pPr>
          </w:p>
        </w:tc>
        <w:tc>
          <w:tcPr>
            <w:tcW w:w="1336" w:type="dxa"/>
            <w:tcBorders>
              <w:top w:val="single" w:color="auto" w:sz="4" w:space="0"/>
              <w:left w:val="nil"/>
              <w:bottom w:val="single" w:color="auto" w:sz="4" w:space="0"/>
              <w:right w:val="single" w:color="auto" w:sz="4" w:space="0"/>
            </w:tcBorders>
            <w:vAlign w:val="center"/>
          </w:tcPr>
          <w:p w14:paraId="7484DB87">
            <w:pPr>
              <w:jc w:val="center"/>
              <w:rPr>
                <w:rFonts w:ascii="宋体" w:hAnsi="宋体" w:cs="宋体"/>
                <w:color w:val="auto"/>
                <w:sz w:val="24"/>
                <w:highlight w:val="none"/>
              </w:rPr>
            </w:pPr>
          </w:p>
        </w:tc>
      </w:tr>
      <w:tr w14:paraId="7998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0FC021F9">
            <w:pPr>
              <w:jc w:val="center"/>
              <w:rPr>
                <w:rFonts w:ascii="宋体" w:hAnsi="宋体" w:cs="宋体"/>
                <w:color w:val="auto"/>
                <w:sz w:val="24"/>
                <w:highlight w:val="none"/>
              </w:rPr>
            </w:pPr>
            <w:r>
              <w:rPr>
                <w:rFonts w:hint="eastAsia" w:ascii="宋体" w:hAnsi="宋体" w:cs="宋体"/>
                <w:color w:val="auto"/>
                <w:sz w:val="24"/>
                <w:highlight w:val="none"/>
              </w:rPr>
              <w:t>2</w:t>
            </w:r>
          </w:p>
        </w:tc>
        <w:tc>
          <w:tcPr>
            <w:tcW w:w="723" w:type="dxa"/>
            <w:tcBorders>
              <w:top w:val="single" w:color="auto" w:sz="4" w:space="0"/>
              <w:left w:val="nil"/>
              <w:bottom w:val="single" w:color="auto" w:sz="4" w:space="0"/>
              <w:right w:val="single" w:color="auto" w:sz="4" w:space="0"/>
            </w:tcBorders>
            <w:vAlign w:val="center"/>
          </w:tcPr>
          <w:p w14:paraId="214562E3">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70617392">
            <w:pPr>
              <w:ind w:left="240" w:hanging="240" w:hangingChars="100"/>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246950E4">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6194D586">
            <w:pPr>
              <w:jc w:val="center"/>
              <w:rPr>
                <w:rFonts w:ascii="宋体" w:hAnsi="宋体" w:cs="宋体"/>
                <w:color w:val="auto"/>
                <w:sz w:val="24"/>
                <w:highlight w:val="none"/>
              </w:rPr>
            </w:pPr>
          </w:p>
        </w:tc>
      </w:tr>
      <w:tr w14:paraId="6BA3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E1EB52B">
            <w:pPr>
              <w:rPr>
                <w:rFonts w:ascii="宋体" w:hAnsi="宋体" w:cs="宋体"/>
                <w:color w:val="auto"/>
                <w:sz w:val="24"/>
                <w:highlight w:val="none"/>
              </w:rPr>
            </w:pPr>
          </w:p>
        </w:tc>
        <w:tc>
          <w:tcPr>
            <w:tcW w:w="723" w:type="dxa"/>
            <w:tcBorders>
              <w:top w:val="single" w:color="auto" w:sz="4" w:space="0"/>
              <w:left w:val="nil"/>
              <w:bottom w:val="single" w:color="auto" w:sz="4" w:space="0"/>
              <w:right w:val="single" w:color="auto" w:sz="4" w:space="0"/>
            </w:tcBorders>
            <w:vAlign w:val="center"/>
          </w:tcPr>
          <w:p w14:paraId="5E2B4BF7">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1A9AA1B7">
            <w:pPr>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7DDBFB42">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6042475C">
            <w:pPr>
              <w:jc w:val="center"/>
              <w:rPr>
                <w:rFonts w:ascii="宋体" w:hAnsi="宋体" w:cs="宋体"/>
                <w:color w:val="auto"/>
                <w:sz w:val="24"/>
                <w:highlight w:val="none"/>
              </w:rPr>
            </w:pPr>
          </w:p>
        </w:tc>
      </w:tr>
      <w:tr w14:paraId="572E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923F91D">
            <w:pPr>
              <w:rPr>
                <w:rFonts w:ascii="宋体" w:hAnsi="宋体" w:cs="宋体"/>
                <w:color w:val="auto"/>
                <w:sz w:val="24"/>
                <w:highlight w:val="none"/>
              </w:rPr>
            </w:pPr>
          </w:p>
        </w:tc>
        <w:tc>
          <w:tcPr>
            <w:tcW w:w="723" w:type="dxa"/>
            <w:tcBorders>
              <w:top w:val="single" w:color="auto" w:sz="4" w:space="0"/>
              <w:left w:val="nil"/>
              <w:bottom w:val="single" w:color="auto" w:sz="4" w:space="0"/>
              <w:right w:val="single" w:color="auto" w:sz="4" w:space="0"/>
            </w:tcBorders>
            <w:vAlign w:val="center"/>
          </w:tcPr>
          <w:p w14:paraId="6171D72C">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5008BD7E">
            <w:pPr>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17BDC90A">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4AD7A756">
            <w:pPr>
              <w:jc w:val="center"/>
              <w:rPr>
                <w:rFonts w:ascii="宋体" w:hAnsi="宋体" w:cs="宋体"/>
                <w:color w:val="auto"/>
                <w:sz w:val="24"/>
                <w:highlight w:val="none"/>
              </w:rPr>
            </w:pPr>
          </w:p>
        </w:tc>
      </w:tr>
      <w:tr w14:paraId="7734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7960839">
            <w:pPr>
              <w:rPr>
                <w:rFonts w:ascii="宋体" w:hAnsi="宋体" w:cs="宋体"/>
                <w:color w:val="auto"/>
                <w:sz w:val="24"/>
                <w:highlight w:val="none"/>
              </w:rPr>
            </w:pPr>
          </w:p>
        </w:tc>
        <w:tc>
          <w:tcPr>
            <w:tcW w:w="723" w:type="dxa"/>
            <w:tcBorders>
              <w:top w:val="single" w:color="auto" w:sz="4" w:space="0"/>
              <w:left w:val="nil"/>
              <w:bottom w:val="single" w:color="auto" w:sz="4" w:space="0"/>
              <w:right w:val="single" w:color="auto" w:sz="4" w:space="0"/>
            </w:tcBorders>
            <w:vAlign w:val="center"/>
          </w:tcPr>
          <w:p w14:paraId="013E723E">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6B39E157">
            <w:pPr>
              <w:ind w:left="240" w:hanging="240" w:hangingChars="100"/>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2BC56ED0">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188684C6">
            <w:pPr>
              <w:jc w:val="center"/>
              <w:rPr>
                <w:rFonts w:ascii="宋体" w:hAnsi="宋体" w:cs="宋体"/>
                <w:color w:val="auto"/>
                <w:sz w:val="24"/>
                <w:highlight w:val="none"/>
              </w:rPr>
            </w:pPr>
          </w:p>
        </w:tc>
      </w:tr>
      <w:tr w14:paraId="4390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39BF60F">
            <w:pPr>
              <w:jc w:val="center"/>
              <w:rPr>
                <w:rFonts w:ascii="宋体" w:hAnsi="宋体" w:cs="宋体"/>
                <w:color w:val="auto"/>
                <w:sz w:val="24"/>
                <w:highlight w:val="none"/>
              </w:rPr>
            </w:pPr>
            <w:r>
              <w:rPr>
                <w:rFonts w:hint="eastAsia" w:ascii="宋体" w:hAnsi="宋体" w:cs="宋体"/>
                <w:color w:val="auto"/>
                <w:sz w:val="24"/>
                <w:highlight w:val="none"/>
              </w:rPr>
              <w:t>....</w:t>
            </w:r>
          </w:p>
        </w:tc>
        <w:tc>
          <w:tcPr>
            <w:tcW w:w="723" w:type="dxa"/>
            <w:tcBorders>
              <w:top w:val="single" w:color="auto" w:sz="4" w:space="0"/>
              <w:left w:val="nil"/>
              <w:bottom w:val="single" w:color="auto" w:sz="4" w:space="0"/>
              <w:right w:val="single" w:color="auto" w:sz="4" w:space="0"/>
            </w:tcBorders>
            <w:vAlign w:val="center"/>
          </w:tcPr>
          <w:p w14:paraId="3E401C16">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297732E7">
            <w:pPr>
              <w:ind w:left="240" w:hanging="240" w:hangingChars="100"/>
              <w:jc w:val="left"/>
              <w:rPr>
                <w:rFonts w:ascii="宋体" w:hAnsi="宋体" w:cs="宋体"/>
                <w:color w:val="auto"/>
                <w:sz w:val="24"/>
                <w:highlight w:val="none"/>
              </w:rPr>
            </w:pPr>
            <w:r>
              <w:rPr>
                <w:rFonts w:hint="eastAsia" w:ascii="宋体" w:hAnsi="宋体" w:cs="宋体"/>
                <w:color w:val="auto"/>
                <w:sz w:val="24"/>
                <w:highlight w:val="none"/>
              </w:rPr>
              <w:t>.....</w:t>
            </w:r>
          </w:p>
        </w:tc>
        <w:tc>
          <w:tcPr>
            <w:tcW w:w="2810" w:type="dxa"/>
            <w:tcBorders>
              <w:top w:val="single" w:color="auto" w:sz="4" w:space="0"/>
              <w:left w:val="nil"/>
              <w:bottom w:val="single" w:color="auto" w:sz="4" w:space="0"/>
              <w:right w:val="single" w:color="auto" w:sz="4" w:space="0"/>
            </w:tcBorders>
            <w:vAlign w:val="center"/>
          </w:tcPr>
          <w:p w14:paraId="3466C556">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449A7B87">
            <w:pPr>
              <w:jc w:val="center"/>
              <w:rPr>
                <w:rFonts w:ascii="宋体" w:hAnsi="宋体" w:cs="宋体"/>
                <w:color w:val="auto"/>
                <w:sz w:val="24"/>
                <w:highlight w:val="none"/>
              </w:rPr>
            </w:pPr>
          </w:p>
        </w:tc>
      </w:tr>
    </w:tbl>
    <w:p w14:paraId="024C28F1">
      <w:pPr>
        <w:rPr>
          <w:rFonts w:ascii="宋体" w:hAnsi="宋体" w:cs="宋体"/>
          <w:color w:val="auto"/>
          <w:sz w:val="24"/>
          <w:highlight w:val="none"/>
        </w:rPr>
      </w:pPr>
    </w:p>
    <w:p w14:paraId="6E8DDB57">
      <w:pPr>
        <w:rPr>
          <w:rFonts w:ascii="宋体" w:hAnsi="宋体" w:cs="宋体"/>
          <w:color w:val="auto"/>
          <w:sz w:val="24"/>
          <w:highlight w:val="none"/>
        </w:rPr>
      </w:pPr>
      <w:r>
        <w:rPr>
          <w:rFonts w:hint="eastAsia" w:ascii="宋体" w:hAnsi="宋体" w:cs="宋体"/>
          <w:color w:val="auto"/>
          <w:sz w:val="24"/>
          <w:highlight w:val="none"/>
        </w:rPr>
        <w:t>(可根据需求自行更改)</w:t>
      </w:r>
    </w:p>
    <w:p w14:paraId="476F4916">
      <w:pPr>
        <w:rPr>
          <w:rFonts w:ascii="宋体" w:hAnsi="宋体" w:cs="宋体"/>
          <w:color w:val="auto"/>
          <w:sz w:val="24"/>
          <w:highlight w:val="none"/>
        </w:rPr>
      </w:pPr>
    </w:p>
    <w:p w14:paraId="548ABE39">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 xml:space="preserve">章： </w:t>
      </w:r>
    </w:p>
    <w:p w14:paraId="596F1BC0">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2EFF9DAA">
      <w:pPr>
        <w:spacing w:line="360" w:lineRule="auto"/>
        <w:rPr>
          <w:rFonts w:ascii="宋体" w:hAnsi="宋体" w:cs="宋体"/>
          <w:b/>
          <w:color w:val="auto"/>
          <w:sz w:val="24"/>
          <w:highlight w:val="none"/>
        </w:rPr>
      </w:pPr>
    </w:p>
    <w:p w14:paraId="262E581C">
      <w:pPr>
        <w:spacing w:line="360" w:lineRule="auto"/>
        <w:rPr>
          <w:rFonts w:ascii="宋体" w:hAnsi="宋体" w:cs="宋体"/>
          <w:b/>
          <w:color w:val="auto"/>
          <w:sz w:val="24"/>
          <w:highlight w:val="none"/>
        </w:rPr>
      </w:pPr>
    </w:p>
    <w:p w14:paraId="4F653C20">
      <w:pPr>
        <w:spacing w:line="360" w:lineRule="auto"/>
        <w:rPr>
          <w:rFonts w:ascii="宋体" w:hAnsi="宋体" w:cs="宋体"/>
          <w:b/>
          <w:color w:val="auto"/>
          <w:sz w:val="24"/>
          <w:highlight w:val="none"/>
        </w:rPr>
      </w:pPr>
    </w:p>
    <w:p w14:paraId="1A977902">
      <w:pPr>
        <w:spacing w:line="360" w:lineRule="auto"/>
        <w:rPr>
          <w:rFonts w:ascii="宋体" w:hAnsi="宋体" w:cs="宋体"/>
          <w:b/>
          <w:color w:val="auto"/>
          <w:sz w:val="24"/>
          <w:highlight w:val="none"/>
        </w:rPr>
      </w:pPr>
    </w:p>
    <w:p w14:paraId="59895C1C">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格式7</w:t>
      </w:r>
    </w:p>
    <w:p w14:paraId="5168BD57">
      <w:pPr>
        <w:pStyle w:val="26"/>
        <w:ind w:firstLine="480"/>
        <w:rPr>
          <w:rFonts w:ascii="宋体" w:hAnsi="宋体" w:eastAsia="宋体" w:cs="宋体"/>
          <w:color w:val="auto"/>
          <w:sz w:val="24"/>
          <w:highlight w:val="none"/>
        </w:rPr>
      </w:pPr>
    </w:p>
    <w:p w14:paraId="1BCD7B26">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服务方案及服务承诺</w:t>
      </w:r>
    </w:p>
    <w:p w14:paraId="00C8510F">
      <w:pPr>
        <w:spacing w:line="380" w:lineRule="exact"/>
        <w:jc w:val="center"/>
        <w:rPr>
          <w:rFonts w:ascii="宋体" w:hAnsi="宋体" w:cs="宋体"/>
          <w:color w:val="auto"/>
          <w:sz w:val="24"/>
          <w:highlight w:val="none"/>
        </w:rPr>
      </w:pPr>
    </w:p>
    <w:p w14:paraId="5C1F0829">
      <w:pPr>
        <w:spacing w:line="380" w:lineRule="exact"/>
        <w:ind w:firstLine="360" w:firstLineChars="150"/>
        <w:rPr>
          <w:rFonts w:ascii="宋体" w:hAnsi="宋体" w:cs="宋体"/>
          <w:color w:val="auto"/>
          <w:sz w:val="24"/>
          <w:highlight w:val="none"/>
        </w:rPr>
      </w:pPr>
    </w:p>
    <w:p w14:paraId="445C21F4">
      <w:pPr>
        <w:pStyle w:val="45"/>
        <w:rPr>
          <w:rFonts w:ascii="宋体" w:hAnsi="宋体" w:cs="宋体"/>
          <w:color w:val="auto"/>
          <w:sz w:val="24"/>
          <w:szCs w:val="24"/>
          <w:highlight w:val="none"/>
        </w:rPr>
      </w:pPr>
    </w:p>
    <w:p w14:paraId="444CC8C0">
      <w:pPr>
        <w:pStyle w:val="45"/>
        <w:rPr>
          <w:rFonts w:ascii="宋体" w:hAnsi="宋体" w:cs="宋体"/>
          <w:color w:val="auto"/>
          <w:sz w:val="24"/>
          <w:szCs w:val="24"/>
          <w:highlight w:val="none"/>
        </w:rPr>
      </w:pPr>
    </w:p>
    <w:p w14:paraId="25F32B01">
      <w:pPr>
        <w:pStyle w:val="45"/>
        <w:rPr>
          <w:rFonts w:ascii="宋体" w:hAnsi="宋体" w:cs="宋体"/>
          <w:color w:val="auto"/>
          <w:sz w:val="24"/>
          <w:szCs w:val="24"/>
          <w:highlight w:val="none"/>
        </w:rPr>
      </w:pPr>
    </w:p>
    <w:p w14:paraId="77D318AE">
      <w:pPr>
        <w:pStyle w:val="45"/>
        <w:rPr>
          <w:rFonts w:ascii="宋体" w:hAnsi="宋体" w:cs="宋体"/>
          <w:color w:val="auto"/>
          <w:sz w:val="24"/>
          <w:szCs w:val="24"/>
          <w:highlight w:val="none"/>
        </w:rPr>
      </w:pPr>
    </w:p>
    <w:p w14:paraId="7003CB6C">
      <w:pPr>
        <w:pStyle w:val="45"/>
        <w:rPr>
          <w:rFonts w:ascii="宋体" w:hAnsi="宋体" w:cs="宋体"/>
          <w:color w:val="auto"/>
          <w:sz w:val="24"/>
          <w:szCs w:val="24"/>
          <w:highlight w:val="none"/>
        </w:rPr>
      </w:pPr>
    </w:p>
    <w:p w14:paraId="5552B28B">
      <w:pPr>
        <w:pStyle w:val="45"/>
        <w:rPr>
          <w:rFonts w:ascii="宋体" w:hAnsi="宋体" w:cs="宋体"/>
          <w:color w:val="auto"/>
          <w:sz w:val="24"/>
          <w:szCs w:val="24"/>
          <w:highlight w:val="none"/>
        </w:rPr>
      </w:pPr>
    </w:p>
    <w:p w14:paraId="0F1D2456">
      <w:pPr>
        <w:spacing w:line="380" w:lineRule="exact"/>
        <w:rPr>
          <w:rFonts w:ascii="宋体" w:hAnsi="宋体" w:cs="宋体"/>
          <w:color w:val="auto"/>
          <w:sz w:val="24"/>
          <w:highlight w:val="none"/>
        </w:rPr>
      </w:pPr>
    </w:p>
    <w:p w14:paraId="3C7201B8">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 xml:space="preserve">章： </w:t>
      </w:r>
    </w:p>
    <w:p w14:paraId="1FF35C9B">
      <w:pPr>
        <w:spacing w:line="380" w:lineRule="exact"/>
        <w:ind w:right="640" w:firstLine="1560" w:firstLineChars="650"/>
        <w:rPr>
          <w:rFonts w:ascii="宋体" w:hAnsi="宋体" w:cs="宋体"/>
          <w:color w:val="auto"/>
          <w:sz w:val="24"/>
          <w:highlight w:val="none"/>
        </w:rPr>
      </w:pPr>
    </w:p>
    <w:p w14:paraId="138470E6">
      <w:pPr>
        <w:spacing w:line="380" w:lineRule="exact"/>
        <w:ind w:right="640" w:firstLine="4680" w:firstLineChars="1950"/>
        <w:rPr>
          <w:rFonts w:ascii="宋体" w:hAnsi="宋体" w:cs="宋体"/>
          <w:color w:val="auto"/>
          <w:sz w:val="24"/>
          <w:highlight w:val="none"/>
        </w:rPr>
      </w:pPr>
    </w:p>
    <w:p w14:paraId="7FAF6DEB">
      <w:pPr>
        <w:spacing w:line="380" w:lineRule="exact"/>
        <w:jc w:val="center"/>
        <w:rPr>
          <w:rFonts w:ascii="宋体" w:hAnsi="宋体" w:cs="宋体"/>
          <w:color w:val="auto"/>
          <w:sz w:val="24"/>
          <w:highlight w:val="none"/>
        </w:rPr>
      </w:pPr>
    </w:p>
    <w:p w14:paraId="37323896">
      <w:pPr>
        <w:spacing w:line="380" w:lineRule="exact"/>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      年   月    日</w:t>
      </w:r>
    </w:p>
    <w:p w14:paraId="06CE09D7">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42A90D96">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格式8合格供应商的声明函和承诺书</w:t>
      </w:r>
    </w:p>
    <w:p w14:paraId="257621D8">
      <w:pPr>
        <w:spacing w:line="360" w:lineRule="auto"/>
        <w:rPr>
          <w:rFonts w:ascii="宋体" w:hAnsi="宋体" w:cs="宋体"/>
          <w:color w:val="auto"/>
          <w:sz w:val="24"/>
          <w:highlight w:val="none"/>
        </w:rPr>
      </w:pPr>
    </w:p>
    <w:p w14:paraId="539531A1">
      <w:pPr>
        <w:spacing w:line="360" w:lineRule="auto"/>
        <w:jc w:val="center"/>
        <w:rPr>
          <w:rFonts w:ascii="宋体" w:hAnsi="宋体" w:cs="宋体"/>
          <w:b/>
          <w:bCs/>
          <w:color w:val="auto"/>
          <w:sz w:val="24"/>
          <w:highlight w:val="none"/>
        </w:rPr>
      </w:pPr>
    </w:p>
    <w:p w14:paraId="3C22FE94">
      <w:pPr>
        <w:pStyle w:val="45"/>
        <w:rPr>
          <w:color w:val="auto"/>
          <w:highlight w:val="none"/>
        </w:rPr>
      </w:pPr>
    </w:p>
    <w:p w14:paraId="7D257B1B">
      <w:pPr>
        <w:spacing w:line="360" w:lineRule="auto"/>
        <w:jc w:val="center"/>
        <w:rPr>
          <w:rFonts w:ascii="宋体" w:hAnsi="宋体" w:cs="宋体"/>
          <w:b/>
          <w:color w:val="auto"/>
          <w:sz w:val="24"/>
          <w:highlight w:val="none"/>
        </w:rPr>
      </w:pPr>
    </w:p>
    <w:p w14:paraId="1578BB95">
      <w:pPr>
        <w:spacing w:line="360" w:lineRule="auto"/>
        <w:jc w:val="center"/>
        <w:rPr>
          <w:rFonts w:ascii="宋体" w:hAnsi="宋体" w:cs="宋体"/>
          <w:b/>
          <w:color w:val="auto"/>
          <w:sz w:val="24"/>
          <w:highlight w:val="none"/>
        </w:rPr>
      </w:pPr>
    </w:p>
    <w:p w14:paraId="64728749">
      <w:pPr>
        <w:spacing w:line="360" w:lineRule="auto"/>
        <w:jc w:val="center"/>
        <w:rPr>
          <w:rFonts w:ascii="宋体" w:hAnsi="宋体" w:cs="宋体"/>
          <w:b/>
          <w:color w:val="auto"/>
          <w:sz w:val="24"/>
          <w:highlight w:val="none"/>
        </w:rPr>
      </w:pPr>
    </w:p>
    <w:p w14:paraId="03EE28F4">
      <w:pPr>
        <w:spacing w:line="360" w:lineRule="auto"/>
        <w:jc w:val="center"/>
        <w:rPr>
          <w:rFonts w:ascii="宋体" w:hAnsi="宋体" w:cs="宋体"/>
          <w:b/>
          <w:color w:val="auto"/>
          <w:sz w:val="24"/>
          <w:highlight w:val="none"/>
        </w:rPr>
      </w:pPr>
    </w:p>
    <w:p w14:paraId="7A92A7EF">
      <w:pPr>
        <w:spacing w:line="360" w:lineRule="auto"/>
        <w:jc w:val="center"/>
        <w:rPr>
          <w:rFonts w:ascii="宋体" w:hAnsi="宋体" w:cs="宋体"/>
          <w:b/>
          <w:color w:val="auto"/>
          <w:sz w:val="24"/>
          <w:highlight w:val="none"/>
        </w:rPr>
      </w:pPr>
    </w:p>
    <w:p w14:paraId="590D79E5">
      <w:pPr>
        <w:spacing w:line="360" w:lineRule="auto"/>
        <w:jc w:val="center"/>
        <w:rPr>
          <w:rFonts w:ascii="宋体" w:hAnsi="宋体" w:cs="宋体"/>
          <w:b/>
          <w:color w:val="auto"/>
          <w:sz w:val="24"/>
          <w:highlight w:val="none"/>
        </w:rPr>
      </w:pPr>
    </w:p>
    <w:p w14:paraId="2A145FF3">
      <w:pPr>
        <w:spacing w:line="360" w:lineRule="auto"/>
        <w:jc w:val="center"/>
        <w:rPr>
          <w:rFonts w:ascii="宋体" w:hAnsi="宋体" w:cs="宋体"/>
          <w:b/>
          <w:color w:val="auto"/>
          <w:sz w:val="24"/>
          <w:highlight w:val="none"/>
        </w:rPr>
      </w:pPr>
    </w:p>
    <w:p w14:paraId="04F58C7A">
      <w:pPr>
        <w:spacing w:line="360" w:lineRule="auto"/>
        <w:jc w:val="center"/>
        <w:rPr>
          <w:rFonts w:ascii="宋体" w:hAnsi="宋体" w:cs="宋体"/>
          <w:b/>
          <w:color w:val="auto"/>
          <w:sz w:val="24"/>
          <w:highlight w:val="none"/>
        </w:rPr>
      </w:pPr>
    </w:p>
    <w:p w14:paraId="12E3D1BD">
      <w:pPr>
        <w:spacing w:line="360" w:lineRule="auto"/>
        <w:jc w:val="center"/>
        <w:rPr>
          <w:rFonts w:ascii="宋体" w:hAnsi="宋体" w:cs="宋体"/>
          <w:b/>
          <w:color w:val="auto"/>
          <w:sz w:val="24"/>
          <w:highlight w:val="none"/>
        </w:rPr>
      </w:pPr>
    </w:p>
    <w:p w14:paraId="5A7A8014">
      <w:pPr>
        <w:spacing w:line="360" w:lineRule="auto"/>
        <w:jc w:val="center"/>
        <w:rPr>
          <w:rFonts w:ascii="宋体" w:hAnsi="宋体" w:cs="宋体"/>
          <w:b/>
          <w:color w:val="auto"/>
          <w:sz w:val="24"/>
          <w:highlight w:val="none"/>
        </w:rPr>
      </w:pPr>
    </w:p>
    <w:p w14:paraId="12072D5A">
      <w:pPr>
        <w:spacing w:line="360" w:lineRule="auto"/>
        <w:jc w:val="center"/>
        <w:rPr>
          <w:rFonts w:ascii="宋体" w:hAnsi="宋体" w:cs="宋体"/>
          <w:b/>
          <w:color w:val="auto"/>
          <w:sz w:val="24"/>
          <w:highlight w:val="none"/>
        </w:rPr>
      </w:pPr>
    </w:p>
    <w:p w14:paraId="1CB0CA39">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 xml:space="preserve">章： </w:t>
      </w:r>
    </w:p>
    <w:p w14:paraId="4F9918EE">
      <w:pPr>
        <w:spacing w:line="380" w:lineRule="exact"/>
        <w:ind w:right="640" w:firstLine="1560" w:firstLineChars="650"/>
        <w:rPr>
          <w:rFonts w:ascii="宋体" w:hAnsi="宋体" w:cs="宋体"/>
          <w:color w:val="auto"/>
          <w:sz w:val="24"/>
          <w:highlight w:val="none"/>
        </w:rPr>
      </w:pPr>
    </w:p>
    <w:p w14:paraId="3269888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4EDD0CAD">
      <w:pPr>
        <w:spacing w:line="360" w:lineRule="auto"/>
        <w:rPr>
          <w:rFonts w:hint="eastAsia" w:ascii="宋体" w:hAnsi="宋体" w:cs="宋体"/>
          <w:color w:val="auto"/>
          <w:sz w:val="24"/>
          <w:highlight w:val="none"/>
        </w:rPr>
      </w:pPr>
    </w:p>
    <w:p w14:paraId="58057C99">
      <w:pPr>
        <w:spacing w:line="360" w:lineRule="auto"/>
        <w:rPr>
          <w:rFonts w:hint="eastAsia" w:ascii="宋体" w:hAnsi="宋体" w:cs="宋体"/>
          <w:color w:val="auto"/>
          <w:sz w:val="24"/>
          <w:highlight w:val="none"/>
        </w:rPr>
      </w:pPr>
    </w:p>
    <w:p w14:paraId="11A25E62">
      <w:pPr>
        <w:spacing w:line="360" w:lineRule="auto"/>
        <w:rPr>
          <w:rFonts w:hint="eastAsia" w:ascii="宋体" w:hAnsi="宋体" w:cs="宋体"/>
          <w:color w:val="auto"/>
          <w:sz w:val="24"/>
          <w:highlight w:val="none"/>
        </w:rPr>
      </w:pPr>
    </w:p>
    <w:p w14:paraId="1A995CA1">
      <w:pPr>
        <w:spacing w:line="360" w:lineRule="auto"/>
        <w:rPr>
          <w:rFonts w:hint="eastAsia" w:ascii="宋体" w:hAnsi="宋体" w:cs="宋体"/>
          <w:color w:val="auto"/>
          <w:sz w:val="24"/>
          <w:highlight w:val="none"/>
        </w:rPr>
      </w:pPr>
    </w:p>
    <w:p w14:paraId="5727AFC7">
      <w:pPr>
        <w:spacing w:line="380" w:lineRule="exact"/>
        <w:jc w:val="center"/>
        <w:rPr>
          <w:rFonts w:hint="eastAsia" w:ascii="宋体" w:hAnsi="宋体" w:eastAsia="宋体" w:cs="宋体"/>
          <w:color w:val="auto"/>
          <w:sz w:val="24"/>
          <w:highlight w:val="none"/>
        </w:rPr>
      </w:pPr>
    </w:p>
    <w:p w14:paraId="6F11FF49">
      <w:pPr>
        <w:spacing w:line="380" w:lineRule="exact"/>
        <w:jc w:val="center"/>
        <w:rPr>
          <w:rFonts w:hint="eastAsia" w:ascii="宋体" w:hAnsi="宋体" w:eastAsia="宋体" w:cs="宋体"/>
          <w:color w:val="auto"/>
          <w:sz w:val="24"/>
          <w:highlight w:val="none"/>
        </w:rPr>
      </w:pPr>
    </w:p>
    <w:p w14:paraId="68C5A15B">
      <w:pPr>
        <w:spacing w:line="380" w:lineRule="exact"/>
        <w:jc w:val="center"/>
        <w:rPr>
          <w:rFonts w:hint="eastAsia" w:ascii="宋体" w:hAnsi="宋体" w:eastAsia="宋体" w:cs="宋体"/>
          <w:color w:val="auto"/>
          <w:sz w:val="24"/>
          <w:highlight w:val="none"/>
        </w:rPr>
      </w:pPr>
    </w:p>
    <w:p w14:paraId="2AF14C60">
      <w:pPr>
        <w:spacing w:line="380" w:lineRule="exact"/>
        <w:jc w:val="center"/>
        <w:rPr>
          <w:rFonts w:hint="eastAsia" w:ascii="宋体" w:hAnsi="宋体" w:eastAsia="宋体" w:cs="宋体"/>
          <w:color w:val="auto"/>
          <w:sz w:val="24"/>
          <w:highlight w:val="none"/>
        </w:rPr>
      </w:pPr>
    </w:p>
    <w:p w14:paraId="2A0309D1">
      <w:pPr>
        <w:spacing w:line="380" w:lineRule="exact"/>
        <w:jc w:val="center"/>
        <w:rPr>
          <w:rFonts w:hint="eastAsia" w:ascii="宋体" w:hAnsi="宋体" w:eastAsia="宋体" w:cs="宋体"/>
          <w:color w:val="auto"/>
          <w:sz w:val="24"/>
          <w:highlight w:val="none"/>
        </w:rPr>
      </w:pPr>
    </w:p>
    <w:p w14:paraId="6200FE66">
      <w:pPr>
        <w:spacing w:line="380" w:lineRule="exact"/>
        <w:jc w:val="center"/>
        <w:rPr>
          <w:rFonts w:hint="eastAsia" w:ascii="宋体" w:hAnsi="宋体" w:eastAsia="宋体" w:cs="宋体"/>
          <w:color w:val="auto"/>
          <w:sz w:val="24"/>
          <w:highlight w:val="none"/>
        </w:rPr>
      </w:pPr>
    </w:p>
    <w:p w14:paraId="0AAAED81">
      <w:pPr>
        <w:spacing w:line="380" w:lineRule="exact"/>
        <w:jc w:val="center"/>
        <w:rPr>
          <w:rFonts w:hint="eastAsia" w:ascii="宋体" w:hAnsi="宋体" w:eastAsia="宋体" w:cs="宋体"/>
          <w:color w:val="auto"/>
          <w:sz w:val="24"/>
          <w:highlight w:val="none"/>
        </w:rPr>
      </w:pPr>
    </w:p>
    <w:p w14:paraId="75FEB858">
      <w:pPr>
        <w:spacing w:line="380" w:lineRule="exact"/>
        <w:jc w:val="center"/>
        <w:rPr>
          <w:rFonts w:hint="eastAsia" w:ascii="宋体" w:hAnsi="宋体" w:eastAsia="宋体" w:cs="宋体"/>
          <w:color w:val="auto"/>
          <w:sz w:val="24"/>
          <w:highlight w:val="none"/>
        </w:rPr>
      </w:pPr>
    </w:p>
    <w:p w14:paraId="2973D679">
      <w:pPr>
        <w:spacing w:line="380" w:lineRule="exact"/>
        <w:jc w:val="center"/>
        <w:rPr>
          <w:rFonts w:hint="eastAsia" w:ascii="宋体" w:hAnsi="宋体" w:eastAsia="宋体" w:cs="宋体"/>
          <w:color w:val="auto"/>
          <w:sz w:val="24"/>
          <w:highlight w:val="none"/>
        </w:rPr>
      </w:pPr>
    </w:p>
    <w:p w14:paraId="743F1E1C">
      <w:pPr>
        <w:spacing w:line="380" w:lineRule="exact"/>
        <w:jc w:val="center"/>
        <w:rPr>
          <w:rFonts w:hint="eastAsia" w:ascii="宋体" w:hAnsi="宋体" w:eastAsia="宋体" w:cs="宋体"/>
          <w:color w:val="auto"/>
          <w:sz w:val="24"/>
          <w:highlight w:val="none"/>
        </w:rPr>
      </w:pPr>
    </w:p>
    <w:p w14:paraId="2058BB96">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格式9中小企业声明函（工程、服务）</w:t>
      </w:r>
    </w:p>
    <w:p w14:paraId="3A4540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color w:val="auto"/>
          <w:sz w:val="32"/>
          <w:szCs w:val="32"/>
          <w:highlight w:val="none"/>
        </w:rPr>
      </w:pPr>
    </w:p>
    <w:p w14:paraId="58699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eastAsia="宋体" w:cs="宋体"/>
          <w:color w:val="auto"/>
          <w:sz w:val="24"/>
          <w:szCs w:val="24"/>
          <w:highlight w:val="none"/>
          <w:u w:val="single"/>
        </w:rPr>
        <w:t>（或者：服务全部由符合政策要求的中小企业承接）</w:t>
      </w:r>
      <w:r>
        <w:rPr>
          <w:rFonts w:hint="eastAsia" w:ascii="宋体" w:hAnsi="宋体" w:eastAsia="宋体" w:cs="宋体"/>
          <w:color w:val="auto"/>
          <w:sz w:val="24"/>
          <w:szCs w:val="24"/>
          <w:highlight w:val="none"/>
        </w:rPr>
        <w:t>。相关企业</w:t>
      </w:r>
      <w:r>
        <w:rPr>
          <w:rFonts w:hint="eastAsia" w:ascii="宋体" w:hAnsi="宋体" w:eastAsia="宋体" w:cs="宋体"/>
          <w:color w:val="auto"/>
          <w:sz w:val="24"/>
          <w:szCs w:val="24"/>
          <w:highlight w:val="none"/>
          <w:u w:val="single"/>
        </w:rPr>
        <w:t>（含联合 体中的中小企业、签订分包意向协议的中小企业）</w:t>
      </w:r>
      <w:r>
        <w:rPr>
          <w:rFonts w:hint="eastAsia" w:ascii="宋体" w:hAnsi="宋体" w:eastAsia="宋体" w:cs="宋体"/>
          <w:color w:val="auto"/>
          <w:sz w:val="24"/>
          <w:szCs w:val="24"/>
          <w:highlight w:val="none"/>
        </w:rPr>
        <w:t>的具体情 况如下：</w:t>
      </w:r>
    </w:p>
    <w:p w14:paraId="528CEF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承建（承接）企业为（企业名称），从业人员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万元1，属于（中型企业、小型企业、微型企业）； </w:t>
      </w:r>
    </w:p>
    <w:p w14:paraId="6A07FF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val="0"/>
          <w:iCs w:val="0"/>
          <w:color w:val="auto"/>
          <w:sz w:val="24"/>
          <w:szCs w:val="24"/>
          <w:highlight w:val="none"/>
          <w:u w:val="single"/>
        </w:rPr>
        <w:t>（中型企业、 小型企业、微型企业）</w:t>
      </w:r>
      <w:r>
        <w:rPr>
          <w:rFonts w:hint="eastAsia" w:ascii="宋体" w:hAnsi="宋体" w:eastAsia="宋体" w:cs="宋体"/>
          <w:color w:val="auto"/>
          <w:sz w:val="24"/>
          <w:szCs w:val="24"/>
          <w:highlight w:val="none"/>
        </w:rPr>
        <w:t>； ……</w:t>
      </w:r>
    </w:p>
    <w:p w14:paraId="11D685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 为大企业的情形，也不存在与大企业的负责人为同一人的情形。</w:t>
      </w:r>
    </w:p>
    <w:p w14:paraId="46AB61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 法承担相应责任。 </w:t>
      </w:r>
    </w:p>
    <w:p w14:paraId="524138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09C770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1E057B42">
      <w:pPr>
        <w:pStyle w:val="45"/>
        <w:rPr>
          <w:rFonts w:hint="eastAsia" w:ascii="宋体" w:hAnsi="宋体" w:eastAsia="宋体" w:cs="宋体"/>
          <w:color w:val="auto"/>
          <w:sz w:val="24"/>
          <w:szCs w:val="24"/>
          <w:highlight w:val="none"/>
        </w:rPr>
      </w:pPr>
    </w:p>
    <w:p w14:paraId="2198C56B">
      <w:pPr>
        <w:pStyle w:val="5"/>
        <w:rPr>
          <w:rFonts w:hint="eastAsia" w:ascii="宋体" w:hAnsi="宋体" w:eastAsia="宋体" w:cs="宋体"/>
          <w:color w:val="auto"/>
          <w:sz w:val="24"/>
          <w:szCs w:val="24"/>
          <w:highlight w:val="none"/>
        </w:rPr>
      </w:pPr>
    </w:p>
    <w:p w14:paraId="13C52315">
      <w:pPr>
        <w:rPr>
          <w:rFonts w:hint="eastAsia" w:ascii="宋体" w:hAnsi="宋体" w:eastAsia="宋体" w:cs="宋体"/>
          <w:color w:val="auto"/>
          <w:sz w:val="24"/>
          <w:szCs w:val="24"/>
          <w:highlight w:val="none"/>
        </w:rPr>
      </w:pPr>
    </w:p>
    <w:p w14:paraId="261E51F4">
      <w:pPr>
        <w:pStyle w:val="45"/>
        <w:rPr>
          <w:rFonts w:hint="eastAsia" w:ascii="宋体" w:hAnsi="宋体" w:eastAsia="宋体" w:cs="宋体"/>
          <w:color w:val="auto"/>
          <w:sz w:val="24"/>
          <w:szCs w:val="24"/>
          <w:highlight w:val="none"/>
        </w:rPr>
      </w:pPr>
    </w:p>
    <w:p w14:paraId="43F429DE">
      <w:pPr>
        <w:pStyle w:val="5"/>
        <w:rPr>
          <w:rFonts w:hint="eastAsia"/>
          <w:color w:val="auto"/>
          <w:highlight w:val="none"/>
        </w:rPr>
      </w:pPr>
    </w:p>
    <w:p w14:paraId="1D85D5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注：1.从业人员、营业收入、资产总额填报上一年度数据，无上一年度数据的新成立企业可不填报。</w:t>
      </w:r>
    </w:p>
    <w:p w14:paraId="40E189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2.本项目如是只面向中小企业采购的应当必须提供。</w:t>
      </w:r>
    </w:p>
    <w:p w14:paraId="436FF96B">
      <w:pPr>
        <w:spacing w:line="360" w:lineRule="auto"/>
        <w:jc w:val="center"/>
        <w:rPr>
          <w:rFonts w:ascii="宋体" w:hAnsi="宋体" w:cs="宋体"/>
          <w:b/>
          <w:bCs/>
          <w:color w:val="auto"/>
          <w:sz w:val="24"/>
          <w:highlight w:val="none"/>
        </w:rPr>
      </w:pPr>
    </w:p>
    <w:p w14:paraId="6DE9528F">
      <w:pPr>
        <w:spacing w:line="360" w:lineRule="auto"/>
        <w:jc w:val="center"/>
        <w:rPr>
          <w:rFonts w:ascii="宋体" w:hAnsi="宋体" w:cs="宋体"/>
          <w:b/>
          <w:bCs/>
          <w:color w:val="auto"/>
          <w:sz w:val="24"/>
          <w:highlight w:val="none"/>
        </w:rPr>
      </w:pPr>
    </w:p>
    <w:p w14:paraId="720B6593">
      <w:pPr>
        <w:pStyle w:val="45"/>
        <w:rPr>
          <w:rFonts w:ascii="宋体" w:hAnsi="宋体" w:cs="宋体"/>
          <w:b/>
          <w:bCs/>
          <w:color w:val="auto"/>
          <w:sz w:val="24"/>
          <w:highlight w:val="none"/>
        </w:rPr>
      </w:pPr>
    </w:p>
    <w:p w14:paraId="0DE48CE5">
      <w:pPr>
        <w:pStyle w:val="5"/>
        <w:rPr>
          <w:color w:val="auto"/>
          <w:highlight w:val="none"/>
        </w:rPr>
      </w:pPr>
    </w:p>
    <w:p w14:paraId="5E0C17F0">
      <w:pPr>
        <w:spacing w:line="360" w:lineRule="auto"/>
        <w:rPr>
          <w:rFonts w:hint="eastAsia" w:ascii="宋体" w:hAnsi="宋体" w:cs="宋体"/>
          <w:color w:val="auto"/>
          <w:sz w:val="24"/>
          <w:highlight w:val="none"/>
        </w:rPr>
      </w:pPr>
    </w:p>
    <w:p w14:paraId="1B96BA24">
      <w:pPr>
        <w:rPr>
          <w:rFonts w:hint="eastAsia" w:ascii="宋体" w:hAnsi="宋体" w:cs="宋体"/>
          <w:color w:val="auto"/>
          <w:sz w:val="24"/>
          <w:highlight w:val="none"/>
        </w:rPr>
      </w:pPr>
      <w:r>
        <w:rPr>
          <w:rFonts w:hint="eastAsia" w:ascii="宋体" w:hAnsi="宋体" w:cs="宋体"/>
          <w:color w:val="auto"/>
          <w:sz w:val="24"/>
          <w:highlight w:val="none"/>
        </w:rPr>
        <w:br w:type="page"/>
      </w:r>
    </w:p>
    <w:p w14:paraId="7D8AD6FB">
      <w:pPr>
        <w:spacing w:line="360" w:lineRule="auto"/>
        <w:rPr>
          <w:rFonts w:ascii="宋体" w:hAnsi="宋体" w:cs="宋体"/>
          <w:color w:val="auto"/>
          <w:sz w:val="24"/>
          <w:highlight w:val="none"/>
        </w:rPr>
      </w:pPr>
      <w:r>
        <w:rPr>
          <w:rFonts w:hint="eastAsia" w:ascii="宋体" w:hAnsi="宋体" w:cs="宋体"/>
          <w:color w:val="auto"/>
          <w:sz w:val="24"/>
          <w:highlight w:val="none"/>
        </w:rPr>
        <w:t>格式</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其他资料</w:t>
      </w:r>
    </w:p>
    <w:p w14:paraId="595C7252">
      <w:pPr>
        <w:rPr>
          <w:rFonts w:hint="eastAsia" w:ascii="宋体" w:hAnsi="宋体" w:cs="宋体"/>
          <w:color w:val="auto"/>
          <w:sz w:val="24"/>
          <w:highlight w:val="none"/>
        </w:rPr>
      </w:pPr>
      <w:r>
        <w:rPr>
          <w:rFonts w:hint="eastAsia" w:ascii="宋体" w:hAnsi="宋体" w:cs="宋体"/>
          <w:color w:val="auto"/>
          <w:sz w:val="24"/>
          <w:highlight w:val="none"/>
        </w:rPr>
        <w:br w:type="page"/>
      </w:r>
    </w:p>
    <w:p w14:paraId="35EFC974">
      <w:pPr>
        <w:spacing w:line="360" w:lineRule="auto"/>
        <w:rPr>
          <w:rFonts w:hint="default" w:eastAsia="宋体"/>
          <w:color w:val="auto"/>
          <w:highlight w:val="none"/>
          <w:lang w:val="en-US" w:eastAsia="zh-CN"/>
        </w:rPr>
      </w:pPr>
      <w:r>
        <w:rPr>
          <w:rFonts w:hint="eastAsia" w:ascii="宋体" w:hAnsi="宋体" w:cs="宋体"/>
          <w:color w:val="auto"/>
          <w:sz w:val="24"/>
          <w:highlight w:val="none"/>
        </w:rPr>
        <w:t>格式</w:t>
      </w:r>
      <w:r>
        <w:rPr>
          <w:rFonts w:hint="eastAsia" w:ascii="宋体" w:hAnsi="宋体" w:cs="宋体"/>
          <w:color w:val="auto"/>
          <w:sz w:val="24"/>
          <w:highlight w:val="none"/>
          <w:lang w:val="en-US" w:eastAsia="zh-CN"/>
        </w:rPr>
        <w:t>11</w:t>
      </w:r>
    </w:p>
    <w:p w14:paraId="76DE59AF">
      <w:pPr>
        <w:spacing w:line="380" w:lineRule="exact"/>
        <w:jc w:val="center"/>
        <w:rPr>
          <w:rStyle w:val="74"/>
          <w:rFonts w:ascii="宋体"/>
          <w:b/>
          <w:bCs/>
          <w:color w:val="auto"/>
          <w:sz w:val="28"/>
          <w:szCs w:val="28"/>
          <w:highlight w:val="none"/>
        </w:rPr>
      </w:pPr>
      <w:r>
        <w:rPr>
          <w:rStyle w:val="74"/>
          <w:rFonts w:hint="eastAsia" w:ascii="宋体" w:hAnsi="宋体" w:cs="宋体"/>
          <w:b/>
          <w:bCs/>
          <w:color w:val="auto"/>
          <w:sz w:val="28"/>
          <w:szCs w:val="28"/>
          <w:highlight w:val="none"/>
        </w:rPr>
        <w:t>政府采购供应商诚信承诺书</w:t>
      </w:r>
    </w:p>
    <w:p w14:paraId="4604DE32">
      <w:pPr>
        <w:spacing w:line="380" w:lineRule="exact"/>
        <w:jc w:val="center"/>
        <w:rPr>
          <w:rStyle w:val="74"/>
          <w:rFonts w:ascii="宋体"/>
          <w:b/>
          <w:bCs/>
          <w:color w:val="auto"/>
          <w:sz w:val="24"/>
          <w:highlight w:val="none"/>
        </w:rPr>
      </w:pPr>
    </w:p>
    <w:p w14:paraId="30631B01">
      <w:pPr>
        <w:spacing w:line="38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17E49A52">
      <w:pPr>
        <w:spacing w:line="380" w:lineRule="exact"/>
        <w:rPr>
          <w:rFonts w:ascii="宋体" w:hAnsi="宋体" w:cs="宋体"/>
          <w:color w:val="auto"/>
          <w:sz w:val="24"/>
          <w:highlight w:val="none"/>
        </w:rPr>
      </w:pPr>
      <w:r>
        <w:rPr>
          <w:rFonts w:hint="eastAsia" w:ascii="宋体" w:hAnsi="宋体" w:cs="宋体"/>
          <w:color w:val="auto"/>
          <w:sz w:val="24"/>
          <w:highlight w:val="none"/>
        </w:rPr>
        <w:t>（一）提供虚假材料谋取中标;</w:t>
      </w:r>
    </w:p>
    <w:p w14:paraId="1DDF2D01">
      <w:pPr>
        <w:spacing w:line="380" w:lineRule="exact"/>
        <w:rPr>
          <w:rFonts w:ascii="宋体" w:hAnsi="宋体" w:cs="宋体"/>
          <w:color w:val="auto"/>
          <w:sz w:val="24"/>
          <w:highlight w:val="none"/>
        </w:rPr>
      </w:pPr>
      <w:r>
        <w:rPr>
          <w:rFonts w:hint="eastAsia" w:ascii="宋体" w:hAnsi="宋体" w:cs="宋体"/>
          <w:color w:val="auto"/>
          <w:sz w:val="24"/>
          <w:highlight w:val="none"/>
        </w:rPr>
        <w:t>（二）采取不正当手段诋毁、排挤其他供应商;</w:t>
      </w:r>
    </w:p>
    <w:p w14:paraId="05AA48DE">
      <w:pPr>
        <w:spacing w:line="380" w:lineRule="exact"/>
        <w:rPr>
          <w:rFonts w:ascii="宋体" w:hAnsi="宋体" w:cs="宋体"/>
          <w:color w:val="auto"/>
          <w:sz w:val="24"/>
          <w:highlight w:val="none"/>
        </w:rPr>
      </w:pPr>
      <w:r>
        <w:rPr>
          <w:rFonts w:hint="eastAsia" w:ascii="宋体" w:hAnsi="宋体" w:cs="宋体"/>
          <w:color w:val="auto"/>
          <w:sz w:val="24"/>
          <w:highlight w:val="none"/>
        </w:rPr>
        <w:t>（三）与招标采购单位、其他投标人恶意串通;</w:t>
      </w:r>
    </w:p>
    <w:p w14:paraId="6DDC6F04">
      <w:pPr>
        <w:spacing w:line="380" w:lineRule="exact"/>
        <w:rPr>
          <w:rFonts w:ascii="宋体" w:hAnsi="宋体" w:cs="宋体"/>
          <w:color w:val="auto"/>
          <w:sz w:val="24"/>
          <w:highlight w:val="none"/>
        </w:rPr>
      </w:pPr>
      <w:r>
        <w:rPr>
          <w:rFonts w:hint="eastAsia" w:ascii="宋体" w:hAnsi="宋体" w:cs="宋体"/>
          <w:color w:val="auto"/>
          <w:sz w:val="24"/>
          <w:highlight w:val="none"/>
        </w:rPr>
        <w:t>（四）向招标采购单位或提供其他不正当利益;</w:t>
      </w:r>
    </w:p>
    <w:p w14:paraId="67A43BD5">
      <w:pPr>
        <w:spacing w:line="380" w:lineRule="exact"/>
        <w:rPr>
          <w:rFonts w:ascii="宋体" w:hAnsi="宋体" w:cs="宋体"/>
          <w:color w:val="auto"/>
          <w:sz w:val="24"/>
          <w:highlight w:val="none"/>
        </w:rPr>
      </w:pPr>
      <w:r>
        <w:rPr>
          <w:rFonts w:hint="eastAsia" w:ascii="宋体" w:hAnsi="宋体" w:cs="宋体"/>
          <w:color w:val="auto"/>
          <w:sz w:val="24"/>
          <w:highlight w:val="none"/>
        </w:rPr>
        <w:t>（五）在招标过程中与招标采购单位进行协商谈判、不按照招标文件和投标文件订立合同，或者与采购人另立背离合同实质性内容协议;</w:t>
      </w:r>
    </w:p>
    <w:p w14:paraId="533111A6">
      <w:pPr>
        <w:spacing w:line="380" w:lineRule="exact"/>
        <w:rPr>
          <w:rFonts w:ascii="宋体" w:hAnsi="宋体" w:cs="宋体"/>
          <w:color w:val="auto"/>
          <w:sz w:val="24"/>
          <w:highlight w:val="none"/>
        </w:rPr>
      </w:pPr>
      <w:r>
        <w:rPr>
          <w:rFonts w:hint="eastAsia" w:ascii="宋体" w:hAnsi="宋体" w:cs="宋体"/>
          <w:color w:val="auto"/>
          <w:sz w:val="24"/>
          <w:highlight w:val="none"/>
        </w:rPr>
        <w:t>（六）开标后擅自撤销投标，影响招标继续进行的或领取招标文件纳投标保证金后不投标导致废标;</w:t>
      </w:r>
    </w:p>
    <w:p w14:paraId="785C0F58">
      <w:pPr>
        <w:spacing w:line="380" w:lineRule="exact"/>
        <w:rPr>
          <w:rFonts w:ascii="宋体" w:hAnsi="宋体" w:cs="宋体"/>
          <w:color w:val="auto"/>
          <w:sz w:val="24"/>
          <w:highlight w:val="none"/>
        </w:rPr>
      </w:pPr>
      <w:r>
        <w:rPr>
          <w:rFonts w:hint="eastAsia" w:ascii="宋体" w:hAnsi="宋体" w:cs="宋体"/>
          <w:color w:val="auto"/>
          <w:sz w:val="24"/>
          <w:highlight w:val="none"/>
        </w:rPr>
        <w:t>（七）中标后无正当理由，在规定时间内不与采购单位签订合同;</w:t>
      </w:r>
    </w:p>
    <w:p w14:paraId="28404C04">
      <w:pPr>
        <w:spacing w:line="380" w:lineRule="exact"/>
        <w:rPr>
          <w:rFonts w:ascii="宋体" w:hAnsi="宋体" w:cs="宋体"/>
          <w:color w:val="auto"/>
          <w:sz w:val="24"/>
          <w:highlight w:val="none"/>
        </w:rPr>
      </w:pPr>
      <w:r>
        <w:rPr>
          <w:rFonts w:hint="eastAsia" w:ascii="宋体" w:hAnsi="宋体" w:cs="宋体"/>
          <w:color w:val="auto"/>
          <w:sz w:val="24"/>
          <w:highlight w:val="none"/>
        </w:rPr>
        <w:t>（八）将中标项目转让给他人或非法分包他人;</w:t>
      </w:r>
    </w:p>
    <w:p w14:paraId="2563AE76">
      <w:pPr>
        <w:spacing w:line="380" w:lineRule="exact"/>
        <w:rPr>
          <w:rFonts w:ascii="宋体" w:hAnsi="宋体" w:cs="宋体"/>
          <w:color w:val="auto"/>
          <w:sz w:val="24"/>
          <w:highlight w:val="none"/>
        </w:rPr>
      </w:pPr>
      <w:r>
        <w:rPr>
          <w:rFonts w:hint="eastAsia" w:ascii="宋体" w:hAnsi="宋体" w:cs="宋体"/>
          <w:color w:val="auto"/>
          <w:sz w:val="24"/>
          <w:highlight w:val="none"/>
        </w:rPr>
        <w:t>（九）无正当理由，拒绝履行合同义务;</w:t>
      </w:r>
    </w:p>
    <w:p w14:paraId="699883C9">
      <w:pPr>
        <w:spacing w:line="380" w:lineRule="exact"/>
        <w:rPr>
          <w:rFonts w:ascii="宋体" w:hAnsi="宋体" w:cs="宋体"/>
          <w:color w:val="auto"/>
          <w:sz w:val="24"/>
          <w:highlight w:val="none"/>
        </w:rPr>
      </w:pPr>
      <w:r>
        <w:rPr>
          <w:rFonts w:hint="eastAsia" w:ascii="宋体" w:hAnsi="宋体" w:cs="宋体"/>
          <w:color w:val="auto"/>
          <w:sz w:val="24"/>
          <w:highlight w:val="none"/>
        </w:rPr>
        <w:t>（十）无正当理由放弃中标（成交）项目;</w:t>
      </w:r>
    </w:p>
    <w:p w14:paraId="57D7778D">
      <w:pPr>
        <w:spacing w:line="380" w:lineRule="exact"/>
        <w:rPr>
          <w:rFonts w:ascii="宋体" w:hAnsi="宋体" w:cs="宋体"/>
          <w:color w:val="auto"/>
          <w:sz w:val="24"/>
          <w:highlight w:val="none"/>
        </w:rPr>
      </w:pPr>
      <w:r>
        <w:rPr>
          <w:rFonts w:hint="eastAsia" w:ascii="宋体" w:hAnsi="宋体" w:cs="宋体"/>
          <w:color w:val="auto"/>
          <w:sz w:val="24"/>
          <w:highlight w:val="none"/>
        </w:rPr>
        <w:t>（十</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）撞自或与与采购人串通或接受采购人要求，在履约合同中通过减少货物数量，更换品牌、降低配置、技术要求、质量和服务标准等，却仍按原合同进行虚假验收或终止政府采购合同;</w:t>
      </w:r>
    </w:p>
    <w:p w14:paraId="383268EE">
      <w:pPr>
        <w:spacing w:line="380" w:lineRule="exact"/>
        <w:rPr>
          <w:rFonts w:ascii="宋体" w:hAnsi="宋体" w:cs="宋体"/>
          <w:color w:val="auto"/>
          <w:sz w:val="24"/>
          <w:highlight w:val="none"/>
        </w:rPr>
      </w:pPr>
      <w:r>
        <w:rPr>
          <w:rFonts w:hint="eastAsia" w:ascii="宋体" w:hAnsi="宋体" w:cs="宋体"/>
          <w:color w:val="auto"/>
          <w:sz w:val="24"/>
          <w:highlight w:val="none"/>
        </w:rPr>
        <w:t>（十二）与采购人串通，对尚未履约完毕的采购项目出具虚假验收报告；</w:t>
      </w:r>
    </w:p>
    <w:p w14:paraId="2E80C76C">
      <w:pPr>
        <w:spacing w:line="380" w:lineRule="exact"/>
        <w:rPr>
          <w:rFonts w:ascii="宋体" w:hAnsi="宋体" w:cs="宋体"/>
          <w:color w:val="auto"/>
          <w:sz w:val="24"/>
          <w:highlight w:val="none"/>
        </w:rPr>
      </w:pPr>
      <w:r>
        <w:rPr>
          <w:rFonts w:hint="eastAsia" w:ascii="宋体" w:hAnsi="宋体" w:cs="宋体"/>
          <w:color w:val="auto"/>
          <w:sz w:val="24"/>
          <w:highlight w:val="none"/>
        </w:rPr>
        <w:t>（十三）无不可抗力因素，拒绝提供售后服务、售后服务态度恶劣、故意提高维修配件价格（高于市场平均价）；</w:t>
      </w:r>
    </w:p>
    <w:p w14:paraId="144E3D8E">
      <w:pPr>
        <w:spacing w:line="380" w:lineRule="exact"/>
        <w:rPr>
          <w:rFonts w:ascii="宋体" w:hAnsi="宋体" w:cs="宋体"/>
          <w:color w:val="auto"/>
          <w:sz w:val="24"/>
          <w:highlight w:val="none"/>
        </w:rPr>
      </w:pPr>
      <w:r>
        <w:rPr>
          <w:rFonts w:hint="eastAsia" w:ascii="宋体" w:hAnsi="宋体" w:cs="宋体"/>
          <w:color w:val="auto"/>
          <w:sz w:val="24"/>
          <w:highlight w:val="none"/>
        </w:rPr>
        <w:t>（十四）开标后对招标文件的相关内容再进行质疑；</w:t>
      </w:r>
    </w:p>
    <w:p w14:paraId="61BB9DC7">
      <w:pPr>
        <w:spacing w:line="380" w:lineRule="exact"/>
        <w:rPr>
          <w:rFonts w:ascii="宋体" w:hAnsi="宋体" w:cs="宋体"/>
          <w:color w:val="auto"/>
          <w:sz w:val="24"/>
          <w:highlight w:val="none"/>
        </w:rPr>
      </w:pPr>
      <w:r>
        <w:rPr>
          <w:rFonts w:hint="eastAsia" w:ascii="宋体" w:hAnsi="宋体" w:cs="宋体"/>
          <w:color w:val="auto"/>
          <w:sz w:val="24"/>
          <w:highlight w:val="none"/>
        </w:rPr>
        <w:t>（十五）恶意投诉的行为：投诉经查无实据的、捏造事实或者提供虚假设诉材料；</w:t>
      </w:r>
    </w:p>
    <w:p w14:paraId="11E87668">
      <w:pPr>
        <w:spacing w:line="380" w:lineRule="exact"/>
        <w:rPr>
          <w:rFonts w:ascii="宋体" w:hAnsi="宋体" w:cs="宋体"/>
          <w:color w:val="auto"/>
          <w:sz w:val="24"/>
          <w:highlight w:val="none"/>
        </w:rPr>
      </w:pPr>
      <w:r>
        <w:rPr>
          <w:rFonts w:hint="eastAsia" w:ascii="宋体" w:hAnsi="宋体" w:cs="宋体"/>
          <w:color w:val="auto"/>
          <w:sz w:val="24"/>
          <w:highlight w:val="none"/>
        </w:rPr>
        <w:t>（十六）拒绝有关部门监督检查或者提供虚假情况；</w:t>
      </w:r>
    </w:p>
    <w:p w14:paraId="7602773F">
      <w:pPr>
        <w:spacing w:line="380" w:lineRule="exact"/>
        <w:rPr>
          <w:rFonts w:ascii="宋体" w:hAnsi="宋体" w:cs="宋体"/>
          <w:color w:val="auto"/>
          <w:sz w:val="24"/>
          <w:highlight w:val="none"/>
        </w:rPr>
      </w:pPr>
      <w:r>
        <w:rPr>
          <w:rFonts w:hint="eastAsia" w:ascii="宋体" w:hAnsi="宋体" w:cs="宋体"/>
          <w:color w:val="auto"/>
          <w:sz w:val="24"/>
          <w:highlight w:val="none"/>
        </w:rPr>
        <w:t>（十七）政府采购监管部门认定的其他政府采购活动中的不诚信行为。</w:t>
      </w:r>
    </w:p>
    <w:p w14:paraId="57385CF1">
      <w:pPr>
        <w:spacing w:line="380" w:lineRule="exact"/>
        <w:ind w:firstLine="3360" w:firstLineChars="1400"/>
        <w:rPr>
          <w:rFonts w:ascii="宋体" w:hAnsi="宋体" w:cs="宋体"/>
          <w:color w:val="auto"/>
          <w:sz w:val="24"/>
          <w:highlight w:val="none"/>
        </w:rPr>
      </w:pPr>
    </w:p>
    <w:p w14:paraId="5905304C">
      <w:pPr>
        <w:spacing w:line="380" w:lineRule="exact"/>
        <w:ind w:firstLine="3360" w:firstLineChars="1400"/>
        <w:rPr>
          <w:rFonts w:ascii="宋体" w:hAnsi="宋体" w:cs="宋体"/>
          <w:color w:val="auto"/>
          <w:sz w:val="24"/>
          <w:highlight w:val="none"/>
        </w:rPr>
      </w:pPr>
      <w:r>
        <w:rPr>
          <w:rFonts w:hint="eastAsia" w:ascii="宋体" w:hAnsi="宋体" w:cs="宋体"/>
          <w:color w:val="auto"/>
          <w:sz w:val="24"/>
          <w:highlight w:val="none"/>
        </w:rPr>
        <w:t>供应商名称：（盖章）</w:t>
      </w:r>
    </w:p>
    <w:p w14:paraId="1202D186">
      <w:pPr>
        <w:spacing w:line="380" w:lineRule="exact"/>
        <w:ind w:firstLine="3360" w:firstLineChars="1400"/>
        <w:rPr>
          <w:rFonts w:hint="eastAsia" w:ascii="宋体" w:hAnsi="宋体" w:cs="宋体"/>
          <w:color w:val="auto"/>
          <w:sz w:val="24"/>
          <w:highlight w:val="none"/>
        </w:rPr>
      </w:pPr>
      <w:r>
        <w:rPr>
          <w:rFonts w:hint="eastAsia" w:ascii="宋体" w:hAnsi="宋体" w:cs="宋体"/>
          <w:color w:val="auto"/>
          <w:sz w:val="24"/>
          <w:highlight w:val="none"/>
        </w:rPr>
        <w:t>法人</w:t>
      </w:r>
      <w:r>
        <w:rPr>
          <w:rFonts w:hint="eastAsia" w:ascii="宋体" w:hAnsi="宋体" w:cs="宋体"/>
          <w:color w:val="auto"/>
          <w:sz w:val="24"/>
          <w:highlight w:val="none"/>
          <w:lang w:val="en-US" w:eastAsia="zh-CN"/>
        </w:rPr>
        <w:t>和</w:t>
      </w:r>
      <w:r>
        <w:rPr>
          <w:rFonts w:hint="eastAsia" w:ascii="宋体" w:hAnsi="宋体" w:cs="宋体"/>
          <w:color w:val="auto"/>
          <w:sz w:val="24"/>
          <w:highlight w:val="none"/>
        </w:rPr>
        <w:t>授权委托人：（签字）</w:t>
      </w:r>
    </w:p>
    <w:p w14:paraId="1ADE81C1">
      <w:pPr>
        <w:spacing w:line="380" w:lineRule="exact"/>
        <w:rPr>
          <w:rFonts w:ascii="宋体" w:hAnsi="宋体" w:cs="宋体"/>
          <w:color w:val="auto"/>
          <w:sz w:val="24"/>
          <w:highlight w:val="none"/>
        </w:rPr>
      </w:pPr>
    </w:p>
    <w:p w14:paraId="5ECF0414">
      <w:pPr>
        <w:spacing w:line="380" w:lineRule="exact"/>
        <w:ind w:firstLine="3360" w:firstLineChars="1400"/>
        <w:rPr>
          <w:rFonts w:ascii="宋体" w:hAnsi="宋体" w:cs="宋体"/>
          <w:b/>
          <w:color w:val="auto"/>
          <w:sz w:val="24"/>
          <w:highlight w:val="none"/>
        </w:rPr>
      </w:pPr>
      <w:r>
        <w:rPr>
          <w:rFonts w:hint="eastAsia" w:ascii="宋体" w:hAnsi="宋体" w:cs="宋体"/>
          <w:color w:val="auto"/>
          <w:sz w:val="24"/>
          <w:highlight w:val="none"/>
        </w:rPr>
        <w:t>日期：年月日</w:t>
      </w:r>
    </w:p>
    <w:p w14:paraId="54E2442B">
      <w:pPr>
        <w:pStyle w:val="43"/>
        <w:ind w:firstLine="0" w:firstLineChars="0"/>
        <w:rPr>
          <w:rFonts w:ascii="宋体" w:hAnsi="宋体" w:cs="宋体"/>
          <w:b/>
          <w:color w:val="auto"/>
          <w:sz w:val="24"/>
          <w:highlight w:val="none"/>
        </w:rPr>
      </w:pPr>
    </w:p>
    <w:p w14:paraId="52B9C768">
      <w:pPr>
        <w:spacing w:line="360" w:lineRule="auto"/>
        <w:rPr>
          <w:rFonts w:ascii="宋体" w:hAnsi="宋体" w:cs="宋体"/>
          <w:b/>
          <w:bCs/>
          <w:color w:val="auto"/>
          <w:sz w:val="24"/>
          <w:highlight w:val="none"/>
        </w:rPr>
      </w:pPr>
    </w:p>
    <w:p w14:paraId="6E11C28B">
      <w:pPr>
        <w:pStyle w:val="2"/>
        <w:spacing w:before="0" w:after="0" w:line="500" w:lineRule="exact"/>
        <w:ind w:firstLine="0"/>
        <w:jc w:val="center"/>
        <w:outlineLvl w:val="0"/>
        <w:rPr>
          <w:rFonts w:hint="eastAsia" w:ascii="宋体" w:hAnsi="宋体" w:eastAsia="宋体" w:cs="宋体"/>
          <w:b/>
          <w:bCs w:val="0"/>
          <w:color w:val="auto"/>
          <w:sz w:val="32"/>
          <w:szCs w:val="32"/>
          <w:highlight w:val="none"/>
          <w:lang w:val="en-US"/>
        </w:rPr>
      </w:pPr>
      <w:bookmarkStart w:id="34" w:name="_Toc31581"/>
      <w:r>
        <w:rPr>
          <w:rFonts w:hint="eastAsia" w:ascii="宋体" w:hAnsi="宋体" w:cs="宋体"/>
          <w:b/>
          <w:bCs w:val="0"/>
          <w:color w:val="auto"/>
          <w:sz w:val="32"/>
          <w:szCs w:val="32"/>
          <w:highlight w:val="none"/>
        </w:rPr>
        <w:t xml:space="preserve">第五章  </w:t>
      </w:r>
      <w:r>
        <w:rPr>
          <w:rFonts w:hint="eastAsia" w:ascii="宋体" w:hAnsi="宋体" w:eastAsia="宋体" w:cs="宋体"/>
          <w:b/>
          <w:bCs w:val="0"/>
          <w:color w:val="auto"/>
          <w:w w:val="92"/>
          <w:sz w:val="32"/>
          <w:szCs w:val="32"/>
          <w:highlight w:val="none"/>
          <w:lang w:val="en-US"/>
        </w:rPr>
        <w:t>周口市</w:t>
      </w:r>
      <w:r>
        <w:rPr>
          <w:rFonts w:hint="eastAsia" w:ascii="宋体" w:hAnsi="宋体" w:eastAsia="宋体" w:cs="宋体"/>
          <w:b/>
          <w:bCs w:val="0"/>
          <w:color w:val="auto"/>
          <w:sz w:val="32"/>
          <w:szCs w:val="32"/>
          <w:highlight w:val="none"/>
          <w:lang w:val="en-US"/>
        </w:rPr>
        <w:t>政府采购合同（服务类）标准文本</w:t>
      </w:r>
      <w:bookmarkEnd w:id="34"/>
    </w:p>
    <w:p w14:paraId="47BFF644">
      <w:pPr>
        <w:ind w:firstLine="640" w:firstLineChars="200"/>
        <w:jc w:val="both"/>
        <w:rPr>
          <w:rFonts w:hint="eastAsia" w:ascii="宋体" w:hAnsi="宋体" w:eastAsia="宋体" w:cs="宋体"/>
          <w:color w:val="auto"/>
          <w:sz w:val="32"/>
          <w:szCs w:val="32"/>
          <w:highlight w:val="none"/>
          <w:lang w:val="en-US"/>
        </w:rPr>
      </w:pPr>
    </w:p>
    <w:p w14:paraId="16C40F79">
      <w:pPr>
        <w:pStyle w:val="87"/>
        <w:spacing w:beforeLines="0" w:afterLines="0"/>
        <w:ind w:left="0" w:firstLine="640" w:firstLineChars="200"/>
        <w:jc w:val="both"/>
        <w:rPr>
          <w:rFonts w:hint="eastAsia" w:ascii="宋体" w:hAnsi="宋体" w:eastAsia="宋体" w:cs="宋体"/>
          <w:color w:val="auto"/>
          <w:sz w:val="32"/>
          <w:szCs w:val="32"/>
          <w:highlight w:val="none"/>
          <w:lang w:val="en-US"/>
        </w:rPr>
      </w:pPr>
    </w:p>
    <w:p w14:paraId="19ECE2E1">
      <w:pPr>
        <w:pStyle w:val="87"/>
        <w:spacing w:beforeLines="0" w:afterLines="0"/>
        <w:ind w:left="0" w:firstLine="640" w:firstLineChars="200"/>
        <w:jc w:val="both"/>
        <w:rPr>
          <w:rFonts w:hint="eastAsia" w:ascii="宋体" w:hAnsi="宋体" w:eastAsia="宋体" w:cs="宋体"/>
          <w:color w:val="auto"/>
          <w:sz w:val="32"/>
          <w:szCs w:val="32"/>
          <w:highlight w:val="none"/>
          <w:lang w:val="en-US"/>
        </w:rPr>
      </w:pPr>
    </w:p>
    <w:p w14:paraId="52C39A3C">
      <w:pPr>
        <w:pStyle w:val="87"/>
        <w:spacing w:beforeLines="0" w:afterLines="0"/>
        <w:ind w:left="0" w:firstLine="600" w:firstLineChars="200"/>
        <w:jc w:val="both"/>
        <w:rPr>
          <w:rFonts w:hint="eastAsia" w:ascii="宋体" w:hAnsi="宋体" w:eastAsia="宋体" w:cs="宋体"/>
          <w:color w:val="auto"/>
          <w:sz w:val="30"/>
          <w:szCs w:val="30"/>
          <w:highlight w:val="none"/>
          <w:lang w:val="en-US"/>
        </w:rPr>
      </w:pPr>
    </w:p>
    <w:p w14:paraId="1D8A3D83">
      <w:pPr>
        <w:pStyle w:val="87"/>
        <w:spacing w:beforeLines="0" w:afterLines="0"/>
        <w:ind w:left="0" w:firstLine="600" w:firstLineChars="200"/>
        <w:jc w:val="both"/>
        <w:rPr>
          <w:rFonts w:hint="eastAsia" w:ascii="宋体" w:hAnsi="宋体" w:eastAsia="宋体" w:cs="宋体"/>
          <w:color w:val="auto"/>
          <w:sz w:val="30"/>
          <w:szCs w:val="30"/>
          <w:highlight w:val="none"/>
          <w:lang w:val="en-US"/>
        </w:rPr>
      </w:pPr>
    </w:p>
    <w:p w14:paraId="75DD17F8">
      <w:pPr>
        <w:pStyle w:val="87"/>
        <w:spacing w:beforeLines="0" w:afterLines="0"/>
        <w:ind w:left="0" w:firstLine="600" w:firstLineChars="200"/>
        <w:jc w:val="both"/>
        <w:rPr>
          <w:rFonts w:hint="eastAsia" w:ascii="宋体" w:hAnsi="宋体" w:eastAsia="宋体" w:cs="宋体"/>
          <w:color w:val="auto"/>
          <w:sz w:val="30"/>
          <w:szCs w:val="30"/>
          <w:highlight w:val="none"/>
          <w:lang w:val="en-US"/>
        </w:rPr>
      </w:pPr>
    </w:p>
    <w:p w14:paraId="2ACBD23C">
      <w:pPr>
        <w:pStyle w:val="87"/>
        <w:spacing w:beforeLines="0" w:afterLines="0"/>
        <w:ind w:left="0" w:firstLine="600" w:firstLineChars="200"/>
        <w:jc w:val="both"/>
        <w:rPr>
          <w:rFonts w:hint="eastAsia" w:ascii="宋体" w:hAnsi="宋体" w:eastAsia="宋体" w:cs="宋体"/>
          <w:color w:val="auto"/>
          <w:sz w:val="30"/>
          <w:szCs w:val="30"/>
          <w:highlight w:val="none"/>
          <w:lang w:val="en-US"/>
        </w:rPr>
      </w:pPr>
    </w:p>
    <w:p w14:paraId="5F1228BD">
      <w:pPr>
        <w:pStyle w:val="87"/>
        <w:spacing w:beforeLines="0" w:afterLines="0"/>
        <w:ind w:left="0" w:firstLine="600" w:firstLineChars="200"/>
        <w:jc w:val="both"/>
        <w:rPr>
          <w:rFonts w:hint="eastAsia" w:ascii="宋体" w:hAnsi="宋体" w:eastAsia="宋体" w:cs="宋体"/>
          <w:color w:val="auto"/>
          <w:sz w:val="30"/>
          <w:szCs w:val="30"/>
          <w:highlight w:val="none"/>
          <w:lang w:val="en-US"/>
        </w:rPr>
      </w:pPr>
    </w:p>
    <w:p w14:paraId="23CC2C27">
      <w:pPr>
        <w:pStyle w:val="87"/>
        <w:spacing w:beforeLines="0" w:afterLines="0"/>
        <w:ind w:left="0" w:firstLine="600" w:firstLineChars="200"/>
        <w:jc w:val="both"/>
        <w:rPr>
          <w:rFonts w:hint="eastAsia" w:ascii="宋体" w:hAnsi="宋体" w:eastAsia="宋体" w:cs="宋体"/>
          <w:color w:val="auto"/>
          <w:sz w:val="30"/>
          <w:szCs w:val="30"/>
          <w:highlight w:val="none"/>
          <w:lang w:val="en-US"/>
        </w:rPr>
      </w:pPr>
    </w:p>
    <w:p w14:paraId="3FCEC9E1">
      <w:pPr>
        <w:pStyle w:val="87"/>
        <w:spacing w:beforeLines="0" w:afterLines="0"/>
        <w:ind w:left="0" w:firstLine="600" w:firstLineChars="200"/>
        <w:jc w:val="both"/>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政府采购项目名称：</w:t>
      </w:r>
    </w:p>
    <w:p w14:paraId="1EF4B80F">
      <w:pPr>
        <w:pStyle w:val="87"/>
        <w:spacing w:beforeLines="0" w:afterLines="0"/>
        <w:ind w:left="0" w:firstLine="600" w:firstLineChars="200"/>
        <w:jc w:val="both"/>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政府采购项目编号：</w:t>
      </w:r>
    </w:p>
    <w:p w14:paraId="2F119503">
      <w:pPr>
        <w:pStyle w:val="87"/>
        <w:spacing w:beforeLines="0" w:afterLines="0"/>
        <w:ind w:left="0" w:firstLine="600" w:firstLineChars="200"/>
        <w:jc w:val="both"/>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采      购    人：</w:t>
      </w:r>
    </w:p>
    <w:p w14:paraId="7ACF9246">
      <w:pPr>
        <w:pStyle w:val="87"/>
        <w:spacing w:beforeLines="0" w:afterLines="0"/>
        <w:ind w:left="0" w:firstLine="600" w:firstLineChars="200"/>
        <w:jc w:val="both"/>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供      应    商：</w:t>
      </w:r>
    </w:p>
    <w:p w14:paraId="04396581">
      <w:pPr>
        <w:pStyle w:val="87"/>
        <w:spacing w:beforeLines="0" w:afterLines="0"/>
        <w:ind w:left="0" w:firstLine="600" w:firstLineChars="200"/>
        <w:jc w:val="both"/>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合  同  签 订 地：</w:t>
      </w:r>
    </w:p>
    <w:p w14:paraId="20C136AE">
      <w:pPr>
        <w:pStyle w:val="87"/>
        <w:spacing w:beforeLines="0" w:afterLines="0"/>
        <w:ind w:left="0" w:firstLine="600" w:firstLineChars="200"/>
        <w:jc w:val="both"/>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合 同 签订 时 间：</w:t>
      </w:r>
    </w:p>
    <w:p w14:paraId="26378DB9">
      <w:pPr>
        <w:pStyle w:val="87"/>
        <w:spacing w:beforeLines="0" w:afterLines="0"/>
        <w:ind w:left="0" w:firstLine="600" w:firstLineChars="200"/>
        <w:jc w:val="both"/>
        <w:rPr>
          <w:rFonts w:hint="eastAsia" w:ascii="宋体" w:hAnsi="宋体" w:eastAsia="宋体" w:cs="宋体"/>
          <w:color w:val="auto"/>
          <w:sz w:val="30"/>
          <w:szCs w:val="30"/>
          <w:highlight w:val="none"/>
          <w:lang w:val="en-US"/>
        </w:rPr>
      </w:pPr>
    </w:p>
    <w:p w14:paraId="4C548CB2">
      <w:pPr>
        <w:pStyle w:val="87"/>
        <w:spacing w:beforeLines="0" w:afterLines="0"/>
        <w:ind w:left="0" w:firstLine="600" w:firstLineChars="200"/>
        <w:jc w:val="both"/>
        <w:rPr>
          <w:rFonts w:hint="eastAsia" w:ascii="宋体" w:hAnsi="宋体" w:eastAsia="宋体" w:cs="宋体"/>
          <w:color w:val="auto"/>
          <w:sz w:val="30"/>
          <w:szCs w:val="30"/>
          <w:highlight w:val="none"/>
          <w:lang w:val="en-US"/>
        </w:rPr>
      </w:pPr>
    </w:p>
    <w:p w14:paraId="0D0E7116">
      <w:pPr>
        <w:pStyle w:val="87"/>
        <w:spacing w:beforeLines="0" w:afterLines="0"/>
        <w:ind w:left="0" w:firstLine="600" w:firstLineChars="200"/>
        <w:jc w:val="both"/>
        <w:rPr>
          <w:rFonts w:hint="eastAsia" w:ascii="宋体" w:hAnsi="宋体" w:eastAsia="宋体" w:cs="宋体"/>
          <w:color w:val="auto"/>
          <w:sz w:val="30"/>
          <w:szCs w:val="30"/>
          <w:highlight w:val="none"/>
          <w:lang w:val="en-US"/>
        </w:rPr>
      </w:pPr>
    </w:p>
    <w:p w14:paraId="150C2FA0">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38751C9">
      <w:pPr>
        <w:pStyle w:val="87"/>
        <w:spacing w:beforeLines="0" w:afterLines="0" w:line="440" w:lineRule="exact"/>
        <w:ind w:left="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合同签订指引</w:t>
      </w:r>
    </w:p>
    <w:p w14:paraId="07931133">
      <w:pPr>
        <w:pStyle w:val="87"/>
        <w:spacing w:beforeLines="0" w:afterLines="0" w:line="440" w:lineRule="exact"/>
        <w:ind w:left="0"/>
        <w:jc w:val="both"/>
        <w:rPr>
          <w:rFonts w:hint="eastAsia" w:ascii="宋体" w:hAnsi="宋体" w:eastAsia="宋体" w:cs="宋体"/>
          <w:color w:val="auto"/>
          <w:sz w:val="30"/>
          <w:szCs w:val="30"/>
          <w:highlight w:val="none"/>
        </w:rPr>
      </w:pPr>
    </w:p>
    <w:p w14:paraId="6C478E92">
      <w:pPr>
        <w:pStyle w:val="87"/>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一、采购人在签订合同时应提供的资料：</w:t>
      </w:r>
    </w:p>
    <w:p w14:paraId="341DB508">
      <w:pPr>
        <w:pStyle w:val="87"/>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1、该政府采购项目的</w:t>
      </w:r>
      <w:r>
        <w:rPr>
          <w:rFonts w:hint="eastAsia" w:ascii="宋体" w:hAnsi="宋体" w:eastAsia="宋体" w:cs="宋体"/>
          <w:color w:val="auto"/>
          <w:sz w:val="21"/>
          <w:szCs w:val="21"/>
          <w:highlight w:val="none"/>
        </w:rPr>
        <w:t>招标采购文件（以网上发布内容为准）；</w:t>
      </w:r>
    </w:p>
    <w:p w14:paraId="505D5BD2">
      <w:pPr>
        <w:pStyle w:val="87"/>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2、该政府采购项目</w:t>
      </w:r>
      <w:r>
        <w:rPr>
          <w:rFonts w:hint="eastAsia" w:ascii="宋体" w:hAnsi="宋体" w:eastAsia="宋体" w:cs="宋体"/>
          <w:color w:val="auto"/>
          <w:sz w:val="21"/>
          <w:szCs w:val="21"/>
          <w:highlight w:val="none"/>
        </w:rPr>
        <w:t>招标文件的澄清和修改内容（公告内容）；</w:t>
      </w:r>
    </w:p>
    <w:p w14:paraId="32CCA977">
      <w:pPr>
        <w:pStyle w:val="87"/>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3、该政府采购项目评审报告；</w:t>
      </w:r>
    </w:p>
    <w:p w14:paraId="377578D5">
      <w:pPr>
        <w:pStyle w:val="87"/>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4、采购单位法人授权委托书（法人到场并签字的除外）；</w:t>
      </w:r>
    </w:p>
    <w:p w14:paraId="26C47838">
      <w:pPr>
        <w:pStyle w:val="87"/>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5、采购单位被授权人身份证件（法人到场并签字的除外）；</w:t>
      </w:r>
    </w:p>
    <w:p w14:paraId="69749E2E">
      <w:pPr>
        <w:pStyle w:val="87"/>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6、采购人和中标供应商（或服务商，下同）约定的其它内容（不得超出</w:t>
      </w:r>
      <w:r>
        <w:rPr>
          <w:rFonts w:hint="eastAsia" w:ascii="宋体" w:hAnsi="宋体" w:eastAsia="宋体" w:cs="宋体"/>
          <w:color w:val="auto"/>
          <w:sz w:val="21"/>
          <w:szCs w:val="21"/>
          <w:highlight w:val="none"/>
        </w:rPr>
        <w:t>招标采购文件实质性内容</w:t>
      </w:r>
      <w:r>
        <w:rPr>
          <w:rFonts w:hint="eastAsia" w:ascii="宋体" w:hAnsi="宋体" w:eastAsia="宋体" w:cs="宋体"/>
          <w:color w:val="auto"/>
          <w:sz w:val="21"/>
          <w:szCs w:val="21"/>
          <w:highlight w:val="none"/>
          <w:lang w:val="en-US"/>
        </w:rPr>
        <w:t>）。</w:t>
      </w:r>
    </w:p>
    <w:p w14:paraId="3238B66B">
      <w:pPr>
        <w:pStyle w:val="87"/>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二、</w:t>
      </w:r>
      <w:r>
        <w:rPr>
          <w:rFonts w:hint="eastAsia" w:ascii="宋体" w:hAnsi="宋体" w:eastAsia="宋体" w:cs="宋体"/>
          <w:color w:val="auto"/>
          <w:sz w:val="21"/>
          <w:szCs w:val="21"/>
          <w:highlight w:val="none"/>
        </w:rPr>
        <w:t>供应商在签订合同时应提供的资料：</w:t>
      </w:r>
    </w:p>
    <w:p w14:paraId="03892438">
      <w:pPr>
        <w:pStyle w:val="87"/>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1、该政府采购项目的</w:t>
      </w:r>
      <w:r>
        <w:rPr>
          <w:rFonts w:hint="eastAsia" w:ascii="宋体" w:hAnsi="宋体" w:eastAsia="宋体" w:cs="宋体"/>
          <w:color w:val="auto"/>
          <w:sz w:val="21"/>
          <w:szCs w:val="21"/>
          <w:highlight w:val="none"/>
        </w:rPr>
        <w:t>投标文件（纸质或</w:t>
      </w:r>
      <w:r>
        <w:rPr>
          <w:rFonts w:hint="eastAsia" w:ascii="宋体" w:hAnsi="宋体" w:eastAsia="宋体" w:cs="宋体"/>
          <w:color w:val="auto"/>
          <w:sz w:val="21"/>
          <w:szCs w:val="21"/>
          <w:highlight w:val="none"/>
          <w:lang w:val="en-US"/>
        </w:rPr>
        <w:t>DPF格式的电子</w:t>
      </w:r>
      <w:r>
        <w:rPr>
          <w:rFonts w:hint="eastAsia" w:ascii="宋体" w:hAnsi="宋体" w:eastAsia="宋体" w:cs="宋体"/>
          <w:color w:val="auto"/>
          <w:sz w:val="21"/>
          <w:szCs w:val="21"/>
          <w:highlight w:val="none"/>
        </w:rPr>
        <w:t>投标文件）；</w:t>
      </w:r>
    </w:p>
    <w:p w14:paraId="04CF82CF">
      <w:pPr>
        <w:pStyle w:val="87"/>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2、针对该项目评审时评审委员会提出的质询答复（纸质并签章）；</w:t>
      </w:r>
    </w:p>
    <w:p w14:paraId="4AE5B92E">
      <w:pPr>
        <w:pStyle w:val="87"/>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3、该政府采购项目中标通知书；</w:t>
      </w:r>
    </w:p>
    <w:p w14:paraId="19EF738F">
      <w:pPr>
        <w:pStyle w:val="87"/>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4、供应商法人授权委托书（法人到场并签字的除外）；</w:t>
      </w:r>
    </w:p>
    <w:p w14:paraId="4B700B2D">
      <w:pPr>
        <w:pStyle w:val="87"/>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5、供应商被授权人身份证件（法人到场并签字的除外）；</w:t>
      </w:r>
    </w:p>
    <w:p w14:paraId="65668518">
      <w:pPr>
        <w:pStyle w:val="87"/>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6、供应商和采购人约定的其它内容（不得超出</w:t>
      </w:r>
      <w:r>
        <w:rPr>
          <w:rFonts w:hint="eastAsia" w:ascii="宋体" w:hAnsi="宋体" w:eastAsia="宋体" w:cs="宋体"/>
          <w:color w:val="auto"/>
          <w:sz w:val="21"/>
          <w:szCs w:val="21"/>
          <w:highlight w:val="none"/>
        </w:rPr>
        <w:t>招标采购文件实质性内容</w:t>
      </w:r>
      <w:r>
        <w:rPr>
          <w:rFonts w:hint="eastAsia" w:ascii="宋体" w:hAnsi="宋体" w:eastAsia="宋体" w:cs="宋体"/>
          <w:color w:val="auto"/>
          <w:sz w:val="21"/>
          <w:szCs w:val="21"/>
          <w:highlight w:val="none"/>
          <w:lang w:val="en-US"/>
        </w:rPr>
        <w:t>）。</w:t>
      </w:r>
    </w:p>
    <w:p w14:paraId="2556320A">
      <w:pPr>
        <w:pStyle w:val="87"/>
        <w:spacing w:beforeLines="0" w:afterLines="0" w:line="440" w:lineRule="exact"/>
        <w:ind w:left="0" w:firstLine="420" w:firstLineChars="200"/>
        <w:jc w:val="both"/>
        <w:rPr>
          <w:rFonts w:hint="eastAsia" w:ascii="宋体" w:hAnsi="宋体" w:eastAsia="宋体" w:cs="宋体"/>
          <w:color w:val="auto"/>
          <w:sz w:val="30"/>
          <w:szCs w:val="30"/>
          <w:highlight w:val="none"/>
        </w:rPr>
      </w:pPr>
      <w:r>
        <w:rPr>
          <w:rFonts w:hint="eastAsia" w:ascii="宋体" w:hAnsi="宋体" w:eastAsia="宋体" w:cs="宋体"/>
          <w:color w:val="auto"/>
          <w:sz w:val="21"/>
          <w:szCs w:val="21"/>
          <w:highlight w:val="none"/>
        </w:rPr>
        <w:t>三、本合同签订后二个工作日内有采购人在“周口市政府采购网”上进行合同公示。</w:t>
      </w:r>
    </w:p>
    <w:p w14:paraId="74917D60">
      <w:pPr>
        <w:pStyle w:val="87"/>
        <w:spacing w:beforeLines="0" w:afterLines="0" w:line="440" w:lineRule="exact"/>
        <w:ind w:left="0"/>
        <w:jc w:val="center"/>
        <w:rPr>
          <w:rFonts w:hint="eastAsia" w:ascii="宋体" w:hAnsi="宋体" w:eastAsia="宋体" w:cs="宋体"/>
          <w:bCs/>
          <w:color w:val="auto"/>
          <w:sz w:val="32"/>
          <w:szCs w:val="32"/>
          <w:highlight w:val="none"/>
        </w:rPr>
      </w:pPr>
    </w:p>
    <w:p w14:paraId="086AC7FE">
      <w:pPr>
        <w:pStyle w:val="87"/>
        <w:spacing w:beforeLines="0" w:afterLines="0" w:line="440" w:lineRule="exact"/>
        <w:ind w:left="0"/>
        <w:jc w:val="center"/>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供应商履约验收指引</w:t>
      </w:r>
    </w:p>
    <w:p w14:paraId="7B2355EF">
      <w:pPr>
        <w:pStyle w:val="87"/>
        <w:spacing w:beforeLines="0" w:afterLines="0" w:line="440" w:lineRule="exact"/>
        <w:ind w:left="0"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 w:val="21"/>
          <w:szCs w:val="21"/>
          <w:highlight w:val="none"/>
          <w:lang w:val="en-US"/>
        </w:rPr>
        <w:t>1、供应商不得</w:t>
      </w:r>
      <w:r>
        <w:rPr>
          <w:rFonts w:hint="eastAsia" w:ascii="宋体" w:hAnsi="宋体" w:eastAsia="宋体" w:cs="宋体"/>
          <w:color w:val="auto"/>
          <w:sz w:val="21"/>
          <w:szCs w:val="21"/>
          <w:highlight w:val="none"/>
        </w:rPr>
        <w:t>擅自变更合同标的服务内容；</w:t>
      </w:r>
    </w:p>
    <w:p w14:paraId="1493F819">
      <w:pPr>
        <w:pStyle w:val="87"/>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不得以次充优，随意降低服务标准和水平；</w:t>
      </w:r>
    </w:p>
    <w:p w14:paraId="26D0727E">
      <w:pPr>
        <w:pStyle w:val="87"/>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rPr>
        <w:t>对因客观上采购人采购需求发生变化造成的，应提供采、供双方的纸质备忘录材料；</w:t>
      </w:r>
    </w:p>
    <w:p w14:paraId="0D1F7CE2">
      <w:pPr>
        <w:pStyle w:val="87"/>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4、在满足</w:t>
      </w:r>
      <w:r>
        <w:rPr>
          <w:rFonts w:hint="eastAsia" w:ascii="宋体" w:hAnsi="宋体" w:eastAsia="宋体" w:cs="宋体"/>
          <w:color w:val="auto"/>
          <w:sz w:val="21"/>
          <w:szCs w:val="21"/>
          <w:highlight w:val="none"/>
        </w:rPr>
        <w:t>验收条件</w:t>
      </w:r>
      <w:r>
        <w:rPr>
          <w:rFonts w:hint="eastAsia" w:ascii="宋体" w:hAnsi="宋体" w:eastAsia="宋体" w:cs="宋体"/>
          <w:color w:val="auto"/>
          <w:sz w:val="21"/>
          <w:szCs w:val="21"/>
          <w:highlight w:val="none"/>
          <w:lang w:val="en-US"/>
        </w:rPr>
        <w:t>5个工作日</w:t>
      </w:r>
      <w:r>
        <w:rPr>
          <w:rFonts w:hint="eastAsia" w:ascii="宋体" w:hAnsi="宋体" w:eastAsia="宋体" w:cs="宋体"/>
          <w:color w:val="auto"/>
          <w:sz w:val="21"/>
          <w:szCs w:val="21"/>
          <w:highlight w:val="none"/>
        </w:rPr>
        <w:t>内通知采购人组织验收；</w:t>
      </w:r>
    </w:p>
    <w:p w14:paraId="28282B0C">
      <w:pPr>
        <w:pStyle w:val="87"/>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5、供应商应提供需验收服务的清单、标准、达到的水平等量化资料；</w:t>
      </w:r>
    </w:p>
    <w:p w14:paraId="6838ECAF">
      <w:pPr>
        <w:pStyle w:val="87"/>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6、采、供</w:t>
      </w:r>
      <w:r>
        <w:rPr>
          <w:rFonts w:hint="eastAsia" w:ascii="宋体" w:hAnsi="宋体" w:eastAsia="宋体" w:cs="宋体"/>
          <w:color w:val="auto"/>
          <w:sz w:val="21"/>
          <w:szCs w:val="21"/>
          <w:highlight w:val="none"/>
        </w:rPr>
        <w:t>双方约定的验收机构及相关人员组成情况。</w:t>
      </w:r>
    </w:p>
    <w:p w14:paraId="6B411886">
      <w:pPr>
        <w:pStyle w:val="87"/>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7、督促采购人在项目验收结束并达到相关要求后一个工作日内，在</w:t>
      </w:r>
      <w:r>
        <w:rPr>
          <w:rFonts w:hint="eastAsia" w:ascii="宋体" w:hAnsi="宋体" w:eastAsia="宋体" w:cs="宋体"/>
          <w:color w:val="auto"/>
          <w:sz w:val="21"/>
          <w:szCs w:val="21"/>
          <w:highlight w:val="none"/>
        </w:rPr>
        <w:t>“周口市政府采购网”上进行“履约验收”公示。</w:t>
      </w:r>
    </w:p>
    <w:p w14:paraId="29124D78">
      <w:pPr>
        <w:bidi w:val="0"/>
        <w:rPr>
          <w:rFonts w:hint="eastAsia"/>
          <w:color w:val="auto"/>
          <w:highlight w:val="none"/>
        </w:rPr>
      </w:pPr>
    </w:p>
    <w:p w14:paraId="7135632E">
      <w:pPr>
        <w:rPr>
          <w:rFonts w:hint="eastAsia" w:ascii="宋体" w:hAnsi="宋体" w:eastAsia="宋体" w:cs="宋体"/>
          <w:b w:val="0"/>
          <w:color w:val="auto"/>
          <w:sz w:val="44"/>
          <w:szCs w:val="44"/>
          <w:highlight w:val="none"/>
        </w:rPr>
      </w:pPr>
      <w:r>
        <w:rPr>
          <w:rFonts w:hint="eastAsia" w:ascii="宋体" w:hAnsi="宋体" w:eastAsia="宋体" w:cs="宋体"/>
          <w:b w:val="0"/>
          <w:color w:val="auto"/>
          <w:sz w:val="44"/>
          <w:szCs w:val="44"/>
          <w:highlight w:val="none"/>
        </w:rPr>
        <w:br w:type="page"/>
      </w:r>
    </w:p>
    <w:p w14:paraId="41608F0A">
      <w:pPr>
        <w:bidi w:val="0"/>
        <w:jc w:val="center"/>
        <w:rPr>
          <w:rFonts w:hint="eastAsia"/>
          <w:color w:val="auto"/>
          <w:sz w:val="28"/>
          <w:szCs w:val="28"/>
          <w:highlight w:val="none"/>
        </w:rPr>
      </w:pPr>
      <w:r>
        <w:rPr>
          <w:rFonts w:hint="eastAsia"/>
          <w:color w:val="auto"/>
          <w:sz w:val="28"/>
          <w:szCs w:val="28"/>
          <w:highlight w:val="none"/>
        </w:rPr>
        <w:t>服务合同内容</w:t>
      </w:r>
    </w:p>
    <w:p w14:paraId="5F8A49EA">
      <w:pPr>
        <w:spacing w:line="360" w:lineRule="auto"/>
        <w:ind w:firstLine="420" w:firstLineChars="200"/>
        <w:jc w:val="both"/>
        <w:rPr>
          <w:rFonts w:hint="eastAsia" w:ascii="宋体" w:hAnsi="宋体" w:eastAsia="宋体" w:cs="宋体"/>
          <w:color w:val="auto"/>
          <w:szCs w:val="27"/>
          <w:highlight w:val="none"/>
          <w:u w:val="single"/>
        </w:rPr>
      </w:pPr>
      <w:r>
        <w:rPr>
          <w:rFonts w:hint="eastAsia" w:ascii="宋体" w:hAnsi="宋体" w:eastAsia="宋体" w:cs="宋体"/>
          <w:color w:val="auto"/>
          <w:szCs w:val="27"/>
          <w:highlight w:val="none"/>
        </w:rPr>
        <w:t xml:space="preserve">采购人（甲方）： </w:t>
      </w:r>
    </w:p>
    <w:p w14:paraId="07832126">
      <w:pPr>
        <w:spacing w:line="360" w:lineRule="auto"/>
        <w:ind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Cs w:val="27"/>
          <w:highlight w:val="none"/>
        </w:rPr>
        <w:t>供应商（乙方）：</w:t>
      </w:r>
    </w:p>
    <w:p w14:paraId="1D2D7684">
      <w:pPr>
        <w:spacing w:line="360" w:lineRule="auto"/>
        <w:ind w:firstLine="420" w:firstLineChars="200"/>
        <w:jc w:val="both"/>
        <w:rPr>
          <w:rFonts w:hint="eastAsia" w:ascii="宋体" w:hAnsi="宋体" w:eastAsia="宋体" w:cs="宋体"/>
          <w:color w:val="auto"/>
          <w:szCs w:val="27"/>
          <w:highlight w:val="none"/>
          <w:u w:val="single"/>
        </w:rPr>
      </w:pPr>
      <w:r>
        <w:rPr>
          <w:rFonts w:hint="eastAsia" w:ascii="宋体" w:hAnsi="宋体" w:eastAsia="宋体" w:cs="宋体"/>
          <w:color w:val="auto"/>
          <w:szCs w:val="27"/>
          <w:highlight w:val="none"/>
        </w:rPr>
        <w:t>签订地点：</w:t>
      </w:r>
    </w:p>
    <w:p w14:paraId="70A5C25B">
      <w:pPr>
        <w:spacing w:line="360" w:lineRule="auto"/>
        <w:ind w:firstLine="420" w:firstLineChars="200"/>
        <w:jc w:val="both"/>
        <w:rPr>
          <w:rFonts w:hint="eastAsia" w:ascii="宋体" w:hAnsi="宋体" w:eastAsia="宋体" w:cs="宋体"/>
          <w:color w:val="auto"/>
          <w:szCs w:val="27"/>
          <w:highlight w:val="none"/>
          <w:u w:val="single"/>
        </w:rPr>
      </w:pPr>
      <w:r>
        <w:rPr>
          <w:rFonts w:hint="eastAsia" w:ascii="宋体" w:hAnsi="宋体" w:eastAsia="宋体" w:cs="宋体"/>
          <w:color w:val="auto"/>
          <w:szCs w:val="27"/>
          <w:highlight w:val="none"/>
        </w:rPr>
        <w:t>项目名称：</w:t>
      </w:r>
    </w:p>
    <w:p w14:paraId="16A7873B">
      <w:pPr>
        <w:spacing w:line="360" w:lineRule="auto"/>
        <w:ind w:firstLine="420" w:firstLineChars="200"/>
        <w:jc w:val="both"/>
        <w:rPr>
          <w:rFonts w:hint="eastAsia" w:ascii="宋体" w:hAnsi="宋体" w:eastAsia="宋体" w:cs="宋体"/>
          <w:color w:val="auto"/>
          <w:szCs w:val="27"/>
          <w:highlight w:val="none"/>
          <w:u w:val="single"/>
        </w:rPr>
      </w:pPr>
      <w:r>
        <w:rPr>
          <w:rFonts w:hint="eastAsia" w:ascii="宋体" w:hAnsi="宋体" w:eastAsia="宋体" w:cs="宋体"/>
          <w:color w:val="auto"/>
          <w:szCs w:val="27"/>
          <w:highlight w:val="none"/>
        </w:rPr>
        <w:t>项目编号：</w:t>
      </w:r>
    </w:p>
    <w:p w14:paraId="056C2646">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Cs w:val="27"/>
          <w:highlight w:val="none"/>
        </w:rPr>
        <w:t>财政委托号：</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(财政资金项目必须填写)</w:t>
      </w:r>
    </w:p>
    <w:p w14:paraId="7B68F46F">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Cs w:val="27"/>
          <w:highlight w:val="none"/>
        </w:rPr>
        <w:t>本项目经批准采用</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3386F698">
      <w:pPr>
        <w:spacing w:line="360" w:lineRule="auto"/>
        <w:ind w:firstLine="422" w:firstLineChars="200"/>
        <w:jc w:val="both"/>
        <w:rPr>
          <w:rFonts w:hint="eastAsia" w:ascii="宋体" w:hAnsi="宋体" w:eastAsia="宋体" w:cs="宋体"/>
          <w:color w:val="auto"/>
          <w:highlight w:val="none"/>
          <w:u w:val="single"/>
        </w:rPr>
      </w:pPr>
      <w:r>
        <w:rPr>
          <w:rFonts w:hint="eastAsia" w:ascii="宋体" w:hAnsi="宋体" w:eastAsia="宋体" w:cs="宋体"/>
          <w:b/>
          <w:bCs/>
          <w:color w:val="auto"/>
          <w:szCs w:val="27"/>
          <w:highlight w:val="none"/>
        </w:rPr>
        <w:t>第一条</w:t>
      </w:r>
      <w:r>
        <w:rPr>
          <w:rFonts w:hint="eastAsia" w:ascii="宋体" w:hAnsi="宋体" w:eastAsia="宋体" w:cs="宋体"/>
          <w:color w:val="auto"/>
          <w:szCs w:val="27"/>
          <w:highlight w:val="none"/>
        </w:rPr>
        <w:t>   服务的内容、标准、数量和价格：（若服务项目过多则见附表，如有附表则必须加盖印章）</w:t>
      </w:r>
    </w:p>
    <w:tbl>
      <w:tblPr>
        <w:tblStyle w:val="27"/>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6CA0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746CC2BC">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服务内容</w:t>
            </w:r>
          </w:p>
        </w:tc>
        <w:tc>
          <w:tcPr>
            <w:tcW w:w="1623" w:type="dxa"/>
            <w:noWrap w:val="0"/>
            <w:vAlign w:val="top"/>
          </w:tcPr>
          <w:p w14:paraId="70D2D931">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标准水平</w:t>
            </w:r>
          </w:p>
        </w:tc>
        <w:tc>
          <w:tcPr>
            <w:tcW w:w="902" w:type="dxa"/>
            <w:noWrap w:val="0"/>
            <w:vAlign w:val="top"/>
          </w:tcPr>
          <w:p w14:paraId="006B8A0D">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902" w:type="dxa"/>
            <w:noWrap w:val="0"/>
            <w:vAlign w:val="top"/>
          </w:tcPr>
          <w:p w14:paraId="36782104">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071" w:type="dxa"/>
            <w:noWrap w:val="0"/>
            <w:vAlign w:val="top"/>
          </w:tcPr>
          <w:p w14:paraId="15C1968F">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单价</w:t>
            </w:r>
          </w:p>
        </w:tc>
        <w:tc>
          <w:tcPr>
            <w:tcW w:w="1250" w:type="dxa"/>
            <w:noWrap w:val="0"/>
            <w:vAlign w:val="top"/>
          </w:tcPr>
          <w:p w14:paraId="58598E5D">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小计</w:t>
            </w:r>
          </w:p>
        </w:tc>
        <w:tc>
          <w:tcPr>
            <w:tcW w:w="1106" w:type="dxa"/>
            <w:noWrap w:val="0"/>
            <w:vAlign w:val="top"/>
          </w:tcPr>
          <w:p w14:paraId="1051BEE3">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33D5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2115C0AF">
            <w:pPr>
              <w:spacing w:line="360" w:lineRule="auto"/>
              <w:ind w:firstLine="420" w:firstLineChars="200"/>
              <w:jc w:val="both"/>
              <w:rPr>
                <w:rFonts w:hint="eastAsia" w:ascii="宋体" w:hAnsi="宋体" w:eastAsia="宋体" w:cs="宋体"/>
                <w:color w:val="auto"/>
                <w:highlight w:val="none"/>
              </w:rPr>
            </w:pPr>
          </w:p>
        </w:tc>
        <w:tc>
          <w:tcPr>
            <w:tcW w:w="1623" w:type="dxa"/>
            <w:noWrap w:val="0"/>
            <w:vAlign w:val="top"/>
          </w:tcPr>
          <w:p w14:paraId="23F61AD4">
            <w:pPr>
              <w:spacing w:line="360" w:lineRule="auto"/>
              <w:ind w:firstLine="420" w:firstLineChars="200"/>
              <w:jc w:val="both"/>
              <w:rPr>
                <w:rFonts w:hint="eastAsia" w:ascii="宋体" w:hAnsi="宋体" w:eastAsia="宋体" w:cs="宋体"/>
                <w:color w:val="auto"/>
                <w:highlight w:val="none"/>
              </w:rPr>
            </w:pPr>
          </w:p>
        </w:tc>
        <w:tc>
          <w:tcPr>
            <w:tcW w:w="902" w:type="dxa"/>
            <w:noWrap w:val="0"/>
            <w:vAlign w:val="top"/>
          </w:tcPr>
          <w:p w14:paraId="2760872F">
            <w:pPr>
              <w:spacing w:line="360" w:lineRule="auto"/>
              <w:ind w:firstLine="420" w:firstLineChars="200"/>
              <w:jc w:val="both"/>
              <w:rPr>
                <w:rFonts w:hint="eastAsia" w:ascii="宋体" w:hAnsi="宋体" w:eastAsia="宋体" w:cs="宋体"/>
                <w:color w:val="auto"/>
                <w:highlight w:val="none"/>
              </w:rPr>
            </w:pPr>
          </w:p>
        </w:tc>
        <w:tc>
          <w:tcPr>
            <w:tcW w:w="902" w:type="dxa"/>
            <w:noWrap w:val="0"/>
            <w:vAlign w:val="top"/>
          </w:tcPr>
          <w:p w14:paraId="7796019F">
            <w:pPr>
              <w:spacing w:line="360" w:lineRule="auto"/>
              <w:ind w:firstLine="420" w:firstLineChars="200"/>
              <w:jc w:val="both"/>
              <w:rPr>
                <w:rFonts w:hint="eastAsia" w:ascii="宋体" w:hAnsi="宋体" w:eastAsia="宋体" w:cs="宋体"/>
                <w:color w:val="auto"/>
                <w:highlight w:val="none"/>
              </w:rPr>
            </w:pPr>
          </w:p>
        </w:tc>
        <w:tc>
          <w:tcPr>
            <w:tcW w:w="1071" w:type="dxa"/>
            <w:noWrap w:val="0"/>
            <w:vAlign w:val="top"/>
          </w:tcPr>
          <w:p w14:paraId="565F6120">
            <w:pPr>
              <w:spacing w:line="360" w:lineRule="auto"/>
              <w:ind w:firstLine="420" w:firstLineChars="200"/>
              <w:jc w:val="both"/>
              <w:rPr>
                <w:rFonts w:hint="eastAsia" w:ascii="宋体" w:hAnsi="宋体" w:eastAsia="宋体" w:cs="宋体"/>
                <w:color w:val="auto"/>
                <w:highlight w:val="none"/>
              </w:rPr>
            </w:pPr>
          </w:p>
        </w:tc>
        <w:tc>
          <w:tcPr>
            <w:tcW w:w="1250" w:type="dxa"/>
            <w:noWrap w:val="0"/>
            <w:vAlign w:val="top"/>
          </w:tcPr>
          <w:p w14:paraId="1199B70F">
            <w:pPr>
              <w:spacing w:line="360" w:lineRule="auto"/>
              <w:ind w:firstLine="420" w:firstLineChars="200"/>
              <w:jc w:val="both"/>
              <w:rPr>
                <w:rFonts w:hint="eastAsia" w:ascii="宋体" w:hAnsi="宋体" w:eastAsia="宋体" w:cs="宋体"/>
                <w:color w:val="auto"/>
                <w:highlight w:val="none"/>
              </w:rPr>
            </w:pPr>
          </w:p>
        </w:tc>
        <w:tc>
          <w:tcPr>
            <w:tcW w:w="1106" w:type="dxa"/>
            <w:noWrap w:val="0"/>
            <w:vAlign w:val="top"/>
          </w:tcPr>
          <w:p w14:paraId="7EA91497">
            <w:pPr>
              <w:spacing w:line="360" w:lineRule="auto"/>
              <w:ind w:firstLine="420" w:firstLineChars="200"/>
              <w:jc w:val="both"/>
              <w:rPr>
                <w:rFonts w:hint="eastAsia" w:ascii="宋体" w:hAnsi="宋体" w:eastAsia="宋体" w:cs="宋体"/>
                <w:color w:val="auto"/>
                <w:highlight w:val="none"/>
              </w:rPr>
            </w:pPr>
          </w:p>
        </w:tc>
      </w:tr>
      <w:tr w14:paraId="34E4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2C3B5818">
            <w:pPr>
              <w:spacing w:line="360" w:lineRule="auto"/>
              <w:ind w:firstLine="420" w:firstLineChars="200"/>
              <w:jc w:val="both"/>
              <w:rPr>
                <w:rFonts w:hint="eastAsia" w:ascii="宋体" w:hAnsi="宋体" w:eastAsia="宋体" w:cs="宋体"/>
                <w:color w:val="auto"/>
                <w:highlight w:val="none"/>
              </w:rPr>
            </w:pPr>
          </w:p>
        </w:tc>
        <w:tc>
          <w:tcPr>
            <w:tcW w:w="1623" w:type="dxa"/>
            <w:noWrap w:val="0"/>
            <w:vAlign w:val="top"/>
          </w:tcPr>
          <w:p w14:paraId="5A93EBA0">
            <w:pPr>
              <w:spacing w:line="360" w:lineRule="auto"/>
              <w:ind w:firstLine="420" w:firstLineChars="200"/>
              <w:jc w:val="both"/>
              <w:rPr>
                <w:rFonts w:hint="eastAsia" w:ascii="宋体" w:hAnsi="宋体" w:eastAsia="宋体" w:cs="宋体"/>
                <w:color w:val="auto"/>
                <w:highlight w:val="none"/>
              </w:rPr>
            </w:pPr>
          </w:p>
        </w:tc>
        <w:tc>
          <w:tcPr>
            <w:tcW w:w="902" w:type="dxa"/>
            <w:noWrap w:val="0"/>
            <w:vAlign w:val="top"/>
          </w:tcPr>
          <w:p w14:paraId="45477936">
            <w:pPr>
              <w:spacing w:line="360" w:lineRule="auto"/>
              <w:ind w:firstLine="420" w:firstLineChars="200"/>
              <w:jc w:val="both"/>
              <w:rPr>
                <w:rFonts w:hint="eastAsia" w:ascii="宋体" w:hAnsi="宋体" w:eastAsia="宋体" w:cs="宋体"/>
                <w:color w:val="auto"/>
                <w:highlight w:val="none"/>
              </w:rPr>
            </w:pPr>
          </w:p>
        </w:tc>
        <w:tc>
          <w:tcPr>
            <w:tcW w:w="902" w:type="dxa"/>
            <w:noWrap w:val="0"/>
            <w:vAlign w:val="top"/>
          </w:tcPr>
          <w:p w14:paraId="31D9E395">
            <w:pPr>
              <w:spacing w:line="360" w:lineRule="auto"/>
              <w:ind w:firstLine="420" w:firstLineChars="200"/>
              <w:jc w:val="both"/>
              <w:rPr>
                <w:rFonts w:hint="eastAsia" w:ascii="宋体" w:hAnsi="宋体" w:eastAsia="宋体" w:cs="宋体"/>
                <w:color w:val="auto"/>
                <w:highlight w:val="none"/>
              </w:rPr>
            </w:pPr>
          </w:p>
        </w:tc>
        <w:tc>
          <w:tcPr>
            <w:tcW w:w="1071" w:type="dxa"/>
            <w:noWrap w:val="0"/>
            <w:vAlign w:val="top"/>
          </w:tcPr>
          <w:p w14:paraId="0738258E">
            <w:pPr>
              <w:spacing w:line="360" w:lineRule="auto"/>
              <w:ind w:firstLine="420" w:firstLineChars="200"/>
              <w:jc w:val="both"/>
              <w:rPr>
                <w:rFonts w:hint="eastAsia" w:ascii="宋体" w:hAnsi="宋体" w:eastAsia="宋体" w:cs="宋体"/>
                <w:color w:val="auto"/>
                <w:highlight w:val="none"/>
              </w:rPr>
            </w:pPr>
          </w:p>
        </w:tc>
        <w:tc>
          <w:tcPr>
            <w:tcW w:w="1250" w:type="dxa"/>
            <w:noWrap w:val="0"/>
            <w:vAlign w:val="top"/>
          </w:tcPr>
          <w:p w14:paraId="77A613D6">
            <w:pPr>
              <w:spacing w:line="360" w:lineRule="auto"/>
              <w:ind w:firstLine="420" w:firstLineChars="200"/>
              <w:jc w:val="both"/>
              <w:rPr>
                <w:rFonts w:hint="eastAsia" w:ascii="宋体" w:hAnsi="宋体" w:eastAsia="宋体" w:cs="宋体"/>
                <w:color w:val="auto"/>
                <w:highlight w:val="none"/>
              </w:rPr>
            </w:pPr>
          </w:p>
        </w:tc>
        <w:tc>
          <w:tcPr>
            <w:tcW w:w="1106" w:type="dxa"/>
            <w:noWrap w:val="0"/>
            <w:vAlign w:val="top"/>
          </w:tcPr>
          <w:p w14:paraId="584F6B14">
            <w:pPr>
              <w:spacing w:line="360" w:lineRule="auto"/>
              <w:ind w:firstLine="420" w:firstLineChars="200"/>
              <w:jc w:val="both"/>
              <w:rPr>
                <w:rFonts w:hint="eastAsia" w:ascii="宋体" w:hAnsi="宋体" w:eastAsia="宋体" w:cs="宋体"/>
                <w:color w:val="auto"/>
                <w:highlight w:val="none"/>
              </w:rPr>
            </w:pPr>
          </w:p>
        </w:tc>
      </w:tr>
      <w:tr w14:paraId="5870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3694C4C8">
            <w:pPr>
              <w:spacing w:line="360" w:lineRule="auto"/>
              <w:ind w:firstLine="420" w:firstLineChars="200"/>
              <w:jc w:val="both"/>
              <w:rPr>
                <w:rFonts w:hint="eastAsia" w:ascii="宋体" w:hAnsi="宋体" w:eastAsia="宋体" w:cs="宋体"/>
                <w:color w:val="auto"/>
                <w:highlight w:val="none"/>
              </w:rPr>
            </w:pPr>
          </w:p>
        </w:tc>
        <w:tc>
          <w:tcPr>
            <w:tcW w:w="1623" w:type="dxa"/>
            <w:noWrap w:val="0"/>
            <w:vAlign w:val="top"/>
          </w:tcPr>
          <w:p w14:paraId="5B755CA9">
            <w:pPr>
              <w:spacing w:line="360" w:lineRule="auto"/>
              <w:ind w:firstLine="420" w:firstLineChars="200"/>
              <w:jc w:val="both"/>
              <w:rPr>
                <w:rFonts w:hint="eastAsia" w:ascii="宋体" w:hAnsi="宋体" w:eastAsia="宋体" w:cs="宋体"/>
                <w:color w:val="auto"/>
                <w:highlight w:val="none"/>
              </w:rPr>
            </w:pPr>
          </w:p>
        </w:tc>
        <w:tc>
          <w:tcPr>
            <w:tcW w:w="902" w:type="dxa"/>
            <w:noWrap w:val="0"/>
            <w:vAlign w:val="top"/>
          </w:tcPr>
          <w:p w14:paraId="27C07522">
            <w:pPr>
              <w:spacing w:line="360" w:lineRule="auto"/>
              <w:ind w:firstLine="420" w:firstLineChars="200"/>
              <w:jc w:val="both"/>
              <w:rPr>
                <w:rFonts w:hint="eastAsia" w:ascii="宋体" w:hAnsi="宋体" w:eastAsia="宋体" w:cs="宋体"/>
                <w:color w:val="auto"/>
                <w:highlight w:val="none"/>
              </w:rPr>
            </w:pPr>
          </w:p>
        </w:tc>
        <w:tc>
          <w:tcPr>
            <w:tcW w:w="902" w:type="dxa"/>
            <w:noWrap w:val="0"/>
            <w:vAlign w:val="top"/>
          </w:tcPr>
          <w:p w14:paraId="634F4336">
            <w:pPr>
              <w:spacing w:line="360" w:lineRule="auto"/>
              <w:ind w:firstLine="420" w:firstLineChars="200"/>
              <w:jc w:val="both"/>
              <w:rPr>
                <w:rFonts w:hint="eastAsia" w:ascii="宋体" w:hAnsi="宋体" w:eastAsia="宋体" w:cs="宋体"/>
                <w:color w:val="auto"/>
                <w:highlight w:val="none"/>
              </w:rPr>
            </w:pPr>
          </w:p>
        </w:tc>
        <w:tc>
          <w:tcPr>
            <w:tcW w:w="1071" w:type="dxa"/>
            <w:noWrap w:val="0"/>
            <w:vAlign w:val="top"/>
          </w:tcPr>
          <w:p w14:paraId="3889C633">
            <w:pPr>
              <w:spacing w:line="360" w:lineRule="auto"/>
              <w:ind w:firstLine="420" w:firstLineChars="200"/>
              <w:jc w:val="both"/>
              <w:rPr>
                <w:rFonts w:hint="eastAsia" w:ascii="宋体" w:hAnsi="宋体" w:eastAsia="宋体" w:cs="宋体"/>
                <w:color w:val="auto"/>
                <w:highlight w:val="none"/>
              </w:rPr>
            </w:pPr>
          </w:p>
        </w:tc>
        <w:tc>
          <w:tcPr>
            <w:tcW w:w="1250" w:type="dxa"/>
            <w:noWrap w:val="0"/>
            <w:vAlign w:val="top"/>
          </w:tcPr>
          <w:p w14:paraId="718F3AF3">
            <w:pPr>
              <w:spacing w:line="360" w:lineRule="auto"/>
              <w:ind w:firstLine="420" w:firstLineChars="200"/>
              <w:jc w:val="both"/>
              <w:rPr>
                <w:rFonts w:hint="eastAsia" w:ascii="宋体" w:hAnsi="宋体" w:eastAsia="宋体" w:cs="宋体"/>
                <w:color w:val="auto"/>
                <w:highlight w:val="none"/>
              </w:rPr>
            </w:pPr>
          </w:p>
        </w:tc>
        <w:tc>
          <w:tcPr>
            <w:tcW w:w="1106" w:type="dxa"/>
            <w:noWrap w:val="0"/>
            <w:vAlign w:val="top"/>
          </w:tcPr>
          <w:p w14:paraId="1D20F9A8">
            <w:pPr>
              <w:spacing w:line="360" w:lineRule="auto"/>
              <w:ind w:firstLine="420" w:firstLineChars="200"/>
              <w:jc w:val="both"/>
              <w:rPr>
                <w:rFonts w:hint="eastAsia" w:ascii="宋体" w:hAnsi="宋体" w:eastAsia="宋体" w:cs="宋体"/>
                <w:color w:val="auto"/>
                <w:highlight w:val="none"/>
              </w:rPr>
            </w:pPr>
          </w:p>
        </w:tc>
      </w:tr>
      <w:tr w14:paraId="15C4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noWrap w:val="0"/>
            <w:vAlign w:val="top"/>
          </w:tcPr>
          <w:p w14:paraId="1AEB6DB8">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合同总价款（大小写）：</w:t>
            </w:r>
          </w:p>
          <w:p w14:paraId="59FC0277">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Cs w:val="28"/>
                <w:highlight w:val="none"/>
              </w:rPr>
              <w:t>备注：上述服务包含相关设备购置、人员工资及售后服务、税金、劳保基金、人员培训等费用。</w:t>
            </w:r>
          </w:p>
        </w:tc>
      </w:tr>
    </w:tbl>
    <w:p w14:paraId="10E98053">
      <w:pPr>
        <w:spacing w:line="360" w:lineRule="auto"/>
        <w:ind w:firstLine="422" w:firstLineChars="200"/>
        <w:jc w:val="both"/>
        <w:rPr>
          <w:rFonts w:hint="eastAsia" w:ascii="宋体" w:hAnsi="宋体" w:eastAsia="宋体" w:cs="宋体"/>
          <w:color w:val="auto"/>
          <w:highlight w:val="none"/>
        </w:rPr>
      </w:pPr>
      <w:r>
        <w:rPr>
          <w:rFonts w:hint="eastAsia" w:ascii="宋体" w:hAnsi="宋体" w:eastAsia="宋体" w:cs="宋体"/>
          <w:b/>
          <w:bCs/>
          <w:color w:val="auto"/>
          <w:szCs w:val="27"/>
          <w:highlight w:val="none"/>
        </w:rPr>
        <w:t xml:space="preserve">第二条  </w:t>
      </w:r>
      <w:r>
        <w:rPr>
          <w:rFonts w:hint="eastAsia" w:ascii="宋体" w:hAnsi="宋体" w:eastAsia="宋体" w:cs="宋体"/>
          <w:color w:val="auto"/>
          <w:szCs w:val="27"/>
          <w:highlight w:val="none"/>
        </w:rPr>
        <w:t>服务标准（包括达到的水平要求），按下列第（ ）项执行：</w:t>
      </w:r>
    </w:p>
    <w:p w14:paraId="09D31AC6">
      <w:pPr>
        <w:spacing w:line="360" w:lineRule="auto"/>
        <w:ind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Cs w:val="27"/>
          <w:highlight w:val="none"/>
        </w:rPr>
        <w:t>①按国家标准执行；②按部颁标准执行；③若无以上标准，则应不低于同行业服务标准；④有特殊要求的，按甲乙双方在合同中商定的要求执行；</w:t>
      </w:r>
    </w:p>
    <w:p w14:paraId="44DB06DE">
      <w:pPr>
        <w:spacing w:line="360" w:lineRule="auto"/>
        <w:ind w:firstLine="420" w:firstLineChars="200"/>
        <w:jc w:val="both"/>
        <w:rPr>
          <w:rFonts w:hint="eastAsia" w:ascii="宋体" w:hAnsi="宋体" w:eastAsia="宋体" w:cs="宋体"/>
          <w:color w:val="auto"/>
          <w:szCs w:val="27"/>
          <w:highlight w:val="none"/>
          <w:u w:val="single"/>
        </w:rPr>
      </w:pPr>
      <w:r>
        <w:rPr>
          <w:rFonts w:hint="eastAsia" w:ascii="宋体" w:hAnsi="宋体" w:eastAsia="宋体" w:cs="宋体"/>
          <w:color w:val="auto"/>
          <w:highlight w:val="none"/>
        </w:rPr>
        <w:t>乙方提供的服务标准和水平应与招标采购文件规定的标准和水平相一致。</w:t>
      </w:r>
    </w:p>
    <w:p w14:paraId="11CBDEE3">
      <w:pPr>
        <w:spacing w:line="360" w:lineRule="auto"/>
        <w:ind w:firstLine="422" w:firstLineChars="200"/>
        <w:jc w:val="both"/>
        <w:rPr>
          <w:rFonts w:hint="eastAsia" w:ascii="宋体" w:hAnsi="宋体" w:eastAsia="宋体" w:cs="宋体"/>
          <w:color w:val="auto"/>
          <w:szCs w:val="27"/>
          <w:highlight w:val="none"/>
        </w:rPr>
      </w:pPr>
      <w:r>
        <w:rPr>
          <w:rFonts w:hint="eastAsia" w:ascii="宋体" w:hAnsi="宋体" w:eastAsia="宋体" w:cs="宋体"/>
          <w:b/>
          <w:bCs/>
          <w:color w:val="auto"/>
          <w:szCs w:val="27"/>
          <w:highlight w:val="none"/>
        </w:rPr>
        <w:t xml:space="preserve">第三条  </w:t>
      </w:r>
      <w:r>
        <w:rPr>
          <w:rFonts w:hint="eastAsia" w:ascii="宋体" w:hAnsi="宋体" w:eastAsia="宋体" w:cs="宋体"/>
          <w:color w:val="auto"/>
          <w:szCs w:val="27"/>
          <w:highlight w:val="none"/>
        </w:rPr>
        <w:t>服务的方式、方法、、地点和期限</w:t>
      </w:r>
    </w:p>
    <w:p w14:paraId="3E3DCFC3">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Cs w:val="27"/>
          <w:highlight w:val="none"/>
        </w:rPr>
        <w:t>1、服务方式：</w:t>
      </w:r>
    </w:p>
    <w:p w14:paraId="0EF8E5D1">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2、服务方法：</w:t>
      </w:r>
    </w:p>
    <w:p w14:paraId="7DB25C2D">
      <w:pPr>
        <w:spacing w:line="360" w:lineRule="auto"/>
        <w:ind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Cs w:val="27"/>
          <w:highlight w:val="none"/>
        </w:rPr>
        <w:t>2、服务地点：</w:t>
      </w:r>
      <w:r>
        <w:rPr>
          <w:rFonts w:hint="eastAsia" w:ascii="宋体" w:hAnsi="宋体" w:eastAsia="宋体" w:cs="宋体"/>
          <w:color w:val="auto"/>
          <w:szCs w:val="27"/>
          <w:highlight w:val="none"/>
        </w:rPr>
        <w:softHyphen/>
      </w:r>
      <w:r>
        <w:rPr>
          <w:rFonts w:hint="eastAsia" w:ascii="宋体" w:hAnsi="宋体" w:eastAsia="宋体" w:cs="宋体"/>
          <w:color w:val="auto"/>
          <w:szCs w:val="27"/>
          <w:highlight w:val="none"/>
        </w:rPr>
        <w:softHyphen/>
      </w:r>
      <w:r>
        <w:rPr>
          <w:rFonts w:hint="eastAsia" w:ascii="宋体" w:hAnsi="宋体" w:eastAsia="宋体" w:cs="宋体"/>
          <w:color w:val="auto"/>
          <w:szCs w:val="27"/>
          <w:highlight w:val="none"/>
        </w:rPr>
        <w:softHyphen/>
      </w:r>
      <w:r>
        <w:rPr>
          <w:rFonts w:hint="eastAsia" w:ascii="宋体" w:hAnsi="宋体" w:eastAsia="宋体" w:cs="宋体"/>
          <w:color w:val="auto"/>
          <w:szCs w:val="27"/>
          <w:highlight w:val="none"/>
        </w:rPr>
        <w:softHyphen/>
      </w:r>
      <w:r>
        <w:rPr>
          <w:rFonts w:hint="eastAsia" w:ascii="宋体" w:hAnsi="宋体" w:eastAsia="宋体" w:cs="宋体"/>
          <w:color w:val="auto"/>
          <w:szCs w:val="27"/>
          <w:highlight w:val="none"/>
        </w:rPr>
        <w:softHyphen/>
      </w:r>
      <w:r>
        <w:rPr>
          <w:rFonts w:hint="eastAsia" w:ascii="宋体" w:hAnsi="宋体" w:eastAsia="宋体" w:cs="宋体"/>
          <w:color w:val="auto"/>
          <w:szCs w:val="27"/>
          <w:highlight w:val="none"/>
        </w:rPr>
        <w:softHyphen/>
      </w:r>
      <w:r>
        <w:rPr>
          <w:rFonts w:hint="eastAsia" w:ascii="宋体" w:hAnsi="宋体" w:eastAsia="宋体" w:cs="宋体"/>
          <w:color w:val="auto"/>
          <w:szCs w:val="27"/>
          <w:highlight w:val="none"/>
        </w:rPr>
        <w:softHyphen/>
      </w:r>
      <w:r>
        <w:rPr>
          <w:rFonts w:hint="eastAsia" w:ascii="宋体" w:hAnsi="宋体" w:eastAsia="宋体" w:cs="宋体"/>
          <w:color w:val="auto"/>
          <w:szCs w:val="27"/>
          <w:highlight w:val="none"/>
        </w:rPr>
        <w:softHyphen/>
      </w:r>
      <w:r>
        <w:rPr>
          <w:rFonts w:hint="eastAsia" w:ascii="宋体" w:hAnsi="宋体" w:eastAsia="宋体" w:cs="宋体"/>
          <w:color w:val="auto"/>
          <w:szCs w:val="27"/>
          <w:highlight w:val="none"/>
        </w:rPr>
        <w:softHyphen/>
      </w:r>
      <w:r>
        <w:rPr>
          <w:rFonts w:hint="eastAsia" w:ascii="宋体" w:hAnsi="宋体" w:eastAsia="宋体" w:cs="宋体"/>
          <w:color w:val="auto"/>
          <w:szCs w:val="27"/>
          <w:highlight w:val="none"/>
        </w:rPr>
        <w:softHyphen/>
      </w:r>
    </w:p>
    <w:p w14:paraId="2864D89A">
      <w:pPr>
        <w:spacing w:line="360" w:lineRule="auto"/>
        <w:ind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Cs w:val="27"/>
          <w:highlight w:val="none"/>
        </w:rPr>
        <w:t>3、服务期限：</w:t>
      </w:r>
    </w:p>
    <w:p w14:paraId="12725A26">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第四条</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费用及支付方式</w:t>
      </w:r>
    </w:p>
    <w:p w14:paraId="775B0039">
      <w:pPr>
        <w:pStyle w:val="9"/>
        <w:kinsoku w:val="0"/>
        <w:overflowPunct w:val="0"/>
        <w:spacing w:line="364" w:lineRule="auto"/>
        <w:ind w:left="0" w:firstLine="422" w:firstLineChars="200"/>
        <w:jc w:val="both"/>
        <w:rPr>
          <w:rFonts w:hint="eastAsia" w:ascii="宋体" w:hAnsi="宋体" w:eastAsia="宋体" w:cs="宋体"/>
          <w:b/>
          <w:color w:val="auto"/>
          <w:highlight w:val="none"/>
        </w:rPr>
      </w:pPr>
      <w:r>
        <w:rPr>
          <w:rFonts w:hint="eastAsia" w:ascii="宋体" w:hAnsi="宋体" w:eastAsia="宋体" w:cs="宋体"/>
          <w:b/>
          <w:color w:val="auto"/>
          <w:sz w:val="21"/>
          <w:highlight w:val="none"/>
        </w:rPr>
        <w:t>(一)</w:t>
      </w:r>
      <w:r>
        <w:rPr>
          <w:rFonts w:hint="eastAsia" w:ascii="宋体" w:hAnsi="宋体" w:eastAsia="宋体" w:cs="宋体"/>
          <w:b/>
          <w:color w:val="auto"/>
          <w:highlight w:val="none"/>
        </w:rPr>
        <w:t>本项目</w:t>
      </w:r>
      <w:r>
        <w:rPr>
          <w:rFonts w:hint="eastAsia" w:ascii="宋体" w:hAnsi="宋体" w:eastAsia="宋体" w:cs="宋体"/>
          <w:b/>
          <w:color w:val="auto"/>
          <w:highlight w:val="none"/>
          <w:lang w:val="en-US"/>
        </w:rPr>
        <w:t>费用有以</w:t>
      </w:r>
      <w:r>
        <w:rPr>
          <w:rFonts w:hint="eastAsia" w:ascii="宋体" w:hAnsi="宋体" w:eastAsia="宋体" w:cs="宋体"/>
          <w:b/>
          <w:color w:val="auto"/>
          <w:highlight w:val="none"/>
        </w:rPr>
        <w:t>下组成：</w:t>
      </w:r>
    </w:p>
    <w:p w14:paraId="1EEB18D7">
      <w:pPr>
        <w:pStyle w:val="9"/>
        <w:kinsoku w:val="0"/>
        <w:overflowPunct w:val="0"/>
        <w:spacing w:line="364" w:lineRule="auto"/>
        <w:ind w:left="0" w:firstLine="420" w:firstLineChars="200"/>
        <w:jc w:val="both"/>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 xml:space="preserve"> 1、XX 万元；</w:t>
      </w:r>
    </w:p>
    <w:p w14:paraId="18058AC1">
      <w:pPr>
        <w:pStyle w:val="9"/>
        <w:kinsoku w:val="0"/>
        <w:overflowPunct w:val="0"/>
        <w:spacing w:line="364" w:lineRule="auto"/>
        <w:ind w:left="0" w:firstLine="420" w:firstLineChars="200"/>
        <w:jc w:val="both"/>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2、XX 万元；</w:t>
      </w:r>
    </w:p>
    <w:p w14:paraId="0259FEA0">
      <w:pPr>
        <w:pStyle w:val="9"/>
        <w:kinsoku w:val="0"/>
        <w:overflowPunct w:val="0"/>
        <w:spacing w:line="364" w:lineRule="auto"/>
        <w:ind w:left="0" w:firstLine="420" w:firstLineChars="200"/>
        <w:jc w:val="both"/>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w:t>
      </w:r>
    </w:p>
    <w:p w14:paraId="0CCA68E2">
      <w:pPr>
        <w:pStyle w:val="9"/>
        <w:kinsoku w:val="0"/>
        <w:overflowPunct w:val="0"/>
        <w:ind w:left="0" w:firstLine="422" w:firstLineChars="200"/>
        <w:jc w:val="both"/>
        <w:rPr>
          <w:rFonts w:hint="eastAsia" w:ascii="宋体" w:hAnsi="宋体" w:eastAsia="宋体" w:cs="宋体"/>
          <w:b/>
          <w:color w:val="auto"/>
          <w:highlight w:val="none"/>
        </w:rPr>
      </w:pPr>
      <w:r>
        <w:rPr>
          <w:rFonts w:hint="eastAsia" w:ascii="宋体" w:hAnsi="宋体" w:eastAsia="宋体" w:cs="宋体"/>
          <w:b/>
          <w:color w:val="auto"/>
          <w:sz w:val="21"/>
          <w:highlight w:val="none"/>
        </w:rPr>
        <w:t>(二)</w:t>
      </w:r>
      <w:r>
        <w:rPr>
          <w:rFonts w:hint="eastAsia" w:ascii="宋体" w:hAnsi="宋体" w:eastAsia="宋体" w:cs="宋体"/>
          <w:b/>
          <w:color w:val="auto"/>
          <w:highlight w:val="none"/>
        </w:rPr>
        <w:t>费用支付方式：</w:t>
      </w:r>
    </w:p>
    <w:p w14:paraId="54B3288B">
      <w:pPr>
        <w:pStyle w:val="9"/>
        <w:kinsoku w:val="0"/>
        <w:overflowPunct w:val="0"/>
        <w:spacing w:line="364" w:lineRule="auto"/>
        <w:ind w:left="0" w:firstLine="420" w:firstLineChars="200"/>
        <w:jc w:val="both"/>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1、XXXX；</w:t>
      </w:r>
    </w:p>
    <w:p w14:paraId="30898837">
      <w:pPr>
        <w:pStyle w:val="9"/>
        <w:kinsoku w:val="0"/>
        <w:overflowPunct w:val="0"/>
        <w:spacing w:line="364" w:lineRule="auto"/>
        <w:ind w:left="0" w:firstLine="420" w:firstLineChars="200"/>
        <w:jc w:val="both"/>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2、XXXX ；</w:t>
      </w:r>
    </w:p>
    <w:p w14:paraId="2B78D844">
      <w:pPr>
        <w:pStyle w:val="9"/>
        <w:kinsoku w:val="0"/>
        <w:overflowPunct w:val="0"/>
        <w:spacing w:line="364" w:lineRule="auto"/>
        <w:ind w:left="0" w:firstLine="420" w:firstLineChars="200"/>
        <w:jc w:val="both"/>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3、在支付前甲方对乙方的服务进行考核或验收，合格的支付相应款 项。乙方须向甲方出具合法有效完整的完税发票及凭证资料进行支付结算。</w:t>
      </w:r>
    </w:p>
    <w:p w14:paraId="48719424">
      <w:pPr>
        <w:pStyle w:val="9"/>
        <w:kinsoku w:val="0"/>
        <w:overflowPunct w:val="0"/>
        <w:ind w:left="0" w:firstLine="422" w:firstLineChars="200"/>
        <w:jc w:val="both"/>
        <w:rPr>
          <w:rFonts w:hint="eastAsia" w:ascii="宋体" w:hAnsi="宋体" w:eastAsia="宋体" w:cs="宋体"/>
          <w:color w:val="auto"/>
          <w:highlight w:val="none"/>
        </w:rPr>
      </w:pPr>
      <w:r>
        <w:rPr>
          <w:rFonts w:hint="eastAsia" w:ascii="宋体" w:hAnsi="宋体" w:eastAsia="宋体" w:cs="宋体"/>
          <w:b/>
          <w:color w:val="auto"/>
          <w:highlight w:val="none"/>
        </w:rPr>
        <w:t>第五条</w:t>
      </w:r>
      <w:r>
        <w:rPr>
          <w:rFonts w:hint="eastAsia" w:ascii="宋体" w:hAnsi="宋体" w:eastAsia="宋体" w:cs="宋体"/>
          <w:b/>
          <w:color w:val="auto"/>
          <w:highlight w:val="none"/>
          <w:lang w:val="en-US"/>
        </w:rPr>
        <w:t xml:space="preserve">  </w:t>
      </w:r>
      <w:r>
        <w:rPr>
          <w:rFonts w:hint="eastAsia" w:ascii="宋体" w:hAnsi="宋体" w:eastAsia="宋体" w:cs="宋体"/>
          <w:b/>
          <w:color w:val="auto"/>
          <w:highlight w:val="none"/>
        </w:rPr>
        <w:t xml:space="preserve">付款条件   </w:t>
      </w:r>
      <w:r>
        <w:rPr>
          <w:rFonts w:hint="eastAsia" w:ascii="宋体" w:hAnsi="宋体" w:eastAsia="宋体" w:cs="宋体"/>
          <w:color w:val="auto"/>
          <w:highlight w:val="none"/>
        </w:rPr>
        <w:t xml:space="preserve">               </w:t>
      </w:r>
    </w:p>
    <w:p w14:paraId="313BB1CB">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本合同以人民币付款。</w:t>
      </w:r>
    </w:p>
    <w:p w14:paraId="5CD7247E">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该项目是否实行预付款：</w:t>
      </w:r>
    </w:p>
    <w:p w14:paraId="000FBBC9">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实行预付款的条件和比例：</w:t>
      </w:r>
    </w:p>
    <w:p w14:paraId="622C8ED0">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合同款项结算方式和支付比例：</w:t>
      </w:r>
      <w:r>
        <w:rPr>
          <w:rFonts w:hint="eastAsia" w:ascii="宋体" w:hAnsi="宋体" w:eastAsia="宋体" w:cs="宋体"/>
          <w:color w:val="auto"/>
          <w:highlight w:val="none"/>
          <w:lang w:val="en-US"/>
        </w:rPr>
        <w:t xml:space="preserve">   </w:t>
      </w:r>
    </w:p>
    <w:p w14:paraId="7B926C6D">
      <w:pPr>
        <w:spacing w:line="360" w:lineRule="auto"/>
        <w:ind w:firstLine="420" w:firstLineChars="200"/>
        <w:jc w:val="both"/>
        <w:rPr>
          <w:rFonts w:hint="eastAsia" w:ascii="宋体" w:hAnsi="宋体" w:eastAsia="宋体" w:cs="宋体"/>
          <w:color w:val="auto"/>
          <w:highlight w:val="none"/>
          <w:u w:val="single"/>
        </w:rPr>
      </w:pPr>
      <w:r>
        <w:rPr>
          <w:rFonts w:hint="eastAsia" w:ascii="宋体" w:hAnsi="宋体" w:eastAsia="宋体" w:cs="宋体"/>
          <w:color w:val="auto"/>
          <w:highlight w:val="none"/>
          <w:lang w:val="en-US"/>
        </w:rPr>
        <w:t>(</w:t>
      </w:r>
      <w:r>
        <w:rPr>
          <w:rFonts w:hint="eastAsia" w:ascii="宋体" w:hAnsi="宋体" w:eastAsia="宋体" w:cs="宋体"/>
          <w:color w:val="auto"/>
          <w:highlight w:val="none"/>
        </w:rPr>
        <w:t>具体付款方式</w:t>
      </w:r>
      <w:r>
        <w:rPr>
          <w:rFonts w:hint="eastAsia" w:ascii="宋体" w:hAnsi="宋体" w:eastAsia="宋体" w:cs="宋体"/>
          <w:color w:val="auto"/>
          <w:highlight w:val="none"/>
          <w:u w:val="single"/>
        </w:rPr>
        <w:t>按投标人须知前附表以及采、购双方的具体约定</w:t>
      </w:r>
    </w:p>
    <w:p w14:paraId="64F762CD">
      <w:pPr>
        <w:pageBreakBefore w:val="0"/>
        <w:widowControl w:val="0"/>
        <w:kinsoku w:val="0"/>
        <w:wordWrap/>
        <w:overflowPunct w:val="0"/>
        <w:topLinePunct w:val="0"/>
        <w:autoSpaceDE/>
        <w:autoSpaceDN/>
        <w:bidi w:val="0"/>
        <w:adjustRightInd/>
        <w:snapToGrid/>
        <w:ind w:left="0" w:firstLine="422" w:firstLineChars="200"/>
        <w:jc w:val="both"/>
        <w:textAlignment w:val="auto"/>
        <w:outlineLvl w:val="9"/>
        <w:rPr>
          <w:rFonts w:hint="eastAsia" w:ascii="宋体" w:hAnsi="宋体" w:eastAsia="宋体" w:cs="宋体"/>
          <w:b/>
          <w:bCs/>
          <w:color w:val="auto"/>
          <w:kern w:val="2"/>
          <w:sz w:val="21"/>
          <w:szCs w:val="27"/>
          <w:highlight w:val="none"/>
          <w:lang w:val="en-US" w:eastAsia="zh-CN" w:bidi="ar-SA"/>
        </w:rPr>
      </w:pPr>
      <w:r>
        <w:rPr>
          <w:rFonts w:hint="eastAsia" w:ascii="宋体" w:hAnsi="宋体" w:eastAsia="宋体" w:cs="宋体"/>
          <w:b/>
          <w:bCs/>
          <w:color w:val="auto"/>
          <w:kern w:val="2"/>
          <w:sz w:val="21"/>
          <w:szCs w:val="27"/>
          <w:highlight w:val="none"/>
          <w:lang w:val="en-US" w:eastAsia="zh-CN" w:bidi="ar-SA"/>
        </w:rPr>
        <w:t>第六条  验收方法</w:t>
      </w:r>
    </w:p>
    <w:p w14:paraId="0C8E0AE4">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1.甲、乙双方应严格履行合同有关条款，如果验收过程中发现乙方在没有征得采购人同意的情况下擅自变更合同服务内容，将拒绝通过验收，由此引起的一切后果及损失由乙方承担。</w:t>
      </w:r>
    </w:p>
    <w:p w14:paraId="449B7D5B">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67E07B25">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3、甲方视情况可以邀请参加本项目的其他投标人或者第三方机构参与验收，参与验收的投标人或者第三方机构的意见作为验收书的参考资料一并存档。</w:t>
      </w:r>
    </w:p>
    <w:p w14:paraId="57522156">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4、涉及安全、消防、环保等其他需要由质检或行业主管部门进行验收的项目，必须邀请相关部门或相关专家参与验收。涉及社会化服务的项目，甲方将要求社会公众人员参与验收。</w:t>
      </w:r>
    </w:p>
    <w:p w14:paraId="36F3C4AC">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检测、验收费用承担方式：</w:t>
      </w:r>
    </w:p>
    <w:p w14:paraId="2D29C6F5">
      <w:pPr>
        <w:pStyle w:val="9"/>
        <w:pageBreakBefore w:val="0"/>
        <w:widowControl w:val="0"/>
        <w:kinsoku w:val="0"/>
        <w:wordWrap/>
        <w:overflowPunct w:val="0"/>
        <w:topLinePunct w:val="0"/>
        <w:autoSpaceDE/>
        <w:autoSpaceDN/>
        <w:bidi w:val="0"/>
        <w:adjustRightInd/>
        <w:snapToGrid/>
        <w:spacing w:line="364" w:lineRule="auto"/>
        <w:ind w:left="0" w:firstLine="42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第七条 知识产权</w:t>
      </w:r>
    </w:p>
    <w:p w14:paraId="1729342F">
      <w:pPr>
        <w:pStyle w:val="9"/>
        <w:pageBreakBefore w:val="0"/>
        <w:widowControl w:val="0"/>
        <w:kinsoku w:val="0"/>
        <w:wordWrap/>
        <w:overflowPunct w:val="0"/>
        <w:topLinePunct w:val="0"/>
        <w:autoSpaceDE/>
        <w:autoSpaceDN/>
        <w:bidi w:val="0"/>
        <w:adjustRightInd/>
        <w:snapToGrid/>
        <w:spacing w:line="364" w:lineRule="auto"/>
        <w:ind w:left="0" w:firstLine="420" w:firstLineChars="200"/>
        <w:jc w:val="both"/>
        <w:textAlignment w:val="auto"/>
        <w:outlineLvl w:val="9"/>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乙方应保证所提供的服务或其任何一部分均不会侵犯任何第三方的专利权、商标权或著作权。</w:t>
      </w:r>
    </w:p>
    <w:p w14:paraId="6FEC5418">
      <w:pPr>
        <w:pageBreakBefore w:val="0"/>
        <w:widowControl w:val="0"/>
        <w:kinsoku w:val="0"/>
        <w:wordWrap/>
        <w:overflowPunct w:val="0"/>
        <w:topLinePunct w:val="0"/>
        <w:autoSpaceDE/>
        <w:autoSpaceDN/>
        <w:bidi w:val="0"/>
        <w:adjustRightInd/>
        <w:snapToGrid/>
        <w:ind w:left="0" w:firstLine="422" w:firstLineChars="200"/>
        <w:jc w:val="both"/>
        <w:textAlignment w:val="auto"/>
        <w:outlineLvl w:val="9"/>
        <w:rPr>
          <w:rFonts w:hint="eastAsia" w:ascii="宋体" w:hAnsi="宋体" w:eastAsia="宋体" w:cs="宋体"/>
          <w:b/>
          <w:bCs/>
          <w:color w:val="auto"/>
          <w:kern w:val="2"/>
          <w:sz w:val="21"/>
          <w:szCs w:val="27"/>
          <w:highlight w:val="none"/>
          <w:lang w:val="en-US" w:eastAsia="zh-CN" w:bidi="ar-SA"/>
        </w:rPr>
      </w:pPr>
      <w:r>
        <w:rPr>
          <w:rFonts w:hint="eastAsia" w:ascii="宋体" w:hAnsi="宋体" w:eastAsia="宋体" w:cs="宋体"/>
          <w:b/>
          <w:bCs/>
          <w:color w:val="auto"/>
          <w:kern w:val="2"/>
          <w:sz w:val="21"/>
          <w:szCs w:val="27"/>
          <w:highlight w:val="none"/>
          <w:lang w:val="en-US" w:eastAsia="zh-CN" w:bidi="ar-SA"/>
        </w:rPr>
        <w:t>第八条 无产权瑕疵条款</w:t>
      </w:r>
    </w:p>
    <w:p w14:paraId="2B9335C7">
      <w:pPr>
        <w:pStyle w:val="9"/>
        <w:pageBreakBefore w:val="0"/>
        <w:widowControl w:val="0"/>
        <w:kinsoku w:val="0"/>
        <w:wordWrap/>
        <w:overflowPunct w:val="0"/>
        <w:topLinePunct w:val="0"/>
        <w:autoSpaceDE/>
        <w:autoSpaceDN/>
        <w:bidi w:val="0"/>
        <w:adjustRightInd/>
        <w:snapToGrid/>
        <w:spacing w:line="364" w:lineRule="auto"/>
        <w:ind w:left="0" w:firstLine="420" w:firstLineChars="200"/>
        <w:jc w:val="both"/>
        <w:textAlignment w:val="auto"/>
        <w:outlineLvl w:val="9"/>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乙方保证所提供的服务的所有权完全属于乙方且无任何抵押、查封等产权瑕疵。如有产权瑕疵的，视为乙方违约。乙方应负担由此而产生的一切损失。</w:t>
      </w:r>
    </w:p>
    <w:p w14:paraId="09B62BD6">
      <w:pPr>
        <w:pageBreakBefore w:val="0"/>
        <w:widowControl w:val="0"/>
        <w:wordWrap/>
        <w:topLinePunct w:val="0"/>
        <w:autoSpaceDE/>
        <w:autoSpaceDN/>
        <w:bidi w:val="0"/>
        <w:adjustRightInd/>
        <w:snapToGrid/>
        <w:spacing w:line="400" w:lineRule="exact"/>
        <w:ind w:firstLine="422" w:firstLineChars="200"/>
        <w:jc w:val="both"/>
        <w:textAlignment w:val="auto"/>
        <w:outlineLvl w:val="9"/>
        <w:rPr>
          <w:rFonts w:hint="eastAsia" w:ascii="宋体" w:hAnsi="宋体" w:eastAsia="宋体" w:cs="宋体"/>
          <w:b/>
          <w:bCs/>
          <w:color w:val="auto"/>
          <w:szCs w:val="27"/>
          <w:highlight w:val="none"/>
        </w:rPr>
      </w:pPr>
      <w:r>
        <w:rPr>
          <w:rFonts w:hint="eastAsia" w:ascii="宋体" w:hAnsi="宋体" w:eastAsia="宋体" w:cs="宋体"/>
          <w:b/>
          <w:bCs/>
          <w:color w:val="auto"/>
          <w:szCs w:val="27"/>
          <w:highlight w:val="none"/>
        </w:rPr>
        <w:t xml:space="preserve">第九条  </w:t>
      </w:r>
      <w:r>
        <w:rPr>
          <w:rFonts w:hint="eastAsia" w:ascii="宋体" w:hAnsi="宋体" w:eastAsia="宋体" w:cs="宋体"/>
          <w:color w:val="auto"/>
          <w:szCs w:val="27"/>
          <w:highlight w:val="none"/>
        </w:rPr>
        <w:t>履约（或质量）保证金</w:t>
      </w:r>
    </w:p>
    <w:p w14:paraId="70CB1563">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1.本项目不收取履约保证金。确需收取履约保证金的，甲方不得要求乙方以现款的形式提供。乙方提供的履约保证金按规定格式以银行保函形式提供，与此有关的费用由服务方承担。</w:t>
      </w:r>
    </w:p>
    <w:p w14:paraId="4699FDD1">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2.若确需质量保证金的，质量保证金不得超过合同总价款的5%</w:t>
      </w:r>
    </w:p>
    <w:p w14:paraId="3252E653">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3.如乙方未能履行其合同规定的任何义务，甲方有权从履约保证金中取得补偿。</w:t>
      </w:r>
    </w:p>
    <w:p w14:paraId="538AD174">
      <w:pPr>
        <w:pageBreakBefore w:val="0"/>
        <w:widowControl w:val="0"/>
        <w:kinsoku w:val="0"/>
        <w:wordWrap/>
        <w:overflowPunct w:val="0"/>
        <w:topLinePunct w:val="0"/>
        <w:autoSpaceDE/>
        <w:autoSpaceDN/>
        <w:bidi w:val="0"/>
        <w:adjustRightInd/>
        <w:snapToGrid/>
        <w:ind w:left="0" w:firstLine="422" w:firstLineChars="200"/>
        <w:jc w:val="both"/>
        <w:textAlignment w:val="auto"/>
        <w:outlineLvl w:val="9"/>
        <w:rPr>
          <w:rFonts w:hint="eastAsia" w:ascii="宋体" w:hAnsi="宋体" w:eastAsia="宋体" w:cs="宋体"/>
          <w:b/>
          <w:bCs/>
          <w:color w:val="auto"/>
          <w:kern w:val="2"/>
          <w:sz w:val="21"/>
          <w:szCs w:val="27"/>
          <w:highlight w:val="none"/>
          <w:lang w:val="en-US" w:eastAsia="zh-CN" w:bidi="ar-SA"/>
        </w:rPr>
      </w:pPr>
      <w:r>
        <w:rPr>
          <w:rFonts w:hint="eastAsia" w:ascii="宋体" w:hAnsi="宋体" w:eastAsia="宋体" w:cs="宋体"/>
          <w:b/>
          <w:bCs/>
          <w:color w:val="auto"/>
          <w:kern w:val="2"/>
          <w:sz w:val="21"/>
          <w:szCs w:val="27"/>
          <w:highlight w:val="none"/>
          <w:lang w:val="en-US" w:eastAsia="zh-CN" w:bidi="ar-SA"/>
        </w:rPr>
        <w:t>第十条 甲方的权利和义务</w:t>
      </w:r>
    </w:p>
    <w:p w14:paraId="3B4827F9">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1、甲方有权对合同规定范围内乙方的行为进行监督和检查，拥有监管权。有权定期核对乙方提供服务所配备的人员数量。对甲方认为不合理的部分有权下达整改通知书，并要求乙方限期整改。</w:t>
      </w:r>
    </w:p>
    <w:p w14:paraId="4ADB19BC">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2、甲方有权依据双方签订的考评办法对乙方提供的服务进行定期考评。当考评结果未达到标准时，有权依据考评办法约定的数额扣除履约保证金。</w:t>
      </w:r>
    </w:p>
    <w:p w14:paraId="79FFE800">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3、负责检查监督乙方管理工作的实施及制度的执行情况。</w:t>
      </w:r>
    </w:p>
    <w:p w14:paraId="528D3F5B">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4、根据本合同规定，按时向乙方支付应付服务费用。</w:t>
      </w:r>
    </w:p>
    <w:p w14:paraId="67623C0E">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5、国家法律、法规所规定由甲方承担的其他责任    </w:t>
      </w:r>
      <w:r>
        <w:rPr>
          <w:rFonts w:hint="eastAsia" w:ascii="宋体" w:hAnsi="宋体" w:eastAsia="宋体" w:cs="宋体"/>
          <w:color w:val="auto"/>
          <w:highlight w:val="none"/>
          <w:lang w:val="en-US"/>
        </w:rPr>
        <w:t xml:space="preserve">           </w:t>
      </w:r>
    </w:p>
    <w:p w14:paraId="7EB4DE76">
      <w:pPr>
        <w:pStyle w:val="9"/>
        <w:pageBreakBefore w:val="0"/>
        <w:widowControl w:val="0"/>
        <w:kinsoku w:val="0"/>
        <w:wordWrap/>
        <w:overflowPunct w:val="0"/>
        <w:topLinePunct w:val="0"/>
        <w:autoSpaceDE/>
        <w:autoSpaceDN/>
        <w:bidi w:val="0"/>
        <w:adjustRightInd/>
        <w:snapToGrid/>
        <w:spacing w:line="364" w:lineRule="auto"/>
        <w:ind w:left="0" w:firstLine="42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第十一条 乙方的权利和义务</w:t>
      </w:r>
    </w:p>
    <w:p w14:paraId="2F02F63B">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1、对本合同规定的委托服务范围内的项目享有管理权及服务义务。</w:t>
      </w:r>
    </w:p>
    <w:p w14:paraId="6BFA7D8E">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2、根据本合同的规定向甲方收取相关服务费用，并有权在本项目管理范围内管理及合理使用。</w:t>
      </w:r>
    </w:p>
    <w:p w14:paraId="13A27EDF">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3、及时向甲方通告本项目服务范围内有关服务的重大事项，及时配合处理投诉。</w:t>
      </w:r>
    </w:p>
    <w:p w14:paraId="702EC1E8">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4、接受项目行业管理部门及政府有关部门的指导，接受甲方的监督。</w:t>
      </w:r>
    </w:p>
    <w:p w14:paraId="74A34A2B">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5、国家法律、法规所规定由乙方承担的其它责任。</w:t>
      </w:r>
    </w:p>
    <w:p w14:paraId="2FBB6035">
      <w:pPr>
        <w:pStyle w:val="9"/>
        <w:pageBreakBefore w:val="0"/>
        <w:widowControl w:val="0"/>
        <w:kinsoku w:val="0"/>
        <w:wordWrap/>
        <w:overflowPunct w:val="0"/>
        <w:topLinePunct w:val="0"/>
        <w:autoSpaceDE/>
        <w:autoSpaceDN/>
        <w:bidi w:val="0"/>
        <w:adjustRightInd/>
        <w:snapToGrid/>
        <w:spacing w:line="364" w:lineRule="auto"/>
        <w:ind w:left="0" w:firstLine="42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第十二条 违约责任</w:t>
      </w:r>
    </w:p>
    <w:p w14:paraId="4C02FB1E">
      <w:pPr>
        <w:pStyle w:val="9"/>
        <w:pageBreakBefore w:val="0"/>
        <w:widowControl w:val="0"/>
        <w:kinsoku w:val="0"/>
        <w:wordWrap/>
        <w:overflowPunct w:val="0"/>
        <w:topLinePunct w:val="0"/>
        <w:autoSpaceDE/>
        <w:autoSpaceDN/>
        <w:bidi w:val="0"/>
        <w:adjustRightInd/>
        <w:snapToGrid/>
        <w:ind w:left="0" w:firstLine="420" w:firstLineChars="200"/>
        <w:jc w:val="both"/>
        <w:textAlignment w:val="auto"/>
        <w:outlineLvl w:val="9"/>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1、甲乙双方必须遵守本合同并执行合同中的各项规定，保证本合同的正常履行。</w:t>
      </w:r>
    </w:p>
    <w:p w14:paraId="0A6D4941">
      <w:pPr>
        <w:pStyle w:val="9"/>
        <w:pageBreakBefore w:val="0"/>
        <w:widowControl w:val="0"/>
        <w:kinsoku w:val="0"/>
        <w:wordWrap/>
        <w:overflowPunct w:val="0"/>
        <w:topLinePunct w:val="0"/>
        <w:autoSpaceDE/>
        <w:autoSpaceDN/>
        <w:bidi w:val="0"/>
        <w:adjustRightInd/>
        <w:snapToGrid/>
        <w:spacing w:line="364" w:lineRule="auto"/>
        <w:ind w:left="0" w:firstLine="420" w:firstLineChars="200"/>
        <w:jc w:val="both"/>
        <w:textAlignment w:val="auto"/>
        <w:outlineLvl w:val="9"/>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2、甲方逾期付款的，除应及时付足款项外，应向乙方偿付欠款总额万分之 /天的违约金；逾期付款超过 天的，乙方有权终止合同。</w:t>
      </w:r>
    </w:p>
    <w:p w14:paraId="3C2C5AF9">
      <w:pPr>
        <w:pStyle w:val="9"/>
        <w:pageBreakBefore w:val="0"/>
        <w:widowControl w:val="0"/>
        <w:kinsoku w:val="0"/>
        <w:wordWrap/>
        <w:overflowPunct w:val="0"/>
        <w:topLinePunct w:val="0"/>
        <w:autoSpaceDE/>
        <w:autoSpaceDN/>
        <w:bidi w:val="0"/>
        <w:adjustRightInd/>
        <w:snapToGrid/>
        <w:spacing w:line="364" w:lineRule="auto"/>
        <w:ind w:left="0" w:firstLine="420" w:firstLineChars="200"/>
        <w:jc w:val="both"/>
        <w:textAlignment w:val="auto"/>
        <w:outlineLvl w:val="9"/>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896C204">
      <w:pPr>
        <w:pStyle w:val="9"/>
        <w:pageBreakBefore w:val="0"/>
        <w:widowControl w:val="0"/>
        <w:kinsoku w:val="0"/>
        <w:wordWrap/>
        <w:overflowPunct w:val="0"/>
        <w:topLinePunct w:val="0"/>
        <w:autoSpaceDE/>
        <w:autoSpaceDN/>
        <w:bidi w:val="0"/>
        <w:adjustRightInd/>
        <w:snapToGrid/>
        <w:spacing w:line="364" w:lineRule="auto"/>
        <w:ind w:left="0" w:firstLine="420" w:firstLineChars="200"/>
        <w:jc w:val="both"/>
        <w:textAlignment w:val="auto"/>
        <w:outlineLvl w:val="9"/>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4、变更、中止或者终止合同，有过错的一方应当承担赔偿责任，双方都有过错的，各自承担相应的责任。</w:t>
      </w:r>
    </w:p>
    <w:p w14:paraId="4671C6CD">
      <w:pPr>
        <w:pageBreakBefore w:val="0"/>
        <w:widowControl w:val="0"/>
        <w:wordWrap/>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bCs/>
          <w:color w:val="auto"/>
          <w:szCs w:val="27"/>
          <w:highlight w:val="none"/>
        </w:rPr>
        <w:t xml:space="preserve">第十三条 </w:t>
      </w:r>
      <w:r>
        <w:rPr>
          <w:rFonts w:hint="eastAsia" w:ascii="宋体" w:hAnsi="宋体" w:eastAsia="宋体" w:cs="宋体"/>
          <w:bCs/>
          <w:color w:val="auto"/>
          <w:highlight w:val="none"/>
        </w:rPr>
        <w:t>转让与分包</w:t>
      </w:r>
    </w:p>
    <w:p w14:paraId="7ACD09EB">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Cs w:val="27"/>
          <w:highlight w:val="none"/>
        </w:rPr>
        <w:t>.</w:t>
      </w:r>
      <w:r>
        <w:rPr>
          <w:rFonts w:hint="eastAsia" w:ascii="宋体" w:hAnsi="宋体" w:eastAsia="宋体" w:cs="宋体"/>
          <w:color w:val="auto"/>
          <w:highlight w:val="none"/>
        </w:rPr>
        <w:t>除甲方事先书面同意外，乙方不得部分转让或全部转让其应履行的合同义务。</w:t>
      </w:r>
    </w:p>
    <w:p w14:paraId="41DDB202">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szCs w:val="27"/>
          <w:highlight w:val="none"/>
        </w:rPr>
        <w:t>.</w:t>
      </w:r>
      <w:r>
        <w:rPr>
          <w:rFonts w:hint="eastAsia" w:ascii="宋体" w:hAnsi="宋体" w:eastAsia="宋体" w:cs="宋体"/>
          <w:color w:val="auto"/>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477A69EF">
      <w:pPr>
        <w:pageBreakBefore w:val="0"/>
        <w:widowControl w:val="0"/>
        <w:wordWrap/>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bCs/>
          <w:color w:val="auto"/>
          <w:szCs w:val="27"/>
          <w:highlight w:val="none"/>
        </w:rPr>
        <w:t xml:space="preserve">第十四条 </w:t>
      </w:r>
      <w:r>
        <w:rPr>
          <w:rFonts w:hint="eastAsia" w:ascii="宋体" w:hAnsi="宋体" w:eastAsia="宋体" w:cs="宋体"/>
          <w:bCs/>
          <w:color w:val="auto"/>
          <w:highlight w:val="none"/>
        </w:rPr>
        <w:t>合同文件及资料的使用</w:t>
      </w:r>
    </w:p>
    <w:p w14:paraId="3FE55357">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Cs w:val="27"/>
          <w:highlight w:val="none"/>
        </w:rPr>
        <w:t>.</w:t>
      </w:r>
      <w:r>
        <w:rPr>
          <w:rFonts w:hint="eastAsia" w:ascii="宋体" w:hAnsi="宋体" w:eastAsia="宋体" w:cs="宋体"/>
          <w:color w:val="auto"/>
          <w:highlight w:val="none"/>
        </w:rPr>
        <w:t>乙方在未经甲方同意的情况下，不得将合同、合同中的规定、有关计划、图纸、样本或甲方为上述内容向乙方提供的资料透露给任何人。</w:t>
      </w:r>
    </w:p>
    <w:p w14:paraId="1F653E38">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szCs w:val="27"/>
          <w:highlight w:val="none"/>
        </w:rPr>
        <w:t>.</w:t>
      </w:r>
      <w:r>
        <w:rPr>
          <w:rFonts w:hint="eastAsia" w:ascii="宋体" w:hAnsi="宋体" w:eastAsia="宋体" w:cs="宋体"/>
          <w:color w:val="auto"/>
          <w:highlight w:val="none"/>
        </w:rPr>
        <w:t>除非执行合同需要，在事先未得到甲方同意的情况下，乙方不得使用前款所列的任何文件和资料。</w:t>
      </w:r>
    </w:p>
    <w:p w14:paraId="30CC1500">
      <w:pPr>
        <w:pageBreakBefore w:val="0"/>
        <w:widowControl w:val="0"/>
        <w:kinsoku w:val="0"/>
        <w:wordWrap/>
        <w:overflowPunct w:val="0"/>
        <w:topLinePunct w:val="0"/>
        <w:autoSpaceDE/>
        <w:autoSpaceDN/>
        <w:bidi w:val="0"/>
        <w:adjustRightInd/>
        <w:snapToGrid/>
        <w:ind w:left="0" w:firstLine="422" w:firstLineChars="200"/>
        <w:jc w:val="both"/>
        <w:textAlignment w:val="auto"/>
        <w:outlineLvl w:val="9"/>
        <w:rPr>
          <w:rFonts w:hint="eastAsia" w:ascii="宋体" w:hAnsi="宋体" w:eastAsia="宋体" w:cs="宋体"/>
          <w:b/>
          <w:bCs/>
          <w:color w:val="auto"/>
          <w:kern w:val="2"/>
          <w:sz w:val="21"/>
          <w:szCs w:val="27"/>
          <w:highlight w:val="none"/>
          <w:lang w:val="en-US" w:eastAsia="zh-CN" w:bidi="ar-SA"/>
        </w:rPr>
      </w:pPr>
      <w:r>
        <w:rPr>
          <w:rFonts w:hint="eastAsia" w:ascii="宋体" w:hAnsi="宋体" w:eastAsia="宋体" w:cs="宋体"/>
          <w:b/>
          <w:bCs/>
          <w:color w:val="auto"/>
          <w:kern w:val="2"/>
          <w:sz w:val="21"/>
          <w:szCs w:val="27"/>
          <w:highlight w:val="none"/>
          <w:lang w:val="en-US" w:eastAsia="zh-CN" w:bidi="ar-SA"/>
        </w:rPr>
        <w:t>第十五条 不可抗力事件处理</w:t>
      </w:r>
    </w:p>
    <w:p w14:paraId="27A9550E">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Cs w:val="27"/>
          <w:highlight w:val="none"/>
        </w:rPr>
        <w:t>.</w:t>
      </w:r>
      <w:r>
        <w:rPr>
          <w:rFonts w:hint="eastAsia" w:ascii="宋体" w:hAnsi="宋体" w:eastAsia="宋体" w:cs="宋体"/>
          <w:color w:val="auto"/>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6A91D951">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Cs w:val="27"/>
          <w:highlight w:val="none"/>
        </w:rPr>
      </w:pPr>
      <w:r>
        <w:rPr>
          <w:rFonts w:hint="eastAsia" w:ascii="宋体" w:hAnsi="宋体" w:eastAsia="宋体" w:cs="宋体"/>
          <w:color w:val="auto"/>
          <w:highlight w:val="none"/>
        </w:rPr>
        <w:t>2</w:t>
      </w:r>
      <w:r>
        <w:rPr>
          <w:rFonts w:hint="eastAsia" w:ascii="宋体" w:hAnsi="宋体" w:eastAsia="宋体" w:cs="宋体"/>
          <w:color w:val="auto"/>
          <w:szCs w:val="27"/>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40A2EC98">
      <w:pPr>
        <w:pageBreakBefore w:val="0"/>
        <w:widowControl w:val="0"/>
        <w:kinsoku w:val="0"/>
        <w:wordWrap/>
        <w:overflowPunct w:val="0"/>
        <w:topLinePunct w:val="0"/>
        <w:autoSpaceDE/>
        <w:autoSpaceDN/>
        <w:bidi w:val="0"/>
        <w:adjustRightInd/>
        <w:snapToGrid/>
        <w:ind w:left="0" w:firstLine="422" w:firstLineChars="200"/>
        <w:jc w:val="both"/>
        <w:textAlignment w:val="auto"/>
        <w:outlineLvl w:val="9"/>
        <w:rPr>
          <w:rFonts w:hint="eastAsia" w:ascii="宋体" w:hAnsi="宋体" w:eastAsia="宋体" w:cs="宋体"/>
          <w:b/>
          <w:bCs/>
          <w:color w:val="auto"/>
          <w:kern w:val="2"/>
          <w:sz w:val="21"/>
          <w:szCs w:val="27"/>
          <w:highlight w:val="none"/>
          <w:lang w:val="en-US" w:eastAsia="zh-CN" w:bidi="ar-SA"/>
        </w:rPr>
      </w:pPr>
      <w:r>
        <w:rPr>
          <w:rFonts w:hint="eastAsia" w:ascii="宋体" w:hAnsi="宋体" w:eastAsia="宋体" w:cs="宋体"/>
          <w:b/>
          <w:bCs/>
          <w:color w:val="auto"/>
          <w:kern w:val="2"/>
          <w:sz w:val="21"/>
          <w:szCs w:val="27"/>
          <w:highlight w:val="none"/>
          <w:lang w:val="en-US" w:eastAsia="zh-CN" w:bidi="ar-SA"/>
        </w:rPr>
        <w:t>第十六条 合同纠纷调处</w:t>
      </w:r>
    </w:p>
    <w:p w14:paraId="5F43B639">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Cs w:val="27"/>
          <w:highlight w:val="none"/>
        </w:rPr>
        <w:t>.按本合同规定应该偿付的违约金、赔偿金、保管保养费和各种经济损失，应当在明确责任后10天内，按银行规定的结算办法付清，否则按逾期付款处理。</w:t>
      </w:r>
    </w:p>
    <w:p w14:paraId="0397E477">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Cs w:val="27"/>
          <w:highlight w:val="none"/>
        </w:rPr>
      </w:pPr>
      <w:r>
        <w:rPr>
          <w:rFonts w:hint="eastAsia" w:ascii="宋体" w:hAnsi="宋体" w:eastAsia="宋体" w:cs="宋体"/>
          <w:color w:val="auto"/>
          <w:highlight w:val="none"/>
        </w:rPr>
        <w:t>2</w:t>
      </w:r>
      <w:r>
        <w:rPr>
          <w:rFonts w:hint="eastAsia" w:ascii="宋体" w:hAnsi="宋体" w:eastAsia="宋体" w:cs="宋体"/>
          <w:color w:val="auto"/>
          <w:szCs w:val="27"/>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color w:val="auto"/>
          <w:szCs w:val="27"/>
          <w:highlight w:val="none"/>
          <w:u w:val="single"/>
        </w:rPr>
        <w:t>周口仲裁委员会</w:t>
      </w:r>
      <w:r>
        <w:rPr>
          <w:rFonts w:hint="eastAsia" w:ascii="宋体" w:hAnsi="宋体" w:eastAsia="宋体" w:cs="宋体"/>
          <w:color w:val="auto"/>
          <w:szCs w:val="27"/>
          <w:highlight w:val="none"/>
        </w:rPr>
        <w:t>申请仲裁。②向</w:t>
      </w:r>
      <w:r>
        <w:rPr>
          <w:rFonts w:hint="eastAsia" w:ascii="宋体" w:hAnsi="宋体" w:eastAsia="宋体" w:cs="宋体"/>
          <w:color w:val="auto"/>
          <w:highlight w:val="none"/>
        </w:rPr>
        <w:t>合同签订地有级别管辖权的</w:t>
      </w:r>
      <w:r>
        <w:rPr>
          <w:rFonts w:hint="eastAsia" w:ascii="宋体" w:hAnsi="宋体" w:eastAsia="宋体" w:cs="宋体"/>
          <w:color w:val="auto"/>
          <w:szCs w:val="27"/>
          <w:highlight w:val="none"/>
        </w:rPr>
        <w:t>人民法院起诉。</w:t>
      </w:r>
    </w:p>
    <w:p w14:paraId="06B171C8">
      <w:pPr>
        <w:pageBreakBefore w:val="0"/>
        <w:widowControl w:val="0"/>
        <w:kinsoku w:val="0"/>
        <w:wordWrap/>
        <w:overflowPunct w:val="0"/>
        <w:topLinePunct w:val="0"/>
        <w:autoSpaceDE/>
        <w:autoSpaceDN/>
        <w:bidi w:val="0"/>
        <w:adjustRightInd/>
        <w:snapToGrid/>
        <w:ind w:left="0" w:firstLine="420" w:firstLineChars="200"/>
        <w:jc w:val="both"/>
        <w:textAlignment w:val="auto"/>
        <w:outlineLvl w:val="9"/>
        <w:rPr>
          <w:rFonts w:hint="eastAsia" w:ascii="宋体" w:hAnsi="宋体" w:eastAsia="宋体" w:cs="宋体"/>
          <w:b w:val="0"/>
          <w:bCs w:val="0"/>
          <w:color w:val="auto"/>
          <w:kern w:val="2"/>
          <w:sz w:val="21"/>
          <w:szCs w:val="27"/>
          <w:highlight w:val="none"/>
          <w:lang w:val="en-US" w:eastAsia="zh-CN" w:bidi="ar-SA"/>
        </w:rPr>
      </w:pPr>
      <w:r>
        <w:rPr>
          <w:rFonts w:hint="eastAsia" w:ascii="宋体" w:hAnsi="宋体" w:eastAsia="宋体" w:cs="宋体"/>
          <w:b w:val="0"/>
          <w:bCs w:val="0"/>
          <w:color w:val="auto"/>
          <w:kern w:val="2"/>
          <w:sz w:val="21"/>
          <w:szCs w:val="27"/>
          <w:highlight w:val="none"/>
          <w:lang w:val="en-US" w:eastAsia="zh-CN" w:bidi="ar-SA"/>
        </w:rPr>
        <w:t>3、甲、乙双方均有权利向本项目具有监管职能的政府采购监督管理部门举报反映对方在合同履约中的违法违纪行为。</w:t>
      </w:r>
    </w:p>
    <w:p w14:paraId="40C75C35">
      <w:pPr>
        <w:pageBreakBefore w:val="0"/>
        <w:widowControl w:val="0"/>
        <w:wordWrap/>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bCs/>
          <w:color w:val="auto"/>
          <w:szCs w:val="27"/>
          <w:highlight w:val="none"/>
        </w:rPr>
      </w:pPr>
      <w:r>
        <w:rPr>
          <w:rFonts w:hint="eastAsia" w:ascii="宋体" w:hAnsi="宋体" w:eastAsia="宋体" w:cs="宋体"/>
          <w:b/>
          <w:bCs/>
          <w:color w:val="auto"/>
          <w:szCs w:val="27"/>
          <w:highlight w:val="none"/>
        </w:rPr>
        <w:t>第十七条 其他</w:t>
      </w:r>
    </w:p>
    <w:p w14:paraId="78647FD9">
      <w:pPr>
        <w:pageBreakBefore w:val="0"/>
        <w:widowControl w:val="0"/>
        <w:wordWrap/>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color w:val="auto"/>
          <w:szCs w:val="27"/>
          <w:highlight w:val="none"/>
        </w:rPr>
      </w:pPr>
      <w:r>
        <w:rPr>
          <w:rFonts w:hint="eastAsia" w:ascii="宋体" w:hAnsi="宋体" w:eastAsia="宋体" w:cs="宋体"/>
          <w:b/>
          <w:bCs/>
          <w:color w:val="auto"/>
          <w:szCs w:val="27"/>
          <w:highlight w:val="none"/>
        </w:rPr>
        <w:t xml:space="preserve"> </w:t>
      </w:r>
      <w:r>
        <w:rPr>
          <w:rFonts w:hint="eastAsia" w:ascii="宋体" w:hAnsi="宋体" w:eastAsia="宋体" w:cs="宋体"/>
          <w:color w:val="auto"/>
          <w:szCs w:val="27"/>
          <w:highlight w:val="none"/>
        </w:rPr>
        <w:t>下列关于周口市公共资源交易中心政府采购代理机构名称</w:t>
      </w:r>
      <w:r>
        <w:rPr>
          <w:rFonts w:hint="eastAsia" w:ascii="宋体" w:hAnsi="宋体" w:eastAsia="宋体" w:cs="宋体"/>
          <w:color w:val="auto"/>
          <w:szCs w:val="27"/>
          <w:highlight w:val="none"/>
          <w:u w:val="single"/>
        </w:rPr>
        <w:t>某项目（项目编号：某编号）</w:t>
      </w:r>
      <w:r>
        <w:rPr>
          <w:rFonts w:hint="eastAsia" w:ascii="宋体" w:hAnsi="宋体" w:eastAsia="宋体" w:cs="宋体"/>
          <w:color w:val="auto"/>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1F3623B8">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Cs w:val="27"/>
          <w:highlight w:val="none"/>
        </w:rPr>
      </w:pPr>
      <w:r>
        <w:rPr>
          <w:rFonts w:hint="eastAsia" w:ascii="宋体" w:hAnsi="宋体" w:eastAsia="宋体" w:cs="宋体"/>
          <w:color w:val="auto"/>
          <w:szCs w:val="27"/>
          <w:highlight w:val="none"/>
        </w:rPr>
        <w:t xml:space="preserve">    </w:t>
      </w:r>
      <w:r>
        <w:rPr>
          <w:rFonts w:hint="eastAsia" w:ascii="宋体" w:hAnsi="宋体" w:eastAsia="宋体" w:cs="宋体"/>
          <w:color w:val="auto"/>
          <w:highlight w:val="none"/>
        </w:rPr>
        <w:t>本合同一式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份，甲乙双方各执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w:t>
      </w:r>
      <w:r>
        <w:rPr>
          <w:rFonts w:hint="eastAsia" w:ascii="宋体" w:hAnsi="宋体" w:cs="宋体"/>
          <w:color w:val="auto"/>
          <w:highlight w:val="none"/>
          <w:lang w:eastAsia="zh-CN"/>
        </w:rPr>
        <w:t>，</w:t>
      </w:r>
      <w:r>
        <w:rPr>
          <w:rFonts w:hint="eastAsia" w:ascii="宋体" w:hAnsi="宋体" w:eastAsia="宋体" w:cs="宋体"/>
          <w:color w:val="auto"/>
          <w:highlight w:val="none"/>
        </w:rPr>
        <w:t>自双方当事人签字盖章之日起生效。</w:t>
      </w:r>
    </w:p>
    <w:p w14:paraId="2457B7C4">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Cs w:val="27"/>
          <w:highlight w:val="none"/>
        </w:rPr>
      </w:pPr>
    </w:p>
    <w:p w14:paraId="6F6155D4">
      <w:pPr>
        <w:pStyle w:val="43"/>
        <w:pageBreakBefore w:val="0"/>
        <w:widowControl w:val="0"/>
        <w:wordWrap/>
        <w:topLinePunct w:val="0"/>
        <w:autoSpaceDE/>
        <w:autoSpaceDN/>
        <w:bidi w:val="0"/>
        <w:adjustRightInd/>
        <w:snapToGrid/>
        <w:ind w:firstLine="240"/>
        <w:textAlignment w:val="auto"/>
        <w:outlineLvl w:val="9"/>
        <w:rPr>
          <w:rFonts w:hint="eastAsia" w:ascii="宋体" w:hAnsi="宋体" w:eastAsia="宋体" w:cs="宋体"/>
          <w:color w:val="auto"/>
          <w:highlight w:val="none"/>
        </w:rPr>
      </w:pPr>
    </w:p>
    <w:p w14:paraId="16568093">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Cs w:val="27"/>
          <w:highlight w:val="none"/>
        </w:rPr>
      </w:pPr>
      <w:r>
        <w:rPr>
          <w:rFonts w:hint="eastAsia" w:ascii="宋体" w:hAnsi="宋体" w:eastAsia="宋体" w:cs="宋体"/>
          <w:color w:val="auto"/>
          <w:szCs w:val="27"/>
          <w:highlight w:val="none"/>
        </w:rPr>
        <w:t xml:space="preserve">采购人（甲方）：    （公章）           供货人（乙方）：     （公章）  </w:t>
      </w:r>
    </w:p>
    <w:p w14:paraId="617C63C1">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szCs w:val="27"/>
          <w:highlight w:val="none"/>
        </w:rPr>
        <w:t>地址：                               地址：</w:t>
      </w:r>
    </w:p>
    <w:p w14:paraId="1DCB9238">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Cs w:val="27"/>
          <w:highlight w:val="none"/>
        </w:rPr>
      </w:pPr>
      <w:r>
        <w:rPr>
          <w:rFonts w:hint="eastAsia" w:ascii="宋体" w:hAnsi="宋体" w:eastAsia="宋体" w:cs="宋体"/>
          <w:color w:val="auto"/>
          <w:szCs w:val="27"/>
          <w:highlight w:val="none"/>
        </w:rPr>
        <w:t>法定代表人：                         法定代表人：</w:t>
      </w:r>
    </w:p>
    <w:p w14:paraId="42433D2D">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szCs w:val="27"/>
          <w:highlight w:val="none"/>
        </w:rPr>
        <w:t>委托代理人：                         委托代理人：</w:t>
      </w:r>
    </w:p>
    <w:p w14:paraId="12D490B6">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电话：                               电话：</w:t>
      </w:r>
    </w:p>
    <w:p w14:paraId="216EAA5E">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Cs w:val="27"/>
          <w:highlight w:val="none"/>
        </w:rPr>
      </w:pPr>
      <w:r>
        <w:rPr>
          <w:rFonts w:hint="eastAsia" w:ascii="宋体" w:hAnsi="宋体" w:eastAsia="宋体" w:cs="宋体"/>
          <w:color w:val="auto"/>
          <w:szCs w:val="27"/>
          <w:highlight w:val="none"/>
        </w:rPr>
        <w:t>开户银行：                           开户银行：</w:t>
      </w:r>
    </w:p>
    <w:p w14:paraId="21EB7F93">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szCs w:val="27"/>
          <w:highlight w:val="none"/>
        </w:rPr>
        <w:t>账号：                               账号：</w:t>
      </w:r>
    </w:p>
    <w:p w14:paraId="4B650772">
      <w:pPr>
        <w:pageBreakBefore w:val="0"/>
        <w:widowControl w:val="0"/>
        <w:wordWrap/>
        <w:topLinePunct w:val="0"/>
        <w:autoSpaceDE/>
        <w:autoSpaceDN/>
        <w:bidi w:val="0"/>
        <w:adjustRightInd/>
        <w:snapToGrid/>
        <w:spacing w:line="640" w:lineRule="exact"/>
        <w:ind w:firstLine="420" w:firstLineChars="200"/>
        <w:jc w:val="both"/>
        <w:textAlignment w:val="auto"/>
        <w:outlineLvl w:val="9"/>
        <w:rPr>
          <w:rFonts w:hint="eastAsia" w:ascii="宋体" w:hAnsi="宋体" w:eastAsia="宋体" w:cs="宋体"/>
          <w:color w:val="auto"/>
          <w:szCs w:val="27"/>
          <w:highlight w:val="none"/>
          <w:u w:val="single"/>
        </w:rPr>
      </w:pPr>
    </w:p>
    <w:p w14:paraId="40835AAD">
      <w:pPr>
        <w:pStyle w:val="43"/>
        <w:pageBreakBefore w:val="0"/>
        <w:widowControl w:val="0"/>
        <w:wordWrap/>
        <w:topLinePunct w:val="0"/>
        <w:autoSpaceDE/>
        <w:autoSpaceDN/>
        <w:bidi w:val="0"/>
        <w:adjustRightInd/>
        <w:snapToGrid/>
        <w:ind w:firstLine="321"/>
        <w:jc w:val="center"/>
        <w:textAlignment w:val="auto"/>
        <w:outlineLvl w:val="9"/>
        <w:rPr>
          <w:rFonts w:hint="eastAsia"/>
          <w:b/>
          <w:color w:val="auto"/>
          <w:sz w:val="32"/>
          <w:szCs w:val="32"/>
          <w:highlight w:val="none"/>
        </w:rPr>
      </w:pPr>
      <w:r>
        <w:rPr>
          <w:rFonts w:hint="eastAsia" w:ascii="宋体" w:hAnsi="宋体" w:eastAsia="宋体" w:cs="宋体"/>
          <w:color w:val="auto"/>
          <w:szCs w:val="27"/>
          <w:highlight w:val="none"/>
          <w:u w:val="single"/>
        </w:rPr>
        <w:t>        </w:t>
      </w:r>
      <w:r>
        <w:rPr>
          <w:rFonts w:hint="eastAsia" w:ascii="宋体" w:hAnsi="宋体" w:eastAsia="宋体" w:cs="宋体"/>
          <w:color w:val="auto"/>
          <w:szCs w:val="27"/>
          <w:highlight w:val="none"/>
        </w:rPr>
        <w:t>年</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月</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 xml:space="preserve">日           </w:t>
      </w:r>
      <w:r>
        <w:rPr>
          <w:rFonts w:hint="eastAsia" w:ascii="宋体" w:hAnsi="宋体" w:eastAsia="宋体" w:cs="宋体"/>
          <w:color w:val="auto"/>
          <w:szCs w:val="27"/>
          <w:highlight w:val="none"/>
          <w:lang w:val="en-US"/>
        </w:rPr>
        <w:t xml:space="preserve">           </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年</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月</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日</w:t>
      </w:r>
    </w:p>
    <w:p w14:paraId="73FADD2E">
      <w:pPr>
        <w:pStyle w:val="43"/>
        <w:ind w:firstLine="321"/>
        <w:jc w:val="center"/>
        <w:rPr>
          <w:rFonts w:hint="eastAsia"/>
          <w:b/>
          <w:color w:val="auto"/>
          <w:sz w:val="32"/>
          <w:szCs w:val="32"/>
          <w:highlight w:val="none"/>
        </w:rPr>
      </w:pPr>
    </w:p>
    <w:p w14:paraId="5FFF43CF">
      <w:pPr>
        <w:pStyle w:val="43"/>
        <w:ind w:firstLine="321"/>
        <w:jc w:val="center"/>
        <w:rPr>
          <w:rFonts w:hint="eastAsia"/>
          <w:b/>
          <w:color w:val="auto"/>
          <w:sz w:val="32"/>
          <w:szCs w:val="32"/>
          <w:highlight w:val="none"/>
        </w:rPr>
      </w:pPr>
    </w:p>
    <w:p w14:paraId="3649EDB7">
      <w:pPr>
        <w:pStyle w:val="43"/>
        <w:ind w:firstLine="321"/>
        <w:jc w:val="center"/>
        <w:rPr>
          <w:rFonts w:hint="eastAsia"/>
          <w:b/>
          <w:color w:val="auto"/>
          <w:sz w:val="32"/>
          <w:szCs w:val="32"/>
          <w:highlight w:val="none"/>
        </w:rPr>
      </w:pPr>
    </w:p>
    <w:p w14:paraId="63ADC447">
      <w:pPr>
        <w:pStyle w:val="43"/>
        <w:ind w:firstLine="321"/>
        <w:jc w:val="center"/>
        <w:rPr>
          <w:rFonts w:hint="eastAsia"/>
          <w:b/>
          <w:color w:val="auto"/>
          <w:sz w:val="32"/>
          <w:szCs w:val="32"/>
          <w:highlight w:val="none"/>
        </w:rPr>
      </w:pPr>
    </w:p>
    <w:p w14:paraId="28F12959">
      <w:pPr>
        <w:rPr>
          <w:rFonts w:hint="eastAsia"/>
          <w:b/>
          <w:color w:val="auto"/>
          <w:sz w:val="32"/>
          <w:szCs w:val="32"/>
          <w:highlight w:val="none"/>
        </w:rPr>
      </w:pPr>
      <w:r>
        <w:rPr>
          <w:rFonts w:hint="eastAsia"/>
          <w:b/>
          <w:color w:val="auto"/>
          <w:sz w:val="32"/>
          <w:szCs w:val="32"/>
          <w:highlight w:val="none"/>
        </w:rPr>
        <w:br w:type="page"/>
      </w:r>
    </w:p>
    <w:p w14:paraId="7FC6A3B8">
      <w:pPr>
        <w:pStyle w:val="43"/>
        <w:keepNext w:val="0"/>
        <w:keepLines w:val="0"/>
        <w:pageBreakBefore w:val="0"/>
        <w:kinsoku/>
        <w:wordWrap/>
        <w:overflowPunct/>
        <w:topLinePunct w:val="0"/>
        <w:autoSpaceDE/>
        <w:autoSpaceDN/>
        <w:bidi w:val="0"/>
        <w:adjustRightInd/>
        <w:snapToGrid/>
        <w:spacing w:line="600" w:lineRule="exact"/>
        <w:ind w:firstLine="321"/>
        <w:jc w:val="center"/>
        <w:textAlignment w:val="auto"/>
        <w:rPr>
          <w:b/>
          <w:color w:val="auto"/>
          <w:sz w:val="32"/>
          <w:szCs w:val="32"/>
          <w:highlight w:val="none"/>
        </w:rPr>
      </w:pPr>
      <w:r>
        <w:rPr>
          <w:rFonts w:hint="eastAsia"/>
          <w:b/>
          <w:color w:val="auto"/>
          <w:sz w:val="32"/>
          <w:szCs w:val="32"/>
          <w:highlight w:val="none"/>
        </w:rPr>
        <w:t>周口市政府采购合同融资政策告知函</w:t>
      </w:r>
    </w:p>
    <w:p w14:paraId="56C3CD1C">
      <w:pPr>
        <w:pStyle w:val="43"/>
        <w:keepNext w:val="0"/>
        <w:keepLines w:val="0"/>
        <w:pageBreakBefore w:val="0"/>
        <w:kinsoku/>
        <w:wordWrap/>
        <w:overflowPunct/>
        <w:topLinePunct w:val="0"/>
        <w:autoSpaceDE/>
        <w:autoSpaceDN/>
        <w:bidi w:val="0"/>
        <w:adjustRightInd/>
        <w:snapToGrid/>
        <w:spacing w:line="600" w:lineRule="exact"/>
        <w:ind w:firstLine="24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各供应商：</w:t>
      </w:r>
    </w:p>
    <w:p w14:paraId="52C81242">
      <w:pPr>
        <w:pStyle w:val="43"/>
        <w:keepNext w:val="0"/>
        <w:keepLines w:val="0"/>
        <w:pageBreakBefore w:val="0"/>
        <w:kinsoku/>
        <w:wordWrap/>
        <w:overflowPunct/>
        <w:topLinePunct w:val="0"/>
        <w:autoSpaceDE/>
        <w:autoSpaceDN/>
        <w:bidi w:val="0"/>
        <w:adjustRightInd/>
        <w:snapToGrid/>
        <w:spacing w:line="600" w:lineRule="exact"/>
        <w:ind w:firstLine="24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欢迎贵公司参与周口市政府采购活动！</w:t>
      </w:r>
    </w:p>
    <w:p w14:paraId="3447E00B">
      <w:pPr>
        <w:pStyle w:val="43"/>
        <w:keepNext w:val="0"/>
        <w:keepLines w:val="0"/>
        <w:pageBreakBefore w:val="0"/>
        <w:kinsoku/>
        <w:wordWrap/>
        <w:overflowPunct/>
        <w:topLinePunct w:val="0"/>
        <w:autoSpaceDE/>
        <w:autoSpaceDN/>
        <w:bidi w:val="0"/>
        <w:adjustRightInd/>
        <w:snapToGrid/>
        <w:spacing w:line="600" w:lineRule="exact"/>
        <w:ind w:firstLine="24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7D0BEB8">
      <w:pPr>
        <w:pStyle w:val="43"/>
        <w:keepNext w:val="0"/>
        <w:keepLines w:val="0"/>
        <w:pageBreakBefore w:val="0"/>
        <w:kinsoku/>
        <w:wordWrap/>
        <w:overflowPunct/>
        <w:topLinePunct w:val="0"/>
        <w:autoSpaceDE/>
        <w:autoSpaceDN/>
        <w:bidi w:val="0"/>
        <w:adjustRightInd/>
        <w:snapToGrid/>
        <w:spacing w:line="600" w:lineRule="exact"/>
        <w:ind w:firstLine="24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贷款渠道和提供贷款的金融机构，可在河南省政府采购网“河南省政府采购合同融资平台”查询联系。</w:t>
      </w:r>
    </w:p>
    <w:p w14:paraId="17A79392">
      <w:pPr>
        <w:rPr>
          <w:rFonts w:hint="eastAsia" w:eastAsia="宋体"/>
          <w:color w:val="auto"/>
          <w:highlight w:val="none"/>
          <w:lang w:val="en-US" w:eastAsia="zh-CN"/>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69654">
    <w:pPr>
      <w:pStyle w:val="18"/>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5518C"/>
    <w:multiLevelType w:val="singleLevel"/>
    <w:tmpl w:val="B075518C"/>
    <w:lvl w:ilvl="0" w:tentative="0">
      <w:start w:val="2"/>
      <w:numFmt w:val="chineseCounting"/>
      <w:suff w:val="space"/>
      <w:lvlText w:val="第%1章"/>
      <w:lvlJc w:val="left"/>
      <w:rPr>
        <w:rFonts w:hint="eastAsia"/>
      </w:rPr>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00476A0"/>
    <w:multiLevelType w:val="singleLevel"/>
    <w:tmpl w:val="600476A0"/>
    <w:lvl w:ilvl="0" w:tentative="0">
      <w:start w:val="8"/>
      <w:numFmt w:val="chineseCounting"/>
      <w:suff w:val="nothing"/>
      <w:lvlText w:val="%1、"/>
      <w:lvlJc w:val="left"/>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UyYzYyNWQ1YjZlYTc4Mjk0YmYzMGUyNDM3Yjk5ZGQ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58DC"/>
    <w:rsid w:val="0061645A"/>
    <w:rsid w:val="0062126D"/>
    <w:rsid w:val="00621B09"/>
    <w:rsid w:val="006227BE"/>
    <w:rsid w:val="0063018F"/>
    <w:rsid w:val="00632A25"/>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7C3055"/>
    <w:rsid w:val="02B07FF7"/>
    <w:rsid w:val="03733BDF"/>
    <w:rsid w:val="03A308DC"/>
    <w:rsid w:val="040532BA"/>
    <w:rsid w:val="04176582"/>
    <w:rsid w:val="051259ED"/>
    <w:rsid w:val="07041580"/>
    <w:rsid w:val="07932A4C"/>
    <w:rsid w:val="08DB1CFF"/>
    <w:rsid w:val="0A9E30AD"/>
    <w:rsid w:val="0BEB3B44"/>
    <w:rsid w:val="0C0644C0"/>
    <w:rsid w:val="0F4470B9"/>
    <w:rsid w:val="10D62AA4"/>
    <w:rsid w:val="110273FB"/>
    <w:rsid w:val="13552B79"/>
    <w:rsid w:val="13793DF7"/>
    <w:rsid w:val="141C4A83"/>
    <w:rsid w:val="14354A58"/>
    <w:rsid w:val="14677422"/>
    <w:rsid w:val="152E6B10"/>
    <w:rsid w:val="15BF1042"/>
    <w:rsid w:val="162949CF"/>
    <w:rsid w:val="1656732A"/>
    <w:rsid w:val="181939B9"/>
    <w:rsid w:val="18D74DC1"/>
    <w:rsid w:val="1AED58EF"/>
    <w:rsid w:val="1F397F3B"/>
    <w:rsid w:val="1F3A0BB5"/>
    <w:rsid w:val="1FA92FCB"/>
    <w:rsid w:val="1FE554B2"/>
    <w:rsid w:val="20193BC8"/>
    <w:rsid w:val="220D398C"/>
    <w:rsid w:val="2301566F"/>
    <w:rsid w:val="24165293"/>
    <w:rsid w:val="2482721D"/>
    <w:rsid w:val="24A10BF5"/>
    <w:rsid w:val="24D70B68"/>
    <w:rsid w:val="26347A30"/>
    <w:rsid w:val="26AB07CC"/>
    <w:rsid w:val="287B63A6"/>
    <w:rsid w:val="29613C02"/>
    <w:rsid w:val="2A397C18"/>
    <w:rsid w:val="2A5015D5"/>
    <w:rsid w:val="2A96275A"/>
    <w:rsid w:val="2AF63392"/>
    <w:rsid w:val="2BA67492"/>
    <w:rsid w:val="2C66791C"/>
    <w:rsid w:val="2D221D01"/>
    <w:rsid w:val="2D676A80"/>
    <w:rsid w:val="2D773818"/>
    <w:rsid w:val="2D7A3266"/>
    <w:rsid w:val="2E01716D"/>
    <w:rsid w:val="2F5F2B72"/>
    <w:rsid w:val="312513B2"/>
    <w:rsid w:val="31B042BF"/>
    <w:rsid w:val="31F12401"/>
    <w:rsid w:val="31FF5F72"/>
    <w:rsid w:val="32035D60"/>
    <w:rsid w:val="326E6953"/>
    <w:rsid w:val="33523A32"/>
    <w:rsid w:val="33F00D0E"/>
    <w:rsid w:val="34D21265"/>
    <w:rsid w:val="36D23A94"/>
    <w:rsid w:val="37142E18"/>
    <w:rsid w:val="376940D0"/>
    <w:rsid w:val="38204506"/>
    <w:rsid w:val="39321D68"/>
    <w:rsid w:val="3A1A4D37"/>
    <w:rsid w:val="3B3A7CAA"/>
    <w:rsid w:val="3BAE6CD9"/>
    <w:rsid w:val="3BF44B1A"/>
    <w:rsid w:val="3C3000ED"/>
    <w:rsid w:val="3C30439E"/>
    <w:rsid w:val="3D232399"/>
    <w:rsid w:val="3D2E2D19"/>
    <w:rsid w:val="3D31181A"/>
    <w:rsid w:val="3DC87CB2"/>
    <w:rsid w:val="3F1749BD"/>
    <w:rsid w:val="3F4F365B"/>
    <w:rsid w:val="3F9A5B70"/>
    <w:rsid w:val="41093759"/>
    <w:rsid w:val="41380196"/>
    <w:rsid w:val="41415EFF"/>
    <w:rsid w:val="415033B6"/>
    <w:rsid w:val="41D026B4"/>
    <w:rsid w:val="43747266"/>
    <w:rsid w:val="452567EA"/>
    <w:rsid w:val="45EF5938"/>
    <w:rsid w:val="46886BA6"/>
    <w:rsid w:val="48524AAD"/>
    <w:rsid w:val="490552AA"/>
    <w:rsid w:val="4B4C3859"/>
    <w:rsid w:val="4B7A4CDC"/>
    <w:rsid w:val="4FFA680C"/>
    <w:rsid w:val="50981A4B"/>
    <w:rsid w:val="52390069"/>
    <w:rsid w:val="528D1696"/>
    <w:rsid w:val="5297524A"/>
    <w:rsid w:val="52C65479"/>
    <w:rsid w:val="52CB2821"/>
    <w:rsid w:val="542F765C"/>
    <w:rsid w:val="54914939"/>
    <w:rsid w:val="54EB5EC1"/>
    <w:rsid w:val="554D13F6"/>
    <w:rsid w:val="57580486"/>
    <w:rsid w:val="57835872"/>
    <w:rsid w:val="59DA41E0"/>
    <w:rsid w:val="5A2424B3"/>
    <w:rsid w:val="5A3906A0"/>
    <w:rsid w:val="5A9919E3"/>
    <w:rsid w:val="5B2A7B0A"/>
    <w:rsid w:val="5B417B6B"/>
    <w:rsid w:val="5B54373E"/>
    <w:rsid w:val="5BC745F2"/>
    <w:rsid w:val="5CA161B2"/>
    <w:rsid w:val="5EE21916"/>
    <w:rsid w:val="5F4417E0"/>
    <w:rsid w:val="5F88669E"/>
    <w:rsid w:val="61B05B1D"/>
    <w:rsid w:val="622F04A1"/>
    <w:rsid w:val="62707B3A"/>
    <w:rsid w:val="645C0879"/>
    <w:rsid w:val="64741C1C"/>
    <w:rsid w:val="648C064A"/>
    <w:rsid w:val="64F810E3"/>
    <w:rsid w:val="656B3097"/>
    <w:rsid w:val="66AB4942"/>
    <w:rsid w:val="687951D6"/>
    <w:rsid w:val="68AB69AF"/>
    <w:rsid w:val="68D653C8"/>
    <w:rsid w:val="68D85250"/>
    <w:rsid w:val="698D4180"/>
    <w:rsid w:val="6BDD77EF"/>
    <w:rsid w:val="6D1F0B58"/>
    <w:rsid w:val="6D3654A5"/>
    <w:rsid w:val="6E4F6CB9"/>
    <w:rsid w:val="6EB24C26"/>
    <w:rsid w:val="6F4126F9"/>
    <w:rsid w:val="6FB8227E"/>
    <w:rsid w:val="73014445"/>
    <w:rsid w:val="730168F4"/>
    <w:rsid w:val="74170E85"/>
    <w:rsid w:val="75DC35E9"/>
    <w:rsid w:val="760D3B3A"/>
    <w:rsid w:val="776808B4"/>
    <w:rsid w:val="77FA11D3"/>
    <w:rsid w:val="789E6834"/>
    <w:rsid w:val="79DD67E6"/>
    <w:rsid w:val="7BCF79D9"/>
    <w:rsid w:val="7BDD493C"/>
    <w:rsid w:val="7C1A4C7A"/>
    <w:rsid w:val="7C444892"/>
    <w:rsid w:val="7CAE7448"/>
    <w:rsid w:val="7DF36BF7"/>
    <w:rsid w:val="7E543E84"/>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rPr>
  </w:style>
  <w:style w:type="paragraph" w:styleId="6">
    <w:name w:val="Document Map"/>
    <w:basedOn w:val="1"/>
    <w:link w:val="54"/>
    <w:qFormat/>
    <w:uiPriority w:val="0"/>
    <w:rPr>
      <w:rFonts w:ascii="宋体"/>
      <w:sz w:val="18"/>
      <w:szCs w:val="18"/>
    </w:rPr>
  </w:style>
  <w:style w:type="paragraph" w:styleId="7">
    <w:name w:val="annotation text"/>
    <w:basedOn w:val="1"/>
    <w:link w:val="53"/>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0"/>
    <w:link w:val="51"/>
    <w:qFormat/>
    <w:uiPriority w:val="99"/>
    <w:pPr>
      <w:spacing w:after="120"/>
    </w:pPr>
  </w:style>
  <w:style w:type="paragraph" w:customStyle="1" w:styleId="10">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1">
    <w:name w:val="Body Text Indent"/>
    <w:basedOn w:val="1"/>
    <w:next w:val="12"/>
    <w:qFormat/>
    <w:uiPriority w:val="0"/>
    <w:pPr>
      <w:ind w:firstLine="632" w:firstLineChars="200"/>
    </w:pPr>
    <w:rPr>
      <w:rFonts w:ascii="仿宋_GB2312" w:hAnsi="华文楷体" w:eastAsia="仿宋_GB2312"/>
      <w:sz w:val="32"/>
    </w:rPr>
  </w:style>
  <w:style w:type="paragraph" w:styleId="12">
    <w:name w:val="envelope return"/>
    <w:basedOn w:val="1"/>
    <w:qFormat/>
    <w:uiPriority w:val="99"/>
    <w:pPr>
      <w:snapToGrid w:val="0"/>
    </w:pPr>
    <w:rPr>
      <w:rFonts w:ascii="Arial" w:hAnsi="Arial"/>
    </w:rPr>
  </w:style>
  <w:style w:type="paragraph" w:styleId="13">
    <w:name w:val="List 2"/>
    <w:basedOn w:val="1"/>
    <w:qFormat/>
    <w:uiPriority w:val="0"/>
    <w:pPr>
      <w:ind w:left="400" w:leftChars="200" w:hanging="200" w:hangingChars="200"/>
    </w:pPr>
  </w:style>
  <w:style w:type="paragraph" w:styleId="14">
    <w:name w:val="Plain Text"/>
    <w:basedOn w:val="1"/>
    <w:link w:val="59"/>
    <w:qFormat/>
    <w:uiPriority w:val="99"/>
    <w:rPr>
      <w:rFonts w:ascii="宋体" w:hAnsi="Courier New"/>
      <w:szCs w:val="20"/>
    </w:rPr>
  </w:style>
  <w:style w:type="paragraph" w:styleId="15">
    <w:name w:val="Date"/>
    <w:basedOn w:val="1"/>
    <w:next w:val="1"/>
    <w:link w:val="55"/>
    <w:qFormat/>
    <w:uiPriority w:val="0"/>
    <w:pPr>
      <w:ind w:left="100" w:leftChars="2500"/>
    </w:pPr>
  </w:style>
  <w:style w:type="paragraph" w:styleId="16">
    <w:name w:val="Body Text Indent 2"/>
    <w:basedOn w:val="1"/>
    <w:qFormat/>
    <w:uiPriority w:val="0"/>
    <w:pPr>
      <w:spacing w:after="120" w:line="480" w:lineRule="auto"/>
      <w:ind w:left="420" w:leftChars="200"/>
    </w:pPr>
  </w:style>
  <w:style w:type="paragraph" w:styleId="17">
    <w:name w:val="Balloon Text"/>
    <w:basedOn w:val="1"/>
    <w:qFormat/>
    <w:uiPriority w:val="0"/>
    <w:rPr>
      <w:sz w:val="18"/>
      <w:szCs w:val="18"/>
    </w:rPr>
  </w:style>
  <w:style w:type="paragraph" w:styleId="18">
    <w:name w:val="footer"/>
    <w:basedOn w:val="1"/>
    <w:link w:val="76"/>
    <w:qFormat/>
    <w:uiPriority w:val="99"/>
    <w:pPr>
      <w:tabs>
        <w:tab w:val="center" w:pos="4153"/>
        <w:tab w:val="right" w:pos="8306"/>
      </w:tabs>
      <w:snapToGrid w:val="0"/>
      <w:jc w:val="left"/>
    </w:pPr>
    <w:rPr>
      <w:sz w:val="18"/>
      <w:szCs w:val="18"/>
    </w:rPr>
  </w:style>
  <w:style w:type="paragraph" w:styleId="1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caps/>
    </w:rPr>
  </w:style>
  <w:style w:type="paragraph" w:styleId="21">
    <w:name w:val="footnote text"/>
    <w:basedOn w:val="1"/>
    <w:qFormat/>
    <w:uiPriority w:val="99"/>
    <w:pPr>
      <w:snapToGrid w:val="0"/>
      <w:jc w:val="left"/>
    </w:pPr>
    <w:rPr>
      <w:sz w:val="18"/>
      <w:szCs w:val="18"/>
    </w:rPr>
  </w:style>
  <w:style w:type="paragraph" w:styleId="22">
    <w:name w:val="Body Text 2"/>
    <w:basedOn w:val="1"/>
    <w:link w:val="73"/>
    <w:qFormat/>
    <w:uiPriority w:val="0"/>
    <w:pPr>
      <w:spacing w:after="120" w:line="480" w:lineRule="auto"/>
    </w:pPr>
  </w:style>
  <w:style w:type="paragraph" w:styleId="23">
    <w:name w:val="Message Header"/>
    <w:basedOn w:val="1"/>
    <w:qFormat/>
    <w:uiPriority w:val="0"/>
    <w:pPr>
      <w:widowControl/>
      <w:shd w:val="pct20" w:color="000000" w:fill="auto"/>
      <w:ind w:left="1080" w:hanging="1080"/>
    </w:pPr>
    <w:rPr>
      <w:rFonts w:ascii="Cambria" w:hAnsi="Cambria" w:eastAsia="Cambria"/>
      <w:sz w:val="24"/>
    </w:rPr>
  </w:style>
  <w:style w:type="paragraph" w:styleId="24">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5">
    <w:name w:val="Body Text First Indent"/>
    <w:basedOn w:val="9"/>
    <w:link w:val="50"/>
    <w:qFormat/>
    <w:uiPriority w:val="0"/>
    <w:pPr>
      <w:ind w:firstLine="420" w:firstLineChars="100"/>
    </w:pPr>
  </w:style>
  <w:style w:type="paragraph" w:styleId="26">
    <w:name w:val="Body Text First Indent 2"/>
    <w:basedOn w:val="11"/>
    <w:qFormat/>
    <w:uiPriority w:val="99"/>
    <w:pPr>
      <w:tabs>
        <w:tab w:val="left" w:pos="0"/>
        <w:tab w:val="left" w:pos="993"/>
        <w:tab w:val="left" w:pos="1134"/>
      </w:tabs>
      <w:ind w:firstLine="420"/>
    </w:pPr>
  </w:style>
  <w:style w:type="table" w:styleId="28">
    <w:name w:val="Table Grid"/>
    <w:basedOn w:val="2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basedOn w:val="29"/>
    <w:qFormat/>
    <w:uiPriority w:val="0"/>
  </w:style>
  <w:style w:type="character" w:styleId="32">
    <w:name w:val="FollowedHyperlink"/>
    <w:basedOn w:val="29"/>
    <w:qFormat/>
    <w:uiPriority w:val="0"/>
    <w:rPr>
      <w:color w:val="000000"/>
      <w:u w:val="none"/>
    </w:rPr>
  </w:style>
  <w:style w:type="character" w:styleId="33">
    <w:name w:val="HTML Definition"/>
    <w:basedOn w:val="29"/>
    <w:qFormat/>
    <w:uiPriority w:val="0"/>
  </w:style>
  <w:style w:type="character" w:styleId="34">
    <w:name w:val="HTML Typewriter"/>
    <w:basedOn w:val="29"/>
    <w:qFormat/>
    <w:uiPriority w:val="0"/>
    <w:rPr>
      <w:rFonts w:hint="default" w:ascii="monospace" w:hAnsi="monospace" w:eastAsia="monospace" w:cs="monospace"/>
      <w:sz w:val="20"/>
    </w:rPr>
  </w:style>
  <w:style w:type="character" w:styleId="35">
    <w:name w:val="HTML Acronym"/>
    <w:basedOn w:val="29"/>
    <w:qFormat/>
    <w:uiPriority w:val="0"/>
  </w:style>
  <w:style w:type="character" w:styleId="36">
    <w:name w:val="HTML Variable"/>
    <w:basedOn w:val="29"/>
    <w:qFormat/>
    <w:uiPriority w:val="0"/>
  </w:style>
  <w:style w:type="character" w:styleId="37">
    <w:name w:val="Hyperlink"/>
    <w:qFormat/>
    <w:uiPriority w:val="0"/>
    <w:rPr>
      <w:color w:val="333333"/>
      <w:u w:val="none"/>
    </w:rPr>
  </w:style>
  <w:style w:type="character" w:styleId="38">
    <w:name w:val="HTML Code"/>
    <w:basedOn w:val="29"/>
    <w:qFormat/>
    <w:uiPriority w:val="0"/>
    <w:rPr>
      <w:rFonts w:hint="default" w:ascii="monospace" w:hAnsi="monospace" w:eastAsia="monospace" w:cs="monospace"/>
      <w:sz w:val="20"/>
    </w:rPr>
  </w:style>
  <w:style w:type="character" w:styleId="39">
    <w:name w:val="annotation reference"/>
    <w:qFormat/>
    <w:uiPriority w:val="99"/>
    <w:rPr>
      <w:sz w:val="21"/>
    </w:rPr>
  </w:style>
  <w:style w:type="character" w:styleId="40">
    <w:name w:val="HTML Cite"/>
    <w:basedOn w:val="29"/>
    <w:qFormat/>
    <w:uiPriority w:val="0"/>
  </w:style>
  <w:style w:type="character" w:styleId="41">
    <w:name w:val="HTML Keyboard"/>
    <w:basedOn w:val="29"/>
    <w:qFormat/>
    <w:uiPriority w:val="0"/>
    <w:rPr>
      <w:rFonts w:ascii="monospace" w:hAnsi="monospace" w:eastAsia="monospace" w:cs="monospace"/>
      <w:sz w:val="20"/>
    </w:rPr>
  </w:style>
  <w:style w:type="character" w:styleId="42">
    <w:name w:val="HTML Sample"/>
    <w:basedOn w:val="29"/>
    <w:qFormat/>
    <w:uiPriority w:val="0"/>
    <w:rPr>
      <w:rFonts w:hint="default" w:ascii="monospace" w:hAnsi="monospace" w:eastAsia="monospace" w:cs="monospace"/>
    </w:rPr>
  </w:style>
  <w:style w:type="paragraph" w:customStyle="1" w:styleId="43">
    <w:name w:val="BodyText1I"/>
    <w:basedOn w:val="44"/>
    <w:qFormat/>
    <w:uiPriority w:val="99"/>
    <w:pPr>
      <w:ind w:firstLine="420" w:firstLineChars="100"/>
    </w:pPr>
  </w:style>
  <w:style w:type="paragraph" w:customStyle="1" w:styleId="44">
    <w:name w:val="BodyText"/>
    <w:basedOn w:val="1"/>
    <w:qFormat/>
    <w:uiPriority w:val="99"/>
    <w:pPr>
      <w:spacing w:after="120"/>
    </w:pPr>
  </w:style>
  <w:style w:type="paragraph" w:customStyle="1" w:styleId="45">
    <w:name w:val="无间隔1"/>
    <w:next w:val="5"/>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标题 3 Char"/>
    <w:link w:val="4"/>
    <w:semiHidden/>
    <w:qFormat/>
    <w:uiPriority w:val="0"/>
    <w:rPr>
      <w:b/>
      <w:bCs/>
      <w:kern w:val="2"/>
      <w:sz w:val="32"/>
      <w:szCs w:val="32"/>
    </w:rPr>
  </w:style>
  <w:style w:type="character" w:customStyle="1" w:styleId="47">
    <w:name w:val="font231"/>
    <w:qFormat/>
    <w:uiPriority w:val="0"/>
    <w:rPr>
      <w:rFonts w:hint="eastAsia" w:ascii="宋体" w:hAnsi="宋体" w:eastAsia="宋体" w:cs="宋体"/>
      <w:color w:val="000000"/>
      <w:sz w:val="22"/>
      <w:szCs w:val="22"/>
      <w:u w:val="none"/>
    </w:rPr>
  </w:style>
  <w:style w:type="character" w:customStyle="1" w:styleId="48">
    <w:name w:val="font11"/>
    <w:qFormat/>
    <w:uiPriority w:val="0"/>
    <w:rPr>
      <w:rFonts w:hint="default" w:ascii="Times New Roman" w:hAnsi="Times New Roman" w:cs="Times New Roman"/>
      <w:color w:val="000000"/>
      <w:sz w:val="18"/>
      <w:szCs w:val="18"/>
      <w:u w:val="none"/>
    </w:rPr>
  </w:style>
  <w:style w:type="character" w:customStyle="1" w:styleId="49">
    <w:name w:val="font191"/>
    <w:qFormat/>
    <w:uiPriority w:val="0"/>
    <w:rPr>
      <w:rFonts w:hint="default" w:ascii="Calibri" w:hAnsi="Calibri" w:cs="Calibri"/>
      <w:color w:val="000000"/>
      <w:sz w:val="22"/>
      <w:szCs w:val="22"/>
      <w:u w:val="none"/>
    </w:rPr>
  </w:style>
  <w:style w:type="character" w:customStyle="1" w:styleId="50">
    <w:name w:val="正文首行缩进 Char"/>
    <w:link w:val="25"/>
    <w:qFormat/>
    <w:uiPriority w:val="0"/>
    <w:rPr>
      <w:kern w:val="2"/>
      <w:sz w:val="21"/>
      <w:szCs w:val="24"/>
    </w:rPr>
  </w:style>
  <w:style w:type="character" w:customStyle="1" w:styleId="51">
    <w:name w:val="正文文本 Char"/>
    <w:link w:val="9"/>
    <w:qFormat/>
    <w:uiPriority w:val="99"/>
    <w:rPr>
      <w:kern w:val="2"/>
      <w:sz w:val="21"/>
      <w:szCs w:val="24"/>
    </w:rPr>
  </w:style>
  <w:style w:type="character" w:customStyle="1" w:styleId="52">
    <w:name w:val="font151"/>
    <w:qFormat/>
    <w:uiPriority w:val="0"/>
    <w:rPr>
      <w:rFonts w:hint="default" w:ascii="Calibri" w:hAnsi="Calibri" w:cs="Calibri"/>
      <w:color w:val="000000"/>
      <w:sz w:val="22"/>
      <w:szCs w:val="22"/>
      <w:u w:val="none"/>
    </w:rPr>
  </w:style>
  <w:style w:type="character" w:customStyle="1" w:styleId="53">
    <w:name w:val="批注文字 Char"/>
    <w:link w:val="7"/>
    <w:qFormat/>
    <w:uiPriority w:val="0"/>
    <w:rPr>
      <w:kern w:val="2"/>
      <w:sz w:val="21"/>
      <w:szCs w:val="24"/>
    </w:rPr>
  </w:style>
  <w:style w:type="character" w:customStyle="1" w:styleId="54">
    <w:name w:val="文档结构图 Char"/>
    <w:link w:val="6"/>
    <w:qFormat/>
    <w:uiPriority w:val="0"/>
    <w:rPr>
      <w:rFonts w:ascii="宋体"/>
      <w:kern w:val="2"/>
      <w:sz w:val="18"/>
      <w:szCs w:val="18"/>
    </w:rPr>
  </w:style>
  <w:style w:type="character" w:customStyle="1" w:styleId="55">
    <w:name w:val="日期 Char"/>
    <w:link w:val="15"/>
    <w:qFormat/>
    <w:uiPriority w:val="0"/>
    <w:rPr>
      <w:kern w:val="2"/>
      <w:sz w:val="21"/>
      <w:szCs w:val="24"/>
    </w:rPr>
  </w:style>
  <w:style w:type="character" w:customStyle="1" w:styleId="56">
    <w:name w:val="font221"/>
    <w:qFormat/>
    <w:uiPriority w:val="0"/>
    <w:rPr>
      <w:rFonts w:hint="eastAsia" w:ascii="宋体" w:hAnsi="宋体" w:eastAsia="宋体" w:cs="宋体"/>
      <w:color w:val="000000"/>
      <w:sz w:val="20"/>
      <w:szCs w:val="20"/>
      <w:u w:val="none"/>
    </w:rPr>
  </w:style>
  <w:style w:type="character" w:customStyle="1" w:styleId="57">
    <w:name w:val="font61"/>
    <w:qFormat/>
    <w:uiPriority w:val="0"/>
    <w:rPr>
      <w:rFonts w:hint="eastAsia" w:ascii="宋体" w:hAnsi="宋体" w:eastAsia="宋体" w:cs="宋体"/>
      <w:color w:val="FF0000"/>
      <w:sz w:val="22"/>
      <w:szCs w:val="22"/>
      <w:u w:val="none"/>
    </w:rPr>
  </w:style>
  <w:style w:type="character" w:customStyle="1" w:styleId="58">
    <w:name w:val="font31"/>
    <w:qFormat/>
    <w:uiPriority w:val="0"/>
    <w:rPr>
      <w:rFonts w:hint="eastAsia" w:ascii="宋体" w:hAnsi="宋体" w:eastAsia="宋体" w:cs="宋体"/>
      <w:color w:val="000000"/>
      <w:sz w:val="18"/>
      <w:szCs w:val="18"/>
      <w:u w:val="none"/>
    </w:rPr>
  </w:style>
  <w:style w:type="character" w:customStyle="1" w:styleId="59">
    <w:name w:val="纯文本 Char"/>
    <w:link w:val="14"/>
    <w:qFormat/>
    <w:uiPriority w:val="99"/>
    <w:rPr>
      <w:rFonts w:ascii="宋体" w:hAnsi="Courier New"/>
      <w:kern w:val="2"/>
      <w:sz w:val="21"/>
    </w:rPr>
  </w:style>
  <w:style w:type="character" w:customStyle="1" w:styleId="60">
    <w:name w:val="访问过的超链接1"/>
    <w:qFormat/>
    <w:uiPriority w:val="0"/>
    <w:rPr>
      <w:color w:val="333333"/>
      <w:u w:val="non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21"/>
    <w:qFormat/>
    <w:uiPriority w:val="0"/>
    <w:rPr>
      <w:rFonts w:hint="default" w:ascii="Times New Roman" w:hAnsi="Times New Roman" w:cs="Times New Roman"/>
      <w:color w:val="000000"/>
      <w:sz w:val="18"/>
      <w:szCs w:val="18"/>
      <w:u w:val="none"/>
    </w:rPr>
  </w:style>
  <w:style w:type="paragraph" w:customStyle="1" w:styleId="63">
    <w:name w:val="p0"/>
    <w:basedOn w:val="1"/>
    <w:qFormat/>
    <w:uiPriority w:val="0"/>
    <w:pPr>
      <w:widowControl/>
    </w:pPr>
    <w:rPr>
      <w:rFonts w:ascii="Calibri" w:hAnsi="Calibri" w:cs="宋体"/>
      <w:kern w:val="0"/>
      <w:szCs w:val="21"/>
    </w:rPr>
  </w:style>
  <w:style w:type="paragraph" w:customStyle="1" w:styleId="64">
    <w:name w:val="List Paragraph1"/>
    <w:basedOn w:val="1"/>
    <w:qFormat/>
    <w:uiPriority w:val="0"/>
    <w:pPr>
      <w:ind w:firstLine="420" w:firstLineChars="200"/>
    </w:pPr>
  </w:style>
  <w:style w:type="paragraph" w:customStyle="1" w:styleId="65">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66">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 Char Char Char Char Char Char1 Char"/>
    <w:basedOn w:val="1"/>
    <w:qFormat/>
    <w:uiPriority w:val="0"/>
    <w:rPr>
      <w:rFonts w:ascii="Tahoma" w:hAnsi="Tahoma"/>
      <w:sz w:val="24"/>
      <w:szCs w:val="20"/>
    </w:rPr>
  </w:style>
  <w:style w:type="paragraph" w:styleId="69">
    <w:name w:val="List Paragraph"/>
    <w:basedOn w:val="1"/>
    <w:qFormat/>
    <w:uiPriority w:val="34"/>
    <w:pPr>
      <w:ind w:firstLine="420" w:firstLineChars="200"/>
    </w:pPr>
  </w:style>
  <w:style w:type="paragraph" w:customStyle="1" w:styleId="70">
    <w:name w:val="Char Char Char1 Char"/>
    <w:basedOn w:val="1"/>
    <w:qFormat/>
    <w:uiPriority w:val="0"/>
    <w:pPr>
      <w:spacing w:line="360" w:lineRule="auto"/>
      <w:ind w:firstLine="200" w:firstLineChars="200"/>
    </w:pPr>
    <w:rPr>
      <w:rFonts w:ascii="宋体" w:hAnsi="宋体" w:cs="宋体"/>
      <w:sz w:val="24"/>
    </w:rPr>
  </w:style>
  <w:style w:type="paragraph" w:customStyle="1" w:styleId="71">
    <w:name w:val="默认段落字体 Para Char Char Char Char Char Char Char Char Char Char"/>
    <w:basedOn w:val="1"/>
    <w:qFormat/>
    <w:uiPriority w:val="0"/>
    <w:pPr>
      <w:tabs>
        <w:tab w:val="right" w:pos="-2120"/>
      </w:tabs>
      <w:snapToGrid w:val="0"/>
    </w:pPr>
  </w:style>
  <w:style w:type="character" w:customStyle="1" w:styleId="72">
    <w:name w:val="generalinfo-address-text"/>
    <w:basedOn w:val="29"/>
    <w:qFormat/>
    <w:uiPriority w:val="0"/>
  </w:style>
  <w:style w:type="character" w:customStyle="1" w:styleId="73">
    <w:name w:val="正文文本 2 Char"/>
    <w:link w:val="22"/>
    <w:qFormat/>
    <w:uiPriority w:val="0"/>
    <w:rPr>
      <w:kern w:val="2"/>
      <w:sz w:val="21"/>
      <w:szCs w:val="24"/>
    </w:rPr>
  </w:style>
  <w:style w:type="character" w:customStyle="1" w:styleId="74">
    <w:name w:val="NormalCharacter"/>
    <w:qFormat/>
    <w:uiPriority w:val="0"/>
  </w:style>
  <w:style w:type="character" w:customStyle="1" w:styleId="75">
    <w:name w:val="页眉 Char"/>
    <w:link w:val="19"/>
    <w:qFormat/>
    <w:uiPriority w:val="99"/>
    <w:rPr>
      <w:kern w:val="2"/>
      <w:sz w:val="18"/>
      <w:szCs w:val="18"/>
    </w:rPr>
  </w:style>
  <w:style w:type="character" w:customStyle="1" w:styleId="76">
    <w:name w:val="页脚 Char"/>
    <w:link w:val="18"/>
    <w:qFormat/>
    <w:uiPriority w:val="99"/>
    <w:rPr>
      <w:kern w:val="2"/>
      <w:sz w:val="18"/>
      <w:szCs w:val="18"/>
    </w:rPr>
  </w:style>
  <w:style w:type="paragraph" w:customStyle="1" w:styleId="77">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8">
    <w:name w:val="contentlabel"/>
    <w:qFormat/>
    <w:uiPriority w:val="0"/>
  </w:style>
  <w:style w:type="paragraph" w:customStyle="1" w:styleId="79">
    <w:name w:val="Body Text First Indent1"/>
    <w:basedOn w:val="9"/>
    <w:qFormat/>
    <w:uiPriority w:val="0"/>
    <w:pPr>
      <w:autoSpaceDE w:val="0"/>
      <w:autoSpaceDN w:val="0"/>
      <w:ind w:firstLine="420" w:firstLineChars="100"/>
      <w:jc w:val="left"/>
    </w:pPr>
    <w:rPr>
      <w:rFonts w:ascii="宋体" w:hAnsi="等线" w:eastAsia="等线" w:cs="宋体"/>
      <w:kern w:val="0"/>
      <w:lang w:val="zh-CN"/>
    </w:rPr>
  </w:style>
  <w:style w:type="paragraph" w:customStyle="1" w:styleId="80">
    <w:name w:val="D&amp;L"/>
    <w:basedOn w:val="19"/>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81">
    <w:name w:val="icon_gys"/>
    <w:basedOn w:val="29"/>
    <w:qFormat/>
    <w:uiPriority w:val="0"/>
    <w:rPr>
      <w:sz w:val="21"/>
      <w:szCs w:val="21"/>
    </w:rPr>
  </w:style>
  <w:style w:type="character" w:customStyle="1" w:styleId="82">
    <w:name w:val="first-child"/>
    <w:basedOn w:val="29"/>
    <w:qFormat/>
    <w:uiPriority w:val="0"/>
    <w:rPr>
      <w:color w:val="1F3149"/>
      <w:sz w:val="24"/>
      <w:szCs w:val="24"/>
    </w:rPr>
  </w:style>
  <w:style w:type="character" w:customStyle="1" w:styleId="83">
    <w:name w:val="first-child1"/>
    <w:basedOn w:val="29"/>
    <w:qFormat/>
    <w:uiPriority w:val="0"/>
    <w:rPr>
      <w:color w:val="1F3149"/>
      <w:sz w:val="24"/>
      <w:szCs w:val="24"/>
    </w:rPr>
  </w:style>
  <w:style w:type="character" w:customStyle="1" w:styleId="84">
    <w:name w:val="xiadan"/>
    <w:basedOn w:val="29"/>
    <w:qFormat/>
    <w:uiPriority w:val="0"/>
    <w:rPr>
      <w:shd w:val="clear" w:color="auto" w:fill="E4393C"/>
    </w:rPr>
  </w:style>
  <w:style w:type="character" w:customStyle="1" w:styleId="85">
    <w:name w:val="fr"/>
    <w:basedOn w:val="29"/>
    <w:qFormat/>
    <w:uiPriority w:val="0"/>
  </w:style>
  <w:style w:type="character" w:customStyle="1" w:styleId="86">
    <w:name w:val="icon_ds"/>
    <w:basedOn w:val="29"/>
    <w:qFormat/>
    <w:uiPriority w:val="0"/>
  </w:style>
  <w:style w:type="paragraph" w:customStyle="1" w:styleId="87">
    <w:name w:val="正文1"/>
    <w:basedOn w:val="1"/>
    <w:qFormat/>
    <w:uiPriority w:val="0"/>
    <w:pPr>
      <w:widowControl/>
      <w:topLinePunct/>
      <w:spacing w:beforeLines="50" w:afterLines="50" w:line="300" w:lineRule="auto"/>
      <w:ind w:left="420"/>
    </w:pPr>
  </w:style>
  <w:style w:type="character" w:customStyle="1" w:styleId="88">
    <w:name w:val="nth-child(3)"/>
    <w:basedOn w:val="29"/>
    <w:qFormat/>
    <w:uiPriority w:val="0"/>
  </w:style>
  <w:style w:type="character" w:customStyle="1" w:styleId="89">
    <w:name w:val="nth-child(2)"/>
    <w:basedOn w:val="29"/>
    <w:qFormat/>
    <w:uiPriority w:val="0"/>
  </w:style>
  <w:style w:type="character" w:customStyle="1" w:styleId="90">
    <w:name w:val="nth-child(2)1"/>
    <w:basedOn w:val="2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47</Pages>
  <Words>18768</Words>
  <Characters>19687</Characters>
  <Lines>123</Lines>
  <Paragraphs>34</Paragraphs>
  <TotalTime>5</TotalTime>
  <ScaleCrop>false</ScaleCrop>
  <LinksUpToDate>false</LinksUpToDate>
  <CharactersWithSpaces>20475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王园园</cp:lastModifiedBy>
  <cp:lastPrinted>2020-11-18T03:21:00Z</cp:lastPrinted>
  <dcterms:modified xsi:type="dcterms:W3CDTF">2025-07-14T08:16:53Z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3F3AEF60031F459BB45F1EB8C7A16E06</vt:lpwstr>
  </property>
  <property fmtid="{D5CDD505-2E9C-101B-9397-08002B2CF9AE}" pid="4" name="KSOTemplateDocerSaveRecord">
    <vt:lpwstr>eyJoZGlkIjoiYzQ0NTY5NWM5NDAxMmUwZmJmM2QyOGM1OGJlNmJiM2MiLCJ1c2VySWQiOiI0OTk5NTUxNDkifQ==</vt:lpwstr>
  </property>
</Properties>
</file>