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666E0">
      <w:pPr>
        <w:rPr>
          <w:rFonts w:hint="eastAsia" w:ascii="宋体" w:hAnsi="宋体" w:eastAsia="宋体" w:cs="宋体"/>
          <w:spacing w:val="-1"/>
          <w:w w:val="95"/>
          <w:highlight w:val="none"/>
        </w:rPr>
      </w:pPr>
    </w:p>
    <w:p w14:paraId="5CC06646">
      <w:pPr>
        <w:pStyle w:val="2"/>
        <w:spacing w:line="487" w:lineRule="auto"/>
        <w:ind w:right="987"/>
        <w:rPr>
          <w:rFonts w:hint="eastAsia" w:ascii="宋体" w:hAnsi="宋体" w:eastAsia="宋体" w:cs="宋体"/>
          <w:spacing w:val="-1"/>
          <w:w w:val="95"/>
          <w:highlight w:val="none"/>
        </w:rPr>
      </w:pPr>
      <w:r>
        <w:rPr>
          <w:rFonts w:hint="eastAsia" w:ascii="宋体" w:hAnsi="宋体" w:eastAsia="宋体" w:cs="宋体"/>
          <w:spacing w:val="-1"/>
          <w:w w:val="95"/>
          <w:highlight w:val="none"/>
        </w:rPr>
        <w:t>周口市公共资源交易中心政府采购中心</w:t>
      </w:r>
    </w:p>
    <w:p w14:paraId="2B2ABE2D">
      <w:pPr>
        <w:pStyle w:val="2"/>
        <w:spacing w:line="487" w:lineRule="auto"/>
        <w:ind w:right="987"/>
        <w:rPr>
          <w:rFonts w:hint="eastAsia" w:ascii="宋体" w:hAnsi="宋体" w:eastAsia="宋体" w:cs="宋体"/>
          <w:spacing w:val="-1"/>
          <w:w w:val="95"/>
          <w:highlight w:val="none"/>
        </w:rPr>
      </w:pPr>
    </w:p>
    <w:p w14:paraId="0F0FBBCA">
      <w:pPr>
        <w:rPr>
          <w:rFonts w:hint="eastAsia" w:ascii="宋体" w:hAnsi="宋体" w:eastAsia="宋体" w:cs="宋体"/>
          <w:spacing w:val="-1"/>
          <w:w w:val="95"/>
          <w:highlight w:val="none"/>
        </w:rPr>
      </w:pPr>
    </w:p>
    <w:p w14:paraId="34F21600">
      <w:pPr>
        <w:pStyle w:val="6"/>
        <w:rPr>
          <w:rFonts w:hint="eastAsia" w:ascii="宋体" w:hAnsi="宋体" w:eastAsia="宋体" w:cs="宋体"/>
          <w:highlight w:val="none"/>
        </w:rPr>
      </w:pPr>
    </w:p>
    <w:p w14:paraId="1F63AC4F">
      <w:pPr>
        <w:pStyle w:val="2"/>
        <w:spacing w:line="487" w:lineRule="auto"/>
        <w:ind w:right="987"/>
        <w:rPr>
          <w:rFonts w:hint="eastAsia" w:ascii="宋体" w:hAnsi="宋体" w:eastAsia="宋体" w:cs="宋体"/>
          <w:spacing w:val="-1"/>
          <w:w w:val="95"/>
          <w:highlight w:val="none"/>
        </w:rPr>
      </w:pPr>
    </w:p>
    <w:p w14:paraId="4C0E3B61">
      <w:pPr>
        <w:pStyle w:val="2"/>
        <w:spacing w:line="487" w:lineRule="auto"/>
        <w:ind w:right="987"/>
        <w:rPr>
          <w:rFonts w:hint="eastAsia" w:ascii="宋体" w:hAnsi="宋体" w:eastAsia="宋体" w:cs="宋体"/>
          <w:highlight w:val="none"/>
        </w:rPr>
      </w:pPr>
      <w:r>
        <w:rPr>
          <w:rFonts w:hint="eastAsia" w:ascii="宋体" w:hAnsi="宋体" w:eastAsia="宋体" w:cs="宋体"/>
          <w:highlight w:val="none"/>
        </w:rPr>
        <w:t>竞争性谈判文件</w:t>
      </w:r>
    </w:p>
    <w:p w14:paraId="0C9C677B">
      <w:pPr>
        <w:pStyle w:val="6"/>
        <w:rPr>
          <w:rFonts w:hint="eastAsia" w:ascii="宋体" w:hAnsi="宋体" w:eastAsia="宋体" w:cs="宋体"/>
          <w:b/>
          <w:sz w:val="44"/>
          <w:highlight w:val="none"/>
          <w:lang w:val="en-US"/>
        </w:rPr>
      </w:pPr>
    </w:p>
    <w:p w14:paraId="17C641A1">
      <w:pPr>
        <w:pStyle w:val="6"/>
        <w:rPr>
          <w:rFonts w:hint="eastAsia" w:ascii="宋体" w:hAnsi="宋体" w:eastAsia="宋体" w:cs="宋体"/>
          <w:b/>
          <w:sz w:val="44"/>
          <w:highlight w:val="none"/>
        </w:rPr>
      </w:pPr>
    </w:p>
    <w:p w14:paraId="7289322E">
      <w:pPr>
        <w:pStyle w:val="6"/>
        <w:rPr>
          <w:rFonts w:hint="eastAsia" w:ascii="宋体" w:hAnsi="宋体" w:eastAsia="宋体" w:cs="宋体"/>
          <w:b/>
          <w:sz w:val="44"/>
          <w:highlight w:val="none"/>
        </w:rPr>
      </w:pPr>
    </w:p>
    <w:p w14:paraId="1BEE980E">
      <w:pPr>
        <w:pStyle w:val="6"/>
        <w:rPr>
          <w:rFonts w:hint="eastAsia" w:ascii="宋体" w:hAnsi="宋体" w:eastAsia="宋体" w:cs="宋体"/>
          <w:b/>
          <w:sz w:val="44"/>
          <w:highlight w:val="none"/>
        </w:rPr>
      </w:pPr>
    </w:p>
    <w:p w14:paraId="5DDA0B97">
      <w:pPr>
        <w:rPr>
          <w:rFonts w:hint="eastAsia"/>
          <w:highlight w:val="none"/>
        </w:rPr>
      </w:pPr>
    </w:p>
    <w:p w14:paraId="29873A99">
      <w:pPr>
        <w:rPr>
          <w:rFonts w:hint="eastAsia"/>
          <w:highlight w:val="none"/>
        </w:rPr>
      </w:pPr>
    </w:p>
    <w:p w14:paraId="6F21F10C">
      <w:pPr>
        <w:pStyle w:val="6"/>
        <w:rPr>
          <w:rFonts w:hint="eastAsia" w:ascii="宋体" w:hAnsi="宋体" w:eastAsia="宋体" w:cs="宋体"/>
          <w:b/>
          <w:sz w:val="44"/>
          <w:highlight w:val="none"/>
        </w:rPr>
      </w:pPr>
    </w:p>
    <w:p w14:paraId="510DE255">
      <w:pPr>
        <w:spacing w:before="1"/>
        <w:ind w:left="1600" w:right="987" w:hanging="1600" w:hangingChars="500"/>
        <w:rPr>
          <w:rFonts w:hint="eastAsia" w:ascii="宋体" w:hAnsi="宋体" w:eastAsia="宋体" w:cs="宋体"/>
          <w:sz w:val="32"/>
          <w:highlight w:val="none"/>
          <w:lang w:val="en-US" w:eastAsia="zh-CN"/>
        </w:rPr>
      </w:pPr>
      <w:r>
        <w:rPr>
          <w:rFonts w:hint="eastAsia" w:ascii="宋体" w:hAnsi="宋体" w:eastAsia="宋体" w:cs="宋体"/>
          <w:sz w:val="32"/>
          <w:highlight w:val="none"/>
        </w:rPr>
        <w:t>项目名称：</w:t>
      </w:r>
      <w:r>
        <w:rPr>
          <w:rFonts w:hint="eastAsia" w:cs="宋体"/>
          <w:sz w:val="32"/>
          <w:highlight w:val="none"/>
          <w:lang w:eastAsia="zh-CN"/>
        </w:rPr>
        <w:t>丁村乡政府乡簸箕柳种植项目</w:t>
      </w:r>
    </w:p>
    <w:p w14:paraId="68B341F6">
      <w:pPr>
        <w:spacing w:before="344"/>
        <w:rPr>
          <w:rFonts w:hint="eastAsia" w:ascii="宋体" w:hAnsi="宋体" w:eastAsia="宋体" w:cs="宋体"/>
          <w:b w:val="0"/>
          <w:bCs w:val="0"/>
          <w:color w:val="auto"/>
          <w:sz w:val="32"/>
          <w:highlight w:val="none"/>
          <w:lang w:val="en-US" w:eastAsia="zh-CN"/>
        </w:rPr>
      </w:pPr>
      <w:r>
        <w:rPr>
          <w:rFonts w:hint="eastAsia" w:ascii="宋体" w:hAnsi="宋体" w:eastAsia="宋体" w:cs="宋体"/>
          <w:b w:val="0"/>
          <w:bCs w:val="0"/>
          <w:color w:val="auto"/>
          <w:sz w:val="32"/>
          <w:highlight w:val="none"/>
        </w:rPr>
        <w:t>项目编号：</w:t>
      </w:r>
      <w:r>
        <w:rPr>
          <w:rFonts w:hint="eastAsia" w:cs="宋体"/>
          <w:b w:val="0"/>
          <w:bCs w:val="0"/>
          <w:color w:val="auto"/>
          <w:sz w:val="32"/>
          <w:highlight w:val="none"/>
          <w:lang w:eastAsia="zh-CN"/>
        </w:rPr>
        <w:t>郸财竞谈-2025-75</w:t>
      </w:r>
    </w:p>
    <w:p w14:paraId="75FF91DF">
      <w:pPr>
        <w:spacing w:before="1"/>
        <w:ind w:right="987"/>
        <w:rPr>
          <w:rFonts w:hint="eastAsia" w:ascii="宋体" w:hAnsi="宋体" w:eastAsia="宋体" w:cs="宋体"/>
          <w:sz w:val="32"/>
          <w:highlight w:val="none"/>
        </w:rPr>
      </w:pPr>
    </w:p>
    <w:p w14:paraId="1770E32B">
      <w:pPr>
        <w:rPr>
          <w:rFonts w:hint="eastAsia" w:ascii="宋体" w:hAnsi="宋体" w:eastAsia="宋体" w:cs="宋体"/>
          <w:highlight w:val="none"/>
        </w:rPr>
      </w:pPr>
    </w:p>
    <w:p w14:paraId="79AE5B99">
      <w:pPr>
        <w:ind w:left="592" w:right="987"/>
        <w:jc w:val="center"/>
        <w:rPr>
          <w:rFonts w:hint="eastAsia" w:ascii="宋体" w:hAnsi="宋体" w:eastAsia="宋体" w:cs="宋体"/>
          <w:sz w:val="32"/>
          <w:highlight w:val="none"/>
        </w:rPr>
      </w:pPr>
      <w:r>
        <w:rPr>
          <w:rFonts w:hint="eastAsia" w:ascii="宋体" w:hAnsi="宋体" w:eastAsia="宋体" w:cs="宋体"/>
          <w:sz w:val="32"/>
          <w:highlight w:val="none"/>
          <w:lang w:val="en-US" w:eastAsia="zh-CN"/>
        </w:rPr>
        <w:t>202</w:t>
      </w:r>
      <w:r>
        <w:rPr>
          <w:rFonts w:hint="eastAsia" w:cs="宋体"/>
          <w:sz w:val="32"/>
          <w:highlight w:val="none"/>
          <w:lang w:val="en-US" w:eastAsia="zh-CN"/>
        </w:rPr>
        <w:t>5</w:t>
      </w:r>
      <w:r>
        <w:rPr>
          <w:rFonts w:hint="eastAsia" w:ascii="宋体" w:hAnsi="宋体" w:eastAsia="宋体" w:cs="宋体"/>
          <w:sz w:val="32"/>
          <w:highlight w:val="none"/>
        </w:rPr>
        <w:t>年</w:t>
      </w:r>
      <w:r>
        <w:rPr>
          <w:rFonts w:hint="eastAsia" w:ascii="宋体" w:hAnsi="宋体" w:eastAsia="宋体" w:cs="宋体"/>
          <w:sz w:val="32"/>
          <w:highlight w:val="none"/>
          <w:lang w:val="en-US" w:eastAsia="zh-CN"/>
        </w:rPr>
        <w:t>0</w:t>
      </w:r>
      <w:r>
        <w:rPr>
          <w:rFonts w:hint="eastAsia" w:cs="宋体"/>
          <w:sz w:val="32"/>
          <w:highlight w:val="none"/>
          <w:lang w:val="en-US" w:eastAsia="zh-CN"/>
        </w:rPr>
        <w:t>9</w:t>
      </w:r>
      <w:r>
        <w:rPr>
          <w:rFonts w:hint="eastAsia" w:ascii="宋体" w:hAnsi="宋体" w:eastAsia="宋体" w:cs="宋体"/>
          <w:sz w:val="32"/>
          <w:highlight w:val="none"/>
        </w:rPr>
        <w:t>月</w:t>
      </w:r>
    </w:p>
    <w:p w14:paraId="44897A38">
      <w:pPr>
        <w:jc w:val="center"/>
        <w:rPr>
          <w:rFonts w:hint="eastAsia" w:ascii="宋体" w:hAnsi="宋体" w:eastAsia="宋体" w:cs="宋体"/>
          <w:sz w:val="32"/>
          <w:highlight w:val="none"/>
        </w:rPr>
        <w:sectPr>
          <w:footerReference r:id="rId3" w:type="default"/>
          <w:pgSz w:w="11850" w:h="16790"/>
          <w:pgMar w:top="1440" w:right="1080" w:bottom="1440" w:left="1080" w:header="720" w:footer="721" w:gutter="0"/>
          <w:pgNumType w:fmt="decimal" w:start="1"/>
          <w:cols w:space="720" w:num="1"/>
        </w:sectPr>
      </w:pPr>
    </w:p>
    <w:p w14:paraId="07992FEA">
      <w:pPr>
        <w:pStyle w:val="3"/>
        <w:tabs>
          <w:tab w:val="left" w:pos="965"/>
        </w:tabs>
        <w:spacing w:before="39"/>
        <w:ind w:right="395"/>
        <w:rPr>
          <w:rFonts w:hint="eastAsia" w:ascii="宋体" w:hAnsi="宋体" w:eastAsia="宋体" w:cs="宋体"/>
          <w:highlight w:val="none"/>
        </w:rPr>
      </w:pPr>
      <w:r>
        <w:rPr>
          <w:rFonts w:hint="eastAsia" w:ascii="宋体" w:hAnsi="宋体" w:eastAsia="宋体" w:cs="宋体"/>
          <w:highlight w:val="none"/>
        </w:rPr>
        <w:t>目</w:t>
      </w:r>
      <w:r>
        <w:rPr>
          <w:rFonts w:hint="eastAsia" w:ascii="宋体" w:hAnsi="宋体" w:eastAsia="宋体" w:cs="宋体"/>
          <w:highlight w:val="none"/>
        </w:rPr>
        <w:tab/>
      </w:r>
      <w:r>
        <w:rPr>
          <w:rFonts w:hint="eastAsia" w:ascii="宋体" w:hAnsi="宋体" w:eastAsia="宋体" w:cs="宋体"/>
          <w:highlight w:val="none"/>
        </w:rPr>
        <w:t>录</w:t>
      </w:r>
    </w:p>
    <w:p w14:paraId="6C2B2C28">
      <w:pPr>
        <w:pStyle w:val="15"/>
        <w:tabs>
          <w:tab w:val="left" w:pos="1619"/>
          <w:tab w:val="right" w:leader="dot" w:pos="8851"/>
        </w:tabs>
        <w:spacing w:before="419"/>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"_bookmark0" </w:instrText>
      </w:r>
      <w:r>
        <w:rPr>
          <w:rFonts w:hint="eastAsia" w:ascii="宋体" w:hAnsi="宋体" w:eastAsia="宋体" w:cs="宋体"/>
          <w:highlight w:val="none"/>
        </w:rPr>
        <w:fldChar w:fldCharType="separate"/>
      </w:r>
      <w:r>
        <w:rPr>
          <w:rFonts w:hint="eastAsia" w:ascii="宋体" w:hAnsi="宋体" w:eastAsia="宋体" w:cs="宋体"/>
          <w:highlight w:val="none"/>
        </w:rPr>
        <w:t>第一部分</w:t>
      </w:r>
      <w:r>
        <w:rPr>
          <w:rFonts w:hint="eastAsia" w:ascii="宋体" w:hAnsi="宋体" w:eastAsia="宋体" w:cs="宋体"/>
          <w:highlight w:val="none"/>
        </w:rPr>
        <w:tab/>
      </w:r>
      <w:r>
        <w:rPr>
          <w:rFonts w:hint="eastAsia" w:ascii="宋体" w:hAnsi="宋体" w:eastAsia="宋体" w:cs="宋体"/>
          <w:highlight w:val="none"/>
        </w:rPr>
        <w:t>谈</w:t>
      </w:r>
      <w:r>
        <w:rPr>
          <w:rFonts w:hint="eastAsia" w:ascii="宋体" w:hAnsi="宋体" w:eastAsia="宋体" w:cs="宋体"/>
          <w:spacing w:val="-3"/>
          <w:highlight w:val="none"/>
        </w:rPr>
        <w:t>判采</w:t>
      </w:r>
      <w:r>
        <w:rPr>
          <w:rFonts w:hint="eastAsia" w:ascii="宋体" w:hAnsi="宋体" w:eastAsia="宋体" w:cs="宋体"/>
          <w:highlight w:val="none"/>
        </w:rPr>
        <w:t>购邀请函</w:t>
      </w:r>
      <w:r>
        <w:rPr>
          <w:rFonts w:hint="eastAsia" w:ascii="宋体" w:hAnsi="宋体" w:eastAsia="宋体" w:cs="宋体"/>
          <w:highlight w:val="none"/>
        </w:rPr>
        <w:fldChar w:fldCharType="end"/>
      </w:r>
    </w:p>
    <w:p w14:paraId="1DAA0C57">
      <w:pPr>
        <w:pStyle w:val="15"/>
        <w:tabs>
          <w:tab w:val="left" w:pos="1619"/>
          <w:tab w:val="right" w:leader="dot" w:pos="885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"_bookmark1" </w:instrText>
      </w:r>
      <w:r>
        <w:rPr>
          <w:rFonts w:hint="eastAsia" w:ascii="宋体" w:hAnsi="宋体" w:eastAsia="宋体" w:cs="宋体"/>
          <w:highlight w:val="none"/>
        </w:rPr>
        <w:fldChar w:fldCharType="separate"/>
      </w:r>
      <w:r>
        <w:rPr>
          <w:rFonts w:hint="eastAsia" w:ascii="宋体" w:hAnsi="宋体" w:eastAsia="宋体" w:cs="宋体"/>
          <w:highlight w:val="none"/>
        </w:rPr>
        <w:t>第二部分</w:t>
      </w:r>
      <w:r>
        <w:rPr>
          <w:rFonts w:hint="eastAsia" w:ascii="宋体" w:hAnsi="宋体" w:eastAsia="宋体" w:cs="宋体"/>
          <w:highlight w:val="none"/>
        </w:rPr>
        <w:tab/>
      </w:r>
      <w:r>
        <w:rPr>
          <w:rFonts w:hint="eastAsia" w:ascii="宋体" w:hAnsi="宋体" w:eastAsia="宋体" w:cs="宋体"/>
          <w:highlight w:val="none"/>
        </w:rPr>
        <w:t>谈</w:t>
      </w:r>
      <w:r>
        <w:rPr>
          <w:rFonts w:hint="eastAsia" w:ascii="宋体" w:hAnsi="宋体" w:eastAsia="宋体" w:cs="宋体"/>
          <w:spacing w:val="-3"/>
          <w:highlight w:val="none"/>
        </w:rPr>
        <w:t>判供</w:t>
      </w:r>
      <w:r>
        <w:rPr>
          <w:rFonts w:hint="eastAsia" w:ascii="宋体" w:hAnsi="宋体" w:eastAsia="宋体" w:cs="宋体"/>
          <w:highlight w:val="none"/>
        </w:rPr>
        <w:t>应商须知</w:t>
      </w:r>
      <w:r>
        <w:rPr>
          <w:rFonts w:hint="eastAsia" w:ascii="宋体" w:hAnsi="宋体" w:eastAsia="宋体" w:cs="宋体"/>
          <w:highlight w:val="none"/>
        </w:rPr>
        <w:fldChar w:fldCharType="end"/>
      </w:r>
    </w:p>
    <w:p w14:paraId="52236A20">
      <w:pPr>
        <w:pStyle w:val="15"/>
        <w:tabs>
          <w:tab w:val="left" w:pos="1619"/>
          <w:tab w:val="right" w:leader="dot" w:pos="8851"/>
        </w:tabs>
        <w:rPr>
          <w:rFonts w:hint="eastAsia" w:ascii="宋体" w:hAnsi="宋体" w:eastAsia="宋体" w:cs="宋体"/>
          <w:highlight w:val="none"/>
          <w:lang w:val="en-US"/>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"_bookmark2" </w:instrText>
      </w:r>
      <w:r>
        <w:rPr>
          <w:rFonts w:hint="eastAsia" w:ascii="宋体" w:hAnsi="宋体" w:eastAsia="宋体" w:cs="宋体"/>
          <w:highlight w:val="none"/>
        </w:rPr>
        <w:fldChar w:fldCharType="separate"/>
      </w:r>
      <w:r>
        <w:rPr>
          <w:rFonts w:hint="eastAsia" w:ascii="宋体" w:hAnsi="宋体" w:eastAsia="宋体" w:cs="宋体"/>
          <w:highlight w:val="none"/>
        </w:rPr>
        <w:t>第三部分</w:t>
      </w:r>
      <w:r>
        <w:rPr>
          <w:rFonts w:hint="eastAsia" w:ascii="宋体" w:hAnsi="宋体" w:eastAsia="宋体" w:cs="宋体"/>
          <w:highlight w:val="none"/>
        </w:rPr>
        <w:tab/>
      </w:r>
      <w:r>
        <w:rPr>
          <w:rFonts w:hint="eastAsia" w:ascii="宋体" w:hAnsi="宋体" w:eastAsia="宋体" w:cs="宋体"/>
          <w:highlight w:val="none"/>
        </w:rPr>
        <w:t>谈</w:t>
      </w:r>
      <w:r>
        <w:rPr>
          <w:rFonts w:hint="eastAsia" w:ascii="宋体" w:hAnsi="宋体" w:eastAsia="宋体" w:cs="宋体"/>
          <w:spacing w:val="-3"/>
          <w:highlight w:val="none"/>
        </w:rPr>
        <w:t>判项</w:t>
      </w:r>
      <w:r>
        <w:rPr>
          <w:rFonts w:hint="eastAsia" w:ascii="宋体" w:hAnsi="宋体" w:eastAsia="宋体" w:cs="宋体"/>
          <w:highlight w:val="none"/>
        </w:rPr>
        <w:t>目要求</w:t>
      </w:r>
      <w:r>
        <w:rPr>
          <w:rFonts w:hint="eastAsia" w:ascii="宋体" w:hAnsi="宋体" w:eastAsia="宋体" w:cs="宋体"/>
          <w:highlight w:val="none"/>
          <w:lang w:val="en-US"/>
        </w:rPr>
        <w:fldChar w:fldCharType="end"/>
      </w:r>
    </w:p>
    <w:p w14:paraId="202A714A">
      <w:pPr>
        <w:pStyle w:val="15"/>
        <w:tabs>
          <w:tab w:val="left" w:pos="1619"/>
          <w:tab w:val="right" w:leader="dot" w:pos="8851"/>
        </w:tabs>
        <w:rPr>
          <w:rFonts w:hint="eastAsia" w:ascii="宋体" w:hAnsi="宋体" w:eastAsia="宋体" w:cs="宋体"/>
          <w:highlight w:val="none"/>
          <w:lang w:val="en-US"/>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"_bookmark3" </w:instrText>
      </w:r>
      <w:r>
        <w:rPr>
          <w:rFonts w:hint="eastAsia" w:ascii="宋体" w:hAnsi="宋体" w:eastAsia="宋体" w:cs="宋体"/>
          <w:highlight w:val="none"/>
        </w:rPr>
        <w:fldChar w:fldCharType="separate"/>
      </w:r>
      <w:r>
        <w:rPr>
          <w:rFonts w:hint="eastAsia" w:ascii="宋体" w:hAnsi="宋体" w:eastAsia="宋体" w:cs="宋体"/>
          <w:highlight w:val="none"/>
        </w:rPr>
        <w:t>第四部分</w:t>
      </w:r>
      <w:r>
        <w:rPr>
          <w:rFonts w:hint="eastAsia" w:ascii="宋体" w:hAnsi="宋体" w:eastAsia="宋体" w:cs="宋体"/>
          <w:highlight w:val="none"/>
        </w:rPr>
        <w:tab/>
      </w:r>
      <w:r>
        <w:rPr>
          <w:rFonts w:hint="eastAsia" w:ascii="宋体" w:hAnsi="宋体" w:eastAsia="宋体" w:cs="宋体"/>
          <w:highlight w:val="none"/>
        </w:rPr>
        <w:t>项</w:t>
      </w:r>
      <w:r>
        <w:rPr>
          <w:rFonts w:hint="eastAsia" w:ascii="宋体" w:hAnsi="宋体" w:eastAsia="宋体" w:cs="宋体"/>
          <w:spacing w:val="-3"/>
          <w:highlight w:val="none"/>
        </w:rPr>
        <w:t>目内</w:t>
      </w:r>
      <w:r>
        <w:rPr>
          <w:rFonts w:hint="eastAsia" w:ascii="宋体" w:hAnsi="宋体" w:eastAsia="宋体" w:cs="宋体"/>
          <w:highlight w:val="none"/>
        </w:rPr>
        <w:t>容及技</w:t>
      </w:r>
      <w:r>
        <w:rPr>
          <w:rFonts w:hint="eastAsia" w:ascii="宋体" w:hAnsi="宋体" w:eastAsia="宋体" w:cs="宋体"/>
          <w:spacing w:val="-3"/>
          <w:highlight w:val="none"/>
        </w:rPr>
        <w:t>术</w:t>
      </w:r>
      <w:r>
        <w:rPr>
          <w:rFonts w:hint="eastAsia" w:ascii="宋体" w:hAnsi="宋体" w:eastAsia="宋体" w:cs="宋体"/>
          <w:highlight w:val="none"/>
        </w:rPr>
        <w:t>要求</w:t>
      </w:r>
      <w:r>
        <w:rPr>
          <w:rFonts w:hint="eastAsia" w:ascii="宋体" w:hAnsi="宋体" w:eastAsia="宋体" w:cs="宋体"/>
          <w:highlight w:val="none"/>
          <w:lang w:val="en-US"/>
        </w:rPr>
        <w:fldChar w:fldCharType="end"/>
      </w:r>
    </w:p>
    <w:p w14:paraId="6A076C0A">
      <w:pPr>
        <w:pStyle w:val="15"/>
        <w:tabs>
          <w:tab w:val="left" w:pos="1619"/>
          <w:tab w:val="right" w:leader="dot" w:pos="8852"/>
        </w:tabs>
        <w:rPr>
          <w:rFonts w:hint="eastAsia" w:ascii="宋体" w:hAnsi="宋体" w:eastAsia="宋体" w:cs="宋体"/>
          <w:highlight w:val="none"/>
          <w:lang w:val="en-US" w:eastAsia="zh-CN"/>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"_bookmark4" </w:instrText>
      </w:r>
      <w:r>
        <w:rPr>
          <w:rFonts w:hint="eastAsia" w:ascii="宋体" w:hAnsi="宋体" w:eastAsia="宋体" w:cs="宋体"/>
          <w:highlight w:val="none"/>
        </w:rPr>
        <w:fldChar w:fldCharType="separate"/>
      </w:r>
      <w:r>
        <w:rPr>
          <w:rFonts w:hint="eastAsia" w:ascii="宋体" w:hAnsi="宋体" w:eastAsia="宋体" w:cs="宋体"/>
          <w:highlight w:val="none"/>
        </w:rPr>
        <w:t>第五部分</w:t>
      </w:r>
      <w:r>
        <w:rPr>
          <w:rFonts w:hint="eastAsia" w:ascii="宋体" w:hAnsi="宋体" w:eastAsia="宋体" w:cs="宋体"/>
          <w:highlight w:val="none"/>
        </w:rPr>
        <w:tab/>
      </w:r>
      <w:r>
        <w:rPr>
          <w:rFonts w:hint="eastAsia" w:ascii="宋体" w:hAnsi="宋体" w:eastAsia="宋体" w:cs="宋体"/>
          <w:highlight w:val="none"/>
        </w:rPr>
        <w:t>谈</w:t>
      </w:r>
      <w:r>
        <w:rPr>
          <w:rFonts w:hint="eastAsia" w:ascii="宋体" w:hAnsi="宋体" w:eastAsia="宋体" w:cs="宋体"/>
          <w:spacing w:val="-3"/>
          <w:highlight w:val="none"/>
        </w:rPr>
        <w:t>判响</w:t>
      </w:r>
      <w:r>
        <w:rPr>
          <w:rFonts w:hint="eastAsia" w:ascii="宋体" w:hAnsi="宋体" w:eastAsia="宋体" w:cs="宋体"/>
          <w:highlight w:val="none"/>
        </w:rPr>
        <w:t>应文件</w:t>
      </w:r>
      <w:r>
        <w:rPr>
          <w:rFonts w:hint="eastAsia" w:ascii="宋体" w:hAnsi="宋体" w:eastAsia="宋体" w:cs="宋体"/>
          <w:spacing w:val="-3"/>
          <w:highlight w:val="none"/>
        </w:rPr>
        <w:t>格</w:t>
      </w:r>
      <w:r>
        <w:rPr>
          <w:rFonts w:hint="eastAsia" w:ascii="宋体" w:hAnsi="宋体" w:eastAsia="宋体" w:cs="宋体"/>
          <w:highlight w:val="none"/>
        </w:rPr>
        <w:t>式</w:t>
      </w:r>
      <w:r>
        <w:rPr>
          <w:rFonts w:hint="eastAsia" w:ascii="宋体" w:hAnsi="宋体" w:eastAsia="宋体" w:cs="宋体"/>
          <w:highlight w:val="none"/>
        </w:rPr>
        <w:fldChar w:fldCharType="end"/>
      </w:r>
    </w:p>
    <w:p w14:paraId="19105639">
      <w:pPr>
        <w:pStyle w:val="15"/>
        <w:tabs>
          <w:tab w:val="left" w:pos="1619"/>
          <w:tab w:val="right" w:leader="dot" w:pos="8851"/>
        </w:tabs>
        <w:rPr>
          <w:rFonts w:hint="eastAsia" w:ascii="宋体" w:hAnsi="宋体" w:eastAsia="宋体" w:cs="宋体"/>
          <w:highlight w:val="none"/>
          <w:lang w:val="en-US" w:eastAsia="zh-CN"/>
        </w:rPr>
      </w:pPr>
      <w:r>
        <w:rPr>
          <w:rFonts w:hint="eastAsia" w:ascii="宋体" w:hAnsi="宋体" w:eastAsia="宋体" w:cs="宋体"/>
          <w:highlight w:val="none"/>
          <w:lang w:val="en-US"/>
        </w:rPr>
        <w:t xml:space="preserve">第六部分 </w:t>
      </w:r>
      <w:r>
        <w:rPr>
          <w:rFonts w:hint="eastAsia" w:ascii="宋体" w:hAnsi="宋体" w:eastAsia="宋体" w:cs="宋体"/>
          <w:highlight w:val="none"/>
          <w:lang w:val="en-US" w:eastAsia="zh-CN"/>
        </w:rPr>
        <w:t xml:space="preserve"> </w:t>
      </w:r>
      <w:r>
        <w:rPr>
          <w:rFonts w:hint="eastAsia" w:ascii="宋体" w:hAnsi="宋体" w:eastAsia="宋体" w:cs="宋体"/>
          <w:highlight w:val="none"/>
          <w:lang w:val="en-US"/>
        </w:rPr>
        <w:t>周口市政府采购合同（货物类）标准文本</w:t>
      </w:r>
      <w:r>
        <w:rPr>
          <w:rFonts w:hint="eastAsia" w:ascii="宋体" w:hAnsi="宋体" w:eastAsia="宋体" w:cs="宋体"/>
          <w:highlight w:val="none"/>
          <w:lang w:val="en-US" w:eastAsia="zh-CN"/>
        </w:rPr>
        <w:t>、</w:t>
      </w:r>
      <w:r>
        <w:rPr>
          <w:rFonts w:hint="eastAsia" w:ascii="宋体" w:hAnsi="宋体" w:eastAsia="宋体" w:cs="宋体"/>
          <w:highlight w:val="none"/>
        </w:rPr>
        <w:t>合同签订指引</w:t>
      </w:r>
      <w:r>
        <w:rPr>
          <w:rFonts w:hint="eastAsia" w:ascii="宋体" w:hAnsi="宋体" w:eastAsia="宋体" w:cs="宋体"/>
          <w:highlight w:val="none"/>
          <w:lang w:eastAsia="zh-CN"/>
        </w:rPr>
        <w:t>、</w:t>
      </w:r>
      <w:r>
        <w:rPr>
          <w:rFonts w:hint="eastAsia" w:ascii="宋体" w:hAnsi="宋体" w:eastAsia="宋体" w:cs="宋体"/>
          <w:highlight w:val="none"/>
        </w:rPr>
        <w:t>供应商履约验收指引</w:t>
      </w:r>
      <w:r>
        <w:rPr>
          <w:rFonts w:hint="eastAsia" w:ascii="宋体" w:hAnsi="宋体" w:eastAsia="宋体" w:cs="宋体"/>
          <w:highlight w:val="none"/>
          <w:lang w:eastAsia="zh-CN"/>
        </w:rPr>
        <w:t>、</w:t>
      </w:r>
      <w:r>
        <w:rPr>
          <w:rFonts w:hint="eastAsia" w:ascii="宋体" w:hAnsi="宋体" w:eastAsia="宋体" w:cs="宋体"/>
          <w:highlight w:val="none"/>
        </w:rPr>
        <w:t>周口市政府采购合同融资政策告知函</w:t>
      </w:r>
      <w:r>
        <w:rPr>
          <w:rFonts w:hint="eastAsia" w:ascii="宋体" w:hAnsi="宋体" w:eastAsia="宋体" w:cs="宋体"/>
          <w:highlight w:val="none"/>
          <w:lang w:val="en-US" w:eastAsia="zh-CN"/>
        </w:rPr>
        <w:t xml:space="preserve">       </w:t>
      </w:r>
    </w:p>
    <w:p w14:paraId="48281E7D">
      <w:pPr>
        <w:rPr>
          <w:rFonts w:hint="eastAsia" w:ascii="宋体" w:hAnsi="宋体" w:eastAsia="宋体" w:cs="宋体"/>
          <w:highlight w:val="none"/>
        </w:rPr>
      </w:pPr>
    </w:p>
    <w:p w14:paraId="0AAF805E">
      <w:pPr>
        <w:pStyle w:val="15"/>
        <w:tabs>
          <w:tab w:val="left" w:pos="1619"/>
          <w:tab w:val="right" w:leader="dot" w:pos="8852"/>
        </w:tabs>
        <w:rPr>
          <w:rFonts w:hint="eastAsia" w:ascii="宋体" w:hAnsi="宋体" w:eastAsia="宋体" w:cs="宋体"/>
          <w:highlight w:val="none"/>
        </w:rPr>
      </w:pPr>
    </w:p>
    <w:p w14:paraId="71DE5065">
      <w:pPr>
        <w:rPr>
          <w:rFonts w:hint="eastAsia" w:ascii="宋体" w:hAnsi="宋体" w:eastAsia="宋体" w:cs="宋体"/>
          <w:highlight w:val="none"/>
        </w:rPr>
      </w:pPr>
    </w:p>
    <w:p w14:paraId="4BA4CC62">
      <w:pPr>
        <w:pStyle w:val="19"/>
        <w:ind w:left="440" w:firstLine="482"/>
        <w:rPr>
          <w:rFonts w:hint="eastAsia" w:ascii="宋体" w:hAnsi="宋体" w:eastAsia="宋体" w:cs="宋体"/>
          <w:b/>
          <w:bCs/>
          <w:sz w:val="24"/>
          <w:szCs w:val="24"/>
          <w:highlight w:val="none"/>
        </w:rPr>
      </w:pPr>
    </w:p>
    <w:p w14:paraId="4EC4847F">
      <w:pPr>
        <w:pStyle w:val="19"/>
        <w:ind w:left="440" w:firstLine="482"/>
        <w:rPr>
          <w:rFonts w:hint="eastAsia" w:ascii="宋体" w:hAnsi="宋体" w:eastAsia="宋体" w:cs="宋体"/>
          <w:b/>
          <w:bCs/>
          <w:sz w:val="24"/>
          <w:szCs w:val="24"/>
          <w:highlight w:val="none"/>
        </w:rPr>
      </w:pPr>
    </w:p>
    <w:p w14:paraId="5CCB500F">
      <w:pPr>
        <w:pStyle w:val="19"/>
        <w:ind w:left="440" w:firstLine="482"/>
        <w:rPr>
          <w:rFonts w:hint="eastAsia" w:ascii="宋体" w:hAnsi="宋体" w:eastAsia="宋体" w:cs="宋体"/>
          <w:b/>
          <w:bCs/>
          <w:sz w:val="24"/>
          <w:szCs w:val="24"/>
          <w:highlight w:val="none"/>
        </w:rPr>
        <w:sectPr>
          <w:footerReference r:id="rId4" w:type="default"/>
          <w:pgSz w:w="11850" w:h="16790"/>
          <w:pgMar w:top="1440" w:right="1080" w:bottom="1440" w:left="1080" w:header="0" w:footer="721" w:gutter="0"/>
          <w:pgNumType w:fmt="decimal"/>
          <w:cols w:space="720" w:num="1"/>
        </w:sectPr>
      </w:pPr>
    </w:p>
    <w:p w14:paraId="5AD5C725">
      <w:pPr>
        <w:pStyle w:val="3"/>
        <w:numPr>
          <w:ilvl w:val="0"/>
          <w:numId w:val="1"/>
        </w:numPr>
        <w:tabs>
          <w:tab w:val="left" w:pos="1607"/>
        </w:tabs>
        <w:spacing w:before="100"/>
        <w:rPr>
          <w:rFonts w:hint="eastAsia" w:ascii="宋体" w:hAnsi="宋体" w:eastAsia="宋体" w:cs="宋体"/>
          <w:highlight w:val="none"/>
        </w:rPr>
      </w:pPr>
      <w:bookmarkStart w:id="0" w:name="第一部分__谈判采购邀请函"/>
      <w:bookmarkEnd w:id="0"/>
      <w:bookmarkStart w:id="1" w:name="_bookmark0"/>
      <w:bookmarkEnd w:id="1"/>
      <w:r>
        <w:rPr>
          <w:rFonts w:hint="eastAsia" w:ascii="宋体" w:hAnsi="宋体" w:eastAsia="宋体" w:cs="宋体"/>
          <w:highlight w:val="none"/>
        </w:rPr>
        <w:t>谈判采购邀请函</w:t>
      </w:r>
    </w:p>
    <w:p w14:paraId="5B5C5492">
      <w:pPr>
        <w:pStyle w:val="2"/>
        <w:tabs>
          <w:tab w:val="left" w:pos="0"/>
        </w:tabs>
        <w:autoSpaceDE w:val="0"/>
        <w:autoSpaceDN w:val="0"/>
        <w:adjustRightInd w:val="0"/>
        <w:spacing w:before="0" w:after="0" w:line="360" w:lineRule="auto"/>
        <w:jc w:val="center"/>
        <w:rPr>
          <w:rFonts w:hint="eastAsia" w:ascii="宋体" w:hAnsi="宋体" w:eastAsia="宋体" w:cs="宋体"/>
          <w:highlight w:val="none"/>
        </w:rPr>
      </w:pPr>
      <w:bookmarkStart w:id="2" w:name="_Toc28359011"/>
      <w:bookmarkStart w:id="3" w:name="_Toc35393797"/>
      <w:bookmarkStart w:id="4" w:name="OLE_LINK2"/>
      <w:bookmarkStart w:id="5" w:name="OLE_LINK1"/>
      <w:r>
        <w:rPr>
          <w:rFonts w:hint="eastAsia" w:ascii="宋体" w:hAnsi="宋体" w:eastAsia="宋体" w:cs="宋体"/>
          <w:highlight w:val="none"/>
        </w:rPr>
        <w:t>竞争性谈判公告</w:t>
      </w:r>
      <w:bookmarkEnd w:id="2"/>
      <w:bookmarkEnd w:id="3"/>
    </w:p>
    <w:bookmarkEnd w:id="4"/>
    <w:bookmarkEnd w:id="5"/>
    <w:p w14:paraId="4BC61E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6EC91D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cs="宋体"/>
          <w:i w:val="0"/>
          <w:iCs w:val="0"/>
          <w:sz w:val="24"/>
          <w:szCs w:val="24"/>
          <w:highlight w:val="none"/>
          <w:lang w:val="en-US" w:eastAsia="zh-CN"/>
        </w:rPr>
        <w:t>丁村乡政府乡簸箕柳种植项目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cs="宋体"/>
          <w:i w:val="0"/>
          <w:iCs w:val="0"/>
          <w:sz w:val="24"/>
          <w:szCs w:val="24"/>
          <w:highlight w:val="none"/>
          <w:lang w:val="en-US" w:eastAsia="zh-CN"/>
        </w:rPr>
        <w:t>09</w:t>
      </w:r>
      <w:r>
        <w:rPr>
          <w:rFonts w:hint="eastAsia" w:ascii="宋体" w:hAnsi="宋体" w:eastAsia="宋体" w:cs="宋体"/>
          <w:i w:val="0"/>
          <w:iCs w:val="0"/>
          <w:sz w:val="24"/>
          <w:szCs w:val="24"/>
          <w:highlight w:val="none"/>
          <w:lang w:val="en-US" w:eastAsia="zh-CN"/>
        </w:rPr>
        <w:t>月</w:t>
      </w:r>
      <w:r>
        <w:rPr>
          <w:rFonts w:hint="eastAsia" w:cs="宋体"/>
          <w:i w:val="0"/>
          <w:iCs w:val="0"/>
          <w:sz w:val="24"/>
          <w:szCs w:val="24"/>
          <w:highlight w:val="none"/>
          <w:lang w:val="en-US" w:eastAsia="zh-CN"/>
        </w:rPr>
        <w:t>17</w:t>
      </w:r>
      <w:r>
        <w:rPr>
          <w:rFonts w:hint="eastAsia" w:ascii="宋体" w:hAnsi="宋体" w:eastAsia="宋体" w:cs="宋体"/>
          <w:i w:val="0"/>
          <w:iCs w:val="0"/>
          <w:sz w:val="24"/>
          <w:szCs w:val="24"/>
          <w:highlight w:val="none"/>
          <w:lang w:val="en-US" w:eastAsia="zh-CN"/>
        </w:rPr>
        <w:t>日</w:t>
      </w:r>
      <w:r>
        <w:rPr>
          <w:rFonts w:hint="eastAsia"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1942EE7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bookmarkStart w:id="6" w:name="_Toc35393629"/>
      <w:bookmarkStart w:id="7" w:name="_Toc28359089"/>
      <w:bookmarkStart w:id="8" w:name="_Toc35393798"/>
      <w:bookmarkStart w:id="9" w:name="_Toc28359012"/>
      <w:r>
        <w:rPr>
          <w:rFonts w:hint="eastAsia" w:ascii="宋体" w:hAnsi="宋体" w:eastAsia="宋体" w:cs="宋体"/>
          <w:b w:val="0"/>
          <w:sz w:val="24"/>
          <w:szCs w:val="24"/>
          <w:highlight w:val="none"/>
        </w:rPr>
        <w:t>一、项目基本情况</w:t>
      </w:r>
      <w:bookmarkEnd w:id="6"/>
      <w:bookmarkEnd w:id="7"/>
      <w:bookmarkEnd w:id="8"/>
      <w:bookmarkEnd w:id="9"/>
    </w:p>
    <w:p w14:paraId="02914AA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项目编号：</w:t>
      </w:r>
      <w:r>
        <w:rPr>
          <w:rFonts w:hint="eastAsia" w:cs="宋体"/>
          <w:i w:val="0"/>
          <w:iCs w:val="0"/>
          <w:color w:val="auto"/>
          <w:sz w:val="24"/>
          <w:szCs w:val="24"/>
          <w:highlight w:val="none"/>
          <w:lang w:eastAsia="zh-CN"/>
        </w:rPr>
        <w:t>郸财竞谈-2025-75</w:t>
      </w:r>
    </w:p>
    <w:p w14:paraId="09AE60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u w:val="single"/>
        </w:rPr>
      </w:pPr>
      <w:r>
        <w:rPr>
          <w:rFonts w:hint="eastAsia" w:ascii="宋体" w:hAnsi="宋体" w:eastAsia="宋体" w:cs="宋体"/>
          <w:i w:val="0"/>
          <w:iCs w:val="0"/>
          <w:sz w:val="24"/>
          <w:szCs w:val="24"/>
          <w:highlight w:val="none"/>
        </w:rPr>
        <w:t>项目名称：</w:t>
      </w:r>
      <w:r>
        <w:rPr>
          <w:rFonts w:hint="eastAsia" w:cs="宋体"/>
          <w:i w:val="0"/>
          <w:iCs w:val="0"/>
          <w:sz w:val="24"/>
          <w:szCs w:val="24"/>
          <w:highlight w:val="none"/>
          <w:lang w:eastAsia="zh-CN"/>
        </w:rPr>
        <w:t>丁村乡政府乡簸箕柳种植项目</w:t>
      </w:r>
    </w:p>
    <w:p w14:paraId="764553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采购方式：竞争性谈判</w:t>
      </w:r>
    </w:p>
    <w:p w14:paraId="34E58CF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预算金额：</w:t>
      </w:r>
      <w:r>
        <w:rPr>
          <w:rFonts w:hint="eastAsia" w:cs="宋体"/>
          <w:i w:val="0"/>
          <w:iCs w:val="0"/>
          <w:sz w:val="24"/>
          <w:szCs w:val="24"/>
          <w:highlight w:val="none"/>
          <w:lang w:val="en-US" w:eastAsia="zh-CN"/>
        </w:rPr>
        <w:t>1852800.00</w:t>
      </w:r>
      <w:r>
        <w:rPr>
          <w:rFonts w:hint="eastAsia" w:ascii="宋体" w:hAnsi="宋体" w:eastAsia="宋体" w:cs="宋体"/>
          <w:i w:val="0"/>
          <w:iCs w:val="0"/>
          <w:sz w:val="24"/>
          <w:szCs w:val="24"/>
          <w:highlight w:val="none"/>
          <w:lang w:val="en-US" w:eastAsia="zh-CN"/>
        </w:rPr>
        <w:t>元</w:t>
      </w:r>
    </w:p>
    <w:p w14:paraId="07FAB5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lang w:val="en-US"/>
        </w:rPr>
      </w:pPr>
      <w:r>
        <w:rPr>
          <w:rFonts w:hint="eastAsia" w:ascii="宋体" w:hAnsi="宋体" w:eastAsia="宋体" w:cs="宋体"/>
          <w:i w:val="0"/>
          <w:iCs w:val="0"/>
          <w:sz w:val="24"/>
          <w:szCs w:val="24"/>
          <w:highlight w:val="none"/>
        </w:rPr>
        <w:t>最高限价：</w:t>
      </w:r>
      <w:r>
        <w:rPr>
          <w:rFonts w:hint="eastAsia" w:cs="宋体"/>
          <w:i w:val="0"/>
          <w:iCs w:val="0"/>
          <w:sz w:val="24"/>
          <w:szCs w:val="24"/>
          <w:highlight w:val="none"/>
          <w:lang w:val="en-US" w:eastAsia="zh-CN"/>
        </w:rPr>
        <w:t>1852800.00</w:t>
      </w:r>
      <w:r>
        <w:rPr>
          <w:rFonts w:hint="eastAsia" w:ascii="宋体" w:hAnsi="宋体" w:eastAsia="宋体" w:cs="宋体"/>
          <w:i w:val="0"/>
          <w:iCs w:val="0"/>
          <w:sz w:val="24"/>
          <w:szCs w:val="24"/>
          <w:highlight w:val="none"/>
          <w:lang w:val="en-US" w:eastAsia="zh-CN"/>
        </w:rPr>
        <w:t>元</w:t>
      </w:r>
    </w:p>
    <w:p w14:paraId="15B2EE9B">
      <w:pPr>
        <w:pStyle w:val="17"/>
        <w:snapToGrid w:val="0"/>
        <w:spacing w:before="0" w:beforeAutospacing="0" w:after="0" w:afterAutospacing="0" w:line="360" w:lineRule="auto"/>
        <w:ind w:firstLine="480"/>
        <w:jc w:val="both"/>
        <w:rPr>
          <w:rFonts w:hint="eastAsia" w:ascii="宋体" w:hAnsi="宋体" w:eastAsia="宋体" w:cs="宋体"/>
          <w:color w:val="000000"/>
          <w:highlight w:val="none"/>
          <w:lang w:val="en-US" w:eastAsia="zh-CN"/>
        </w:rPr>
      </w:pPr>
      <w:r>
        <w:rPr>
          <w:rFonts w:hint="eastAsia" w:ascii="宋体" w:hAnsi="宋体" w:eastAsia="宋体" w:cs="宋体"/>
          <w:color w:val="000000"/>
          <w:highlight w:val="none"/>
          <w:lang w:val="en-US" w:eastAsia="zh-CN"/>
        </w:rPr>
        <w:t>包</w:t>
      </w:r>
      <w:r>
        <w:rPr>
          <w:rFonts w:hint="eastAsia" w:ascii="宋体" w:hAnsi="宋体" w:eastAsia="宋体" w:cs="宋体"/>
          <w:color w:val="000000"/>
          <w:highlight w:val="none"/>
        </w:rPr>
        <w:t>划分：</w:t>
      </w:r>
      <w:r>
        <w:rPr>
          <w:rFonts w:hint="eastAsia" w:cs="宋体"/>
          <w:color w:val="000000"/>
          <w:highlight w:val="none"/>
          <w:lang w:val="en-US" w:eastAsia="zh-CN"/>
        </w:rPr>
        <w:t>1</w:t>
      </w:r>
      <w:r>
        <w:rPr>
          <w:rFonts w:hint="eastAsia" w:ascii="宋体" w:hAnsi="宋体" w:eastAsia="宋体" w:cs="宋体"/>
          <w:color w:val="000000"/>
          <w:highlight w:val="none"/>
        </w:rPr>
        <w:t>个</w:t>
      </w:r>
      <w:r>
        <w:rPr>
          <w:rFonts w:hint="eastAsia" w:ascii="宋体" w:hAnsi="宋体" w:eastAsia="宋体" w:cs="宋体"/>
          <w:color w:val="000000"/>
          <w:highlight w:val="none"/>
          <w:lang w:val="en-US" w:eastAsia="zh-CN"/>
        </w:rPr>
        <w:t>包</w:t>
      </w:r>
    </w:p>
    <w:tbl>
      <w:tblPr>
        <w:tblStyle w:val="21"/>
        <w:tblW w:w="9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6102"/>
        <w:gridCol w:w="2395"/>
      </w:tblGrid>
      <w:tr w14:paraId="092CE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16" w:type="dxa"/>
            <w:noWrap w:val="0"/>
            <w:vAlign w:val="center"/>
          </w:tcPr>
          <w:p w14:paraId="229663BE">
            <w:pPr>
              <w:pStyle w:val="17"/>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包号</w:t>
            </w:r>
          </w:p>
        </w:tc>
        <w:tc>
          <w:tcPr>
            <w:tcW w:w="6102" w:type="dxa"/>
            <w:noWrap w:val="0"/>
            <w:vAlign w:val="center"/>
          </w:tcPr>
          <w:p w14:paraId="7597209C">
            <w:pPr>
              <w:pStyle w:val="17"/>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包名称</w:t>
            </w:r>
          </w:p>
        </w:tc>
        <w:tc>
          <w:tcPr>
            <w:tcW w:w="2395" w:type="dxa"/>
            <w:noWrap w:val="0"/>
            <w:vAlign w:val="center"/>
          </w:tcPr>
          <w:p w14:paraId="2E4854CC">
            <w:pPr>
              <w:pStyle w:val="17"/>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lang w:eastAsia="zh-CN"/>
              </w:rPr>
            </w:pPr>
            <w:r>
              <w:rPr>
                <w:rFonts w:hint="eastAsia" w:ascii="宋体" w:hAnsi="宋体" w:eastAsia="宋体" w:cs="宋体"/>
                <w:kern w:val="2"/>
                <w:sz w:val="24"/>
                <w:szCs w:val="24"/>
                <w:highlight w:val="none"/>
              </w:rPr>
              <w:t>包最高限价</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元</w:t>
            </w:r>
            <w:r>
              <w:rPr>
                <w:rFonts w:hint="eastAsia" w:ascii="宋体" w:hAnsi="宋体" w:eastAsia="宋体" w:cs="宋体"/>
                <w:kern w:val="2"/>
                <w:sz w:val="24"/>
                <w:szCs w:val="24"/>
                <w:highlight w:val="none"/>
                <w:lang w:eastAsia="zh-CN"/>
              </w:rPr>
              <w:t>）</w:t>
            </w:r>
          </w:p>
        </w:tc>
      </w:tr>
      <w:tr w14:paraId="0AFF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16" w:type="dxa"/>
            <w:noWrap w:val="0"/>
            <w:vAlign w:val="center"/>
          </w:tcPr>
          <w:p w14:paraId="7C0EF7F1">
            <w:pPr>
              <w:pStyle w:val="17"/>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1</w:t>
            </w:r>
          </w:p>
        </w:tc>
        <w:tc>
          <w:tcPr>
            <w:tcW w:w="6102" w:type="dxa"/>
            <w:noWrap w:val="0"/>
            <w:vAlign w:val="center"/>
          </w:tcPr>
          <w:p w14:paraId="1582885C">
            <w:pPr>
              <w:adjustRightInd w:val="0"/>
              <w:snapToGrid w:val="0"/>
              <w:spacing w:line="360" w:lineRule="auto"/>
              <w:jc w:val="left"/>
              <w:rPr>
                <w:rFonts w:hint="eastAsia" w:ascii="宋体" w:hAnsi="宋体" w:eastAsia="宋体" w:cs="宋体"/>
                <w:sz w:val="24"/>
                <w:szCs w:val="24"/>
                <w:highlight w:val="none"/>
                <w:vertAlign w:val="baseline"/>
                <w:lang w:val="en-US"/>
              </w:rPr>
            </w:pPr>
            <w:r>
              <w:rPr>
                <w:rFonts w:hint="eastAsia" w:cs="宋体"/>
                <w:sz w:val="24"/>
                <w:szCs w:val="24"/>
                <w:highlight w:val="none"/>
                <w:vertAlign w:val="baseline"/>
                <w:lang w:eastAsia="zh-CN"/>
              </w:rPr>
              <w:t>丁村乡政府乡簸箕柳种植项目</w:t>
            </w:r>
          </w:p>
        </w:tc>
        <w:tc>
          <w:tcPr>
            <w:tcW w:w="2395" w:type="dxa"/>
            <w:noWrap w:val="0"/>
            <w:vAlign w:val="center"/>
          </w:tcPr>
          <w:p w14:paraId="44316999">
            <w:pPr>
              <w:adjustRightInd w:val="0"/>
              <w:snapToGrid w:val="0"/>
              <w:spacing w:line="360" w:lineRule="auto"/>
              <w:jc w:val="left"/>
              <w:rPr>
                <w:rFonts w:hint="default" w:ascii="宋体" w:hAnsi="宋体" w:eastAsia="宋体" w:cs="宋体"/>
                <w:sz w:val="24"/>
                <w:szCs w:val="24"/>
                <w:highlight w:val="none"/>
                <w:vertAlign w:val="baseline"/>
                <w:lang w:val="en-US"/>
              </w:rPr>
            </w:pPr>
            <w:r>
              <w:rPr>
                <w:rFonts w:hint="eastAsia" w:cs="宋体"/>
                <w:i w:val="0"/>
                <w:iCs w:val="0"/>
                <w:sz w:val="24"/>
                <w:szCs w:val="24"/>
                <w:highlight w:val="none"/>
                <w:lang w:val="en-US" w:eastAsia="zh-CN"/>
              </w:rPr>
              <w:t>1852800.00</w:t>
            </w:r>
          </w:p>
        </w:tc>
      </w:tr>
    </w:tbl>
    <w:p w14:paraId="1BBF1E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采购需求</w:t>
      </w:r>
      <w:r>
        <w:rPr>
          <w:rFonts w:hint="eastAsia" w:ascii="宋体" w:hAnsi="宋体" w:eastAsia="宋体" w:cs="宋体"/>
          <w:i w:val="0"/>
          <w:iCs w:val="0"/>
          <w:color w:val="auto"/>
          <w:sz w:val="24"/>
          <w:szCs w:val="24"/>
          <w:highlight w:val="none"/>
        </w:rPr>
        <w:t>：</w:t>
      </w:r>
      <w:r>
        <w:rPr>
          <w:rFonts w:hint="eastAsia" w:cs="宋体"/>
          <w:sz w:val="24"/>
          <w:szCs w:val="24"/>
          <w:highlight w:val="none"/>
          <w:vertAlign w:val="baseline"/>
          <w:lang w:eastAsia="zh-CN"/>
        </w:rPr>
        <w:t>簸箕柳种植</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sz w:val="24"/>
          <w:szCs w:val="24"/>
          <w:highlight w:val="none"/>
        </w:rPr>
        <w:t>包括但不限于标的的名称、数量、简要技术需求或服务要求等）</w:t>
      </w:r>
    </w:p>
    <w:p w14:paraId="597CD2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sz w:val="24"/>
          <w:szCs w:val="24"/>
          <w:highlight w:val="none"/>
        </w:rPr>
        <w:t>合同履行期</w:t>
      </w:r>
      <w:r>
        <w:rPr>
          <w:rFonts w:hint="eastAsia" w:ascii="宋体" w:hAnsi="宋体" w:eastAsia="宋体" w:cs="宋体"/>
          <w:i w:val="0"/>
          <w:iCs w:val="0"/>
          <w:color w:val="000000" w:themeColor="text1"/>
          <w:sz w:val="24"/>
          <w:szCs w:val="24"/>
          <w:highlight w:val="none"/>
          <w14:textFill>
            <w14:solidFill>
              <w14:schemeClr w14:val="tx1"/>
            </w14:solidFill>
          </w14:textFill>
        </w:rPr>
        <w:t>限：合同签订后</w:t>
      </w:r>
      <w:r>
        <w:rPr>
          <w:rFonts w:hint="eastAsia" w:cs="宋体"/>
          <w:i w:val="0"/>
          <w:iCs w:val="0"/>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i w:val="0"/>
          <w:iCs w:val="0"/>
          <w:color w:val="000000" w:themeColor="text1"/>
          <w:sz w:val="24"/>
          <w:szCs w:val="24"/>
          <w:highlight w:val="none"/>
          <w14:textFill>
            <w14:solidFill>
              <w14:schemeClr w14:val="tx1"/>
            </w14:solidFill>
          </w14:textFill>
        </w:rPr>
        <w:t>日历天</w:t>
      </w:r>
    </w:p>
    <w:p w14:paraId="5A600C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bookmarkStart w:id="10" w:name="_Toc35393630"/>
      <w:bookmarkStart w:id="11" w:name="_Toc28359013"/>
      <w:bookmarkStart w:id="12" w:name="_Toc35393799"/>
      <w:bookmarkStart w:id="13" w:name="_Toc28359090"/>
      <w:r>
        <w:rPr>
          <w:rFonts w:hint="eastAsia" w:ascii="宋体" w:hAnsi="宋体" w:eastAsia="宋体" w:cs="宋体"/>
          <w:i w:val="0"/>
          <w:iCs w:val="0"/>
          <w:color w:val="000000" w:themeColor="text1"/>
          <w:sz w:val="24"/>
          <w:szCs w:val="24"/>
          <w:highlight w:val="none"/>
          <w14:textFill>
            <w14:solidFill>
              <w14:schemeClr w14:val="tx1"/>
            </w14:solidFill>
          </w14:textFill>
        </w:rPr>
        <w:t>是否接受进口产品：</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否</w:t>
      </w:r>
    </w:p>
    <w:p w14:paraId="50FCFC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本项目是否接受联合体投标</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：否</w:t>
      </w:r>
    </w:p>
    <w:p w14:paraId="242FCA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是否为只面向中小企业采购：是</w:t>
      </w:r>
      <w:r>
        <w:rPr>
          <w:rFonts w:hint="eastAsia" w:cs="宋体"/>
          <w:i w:val="0"/>
          <w:iCs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采购预留金额（</w:t>
      </w:r>
      <w:r>
        <w:rPr>
          <w:rFonts w:hint="eastAsia" w:cs="宋体"/>
          <w:i w:val="0"/>
          <w:iCs w:val="0"/>
          <w:color w:val="000000" w:themeColor="text1"/>
          <w:sz w:val="24"/>
          <w:szCs w:val="24"/>
          <w:highlight w:val="none"/>
          <w:lang w:val="en-US" w:eastAsia="zh-CN"/>
          <w14:textFill>
            <w14:solidFill>
              <w14:schemeClr w14:val="tx1"/>
            </w14:solidFill>
          </w14:textFill>
        </w:rPr>
        <w:t>1852800.00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元） 必须提供中小企业声明函。</w:t>
      </w:r>
    </w:p>
    <w:p w14:paraId="2EE3D47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二、申请人的资格要求：</w:t>
      </w:r>
      <w:bookmarkEnd w:id="10"/>
      <w:bookmarkEnd w:id="11"/>
      <w:bookmarkEnd w:id="12"/>
      <w:bookmarkEnd w:id="13"/>
    </w:p>
    <w:p w14:paraId="61249936">
      <w:pPr>
        <w:adjustRightInd w:val="0"/>
        <w:snapToGrid w:val="0"/>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1.满足《中华人民共和国政府采购法》第二十二条规定；</w:t>
      </w:r>
    </w:p>
    <w:p w14:paraId="0138955B">
      <w:pPr>
        <w:adjustRightInd w:val="0"/>
        <w:snapToGrid w:val="0"/>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（1）具有独立承担民事责任的能力；</w:t>
      </w:r>
    </w:p>
    <w:p w14:paraId="38698307">
      <w:pPr>
        <w:adjustRightInd w:val="0"/>
        <w:snapToGrid w:val="0"/>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（2）具有良好的商业信誉和健全的财务会计制度； </w:t>
      </w:r>
    </w:p>
    <w:p w14:paraId="5F3AE709">
      <w:pPr>
        <w:adjustRightInd w:val="0"/>
        <w:snapToGrid w:val="0"/>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（3）具有履行合同所必需的设备和专业技术能力； </w:t>
      </w:r>
    </w:p>
    <w:p w14:paraId="5EA6EC58">
      <w:pPr>
        <w:adjustRightInd w:val="0"/>
        <w:snapToGrid w:val="0"/>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（4）有依法缴纳税收和社会保障资金的良好记录； </w:t>
      </w:r>
    </w:p>
    <w:p w14:paraId="213774B2">
      <w:pPr>
        <w:adjustRightInd w:val="0"/>
        <w:snapToGrid w:val="0"/>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（5）参加政府采购活动前三年内，在经营活动中没有重大违法记录； </w:t>
      </w:r>
    </w:p>
    <w:p w14:paraId="07A24387">
      <w:pPr>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（6）法律、行政法规规定的其他条件。 </w:t>
      </w:r>
    </w:p>
    <w:p w14:paraId="716D052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bookmarkStart w:id="14" w:name="_Toc28359014"/>
      <w:bookmarkStart w:id="15" w:name="_Toc28359091"/>
      <w:r>
        <w:rPr>
          <w:rFonts w:hint="eastAsia" w:ascii="宋体" w:hAnsi="宋体" w:eastAsia="宋体" w:cs="宋体"/>
          <w:i w:val="0"/>
          <w:iCs w:val="0"/>
          <w:color w:val="000000" w:themeColor="text1"/>
          <w:sz w:val="24"/>
          <w:szCs w:val="24"/>
          <w:highlight w:val="none"/>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71286655">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"http://www.creditchina.gov.cn/"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www.creditchina.gov.cn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）的“失信被执行人”、</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政府采购严重违法失信行为记录名单</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eastAsia="宋体" w:cs="宋体"/>
          <w:i w:val="0"/>
          <w:iCs w:val="0"/>
          <w:color w:val="000000" w:themeColor="text1"/>
          <w:sz w:val="24"/>
          <w:szCs w:val="24"/>
          <w:highlight w:val="none"/>
          <w14:textFill>
            <w14:solidFill>
              <w14:schemeClr w14:val="tx1"/>
            </w14:solidFill>
          </w14:textFill>
        </w:rPr>
        <w:t>”</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的供应商和法定代表人</w:t>
      </w:r>
      <w:r>
        <w:rPr>
          <w:rFonts w:hint="eastAsia" w:ascii="宋体" w:hAnsi="宋体" w:eastAsia="宋体" w:cs="宋体"/>
          <w:i w:val="0"/>
          <w:iCs w:val="0"/>
          <w:color w:val="000000" w:themeColor="text1"/>
          <w:sz w:val="24"/>
          <w:szCs w:val="24"/>
          <w:highlight w:val="none"/>
          <w14:textFill>
            <w14:solidFill>
              <w14:schemeClr w14:val="tx1"/>
            </w14:solidFill>
          </w14:textFill>
        </w:rPr>
        <w:t>和“中国政府采购”网站(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"http://www.ccgp.gov.cn/"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www.ccgp.gov.cn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)的“政府采购严重违法失信行为记录名单”的供应商，将拒绝其参加政府采购活动；在标书中附网页查询</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截图</w:t>
      </w:r>
      <w:r>
        <w:rPr>
          <w:rFonts w:hint="eastAsia" w:ascii="宋体" w:hAnsi="宋体" w:eastAsia="宋体" w:cs="宋体"/>
          <w:i w:val="0"/>
          <w:iCs w:val="0"/>
          <w:color w:val="000000" w:themeColor="text1"/>
          <w:sz w:val="24"/>
          <w:szCs w:val="24"/>
          <w:highlight w:val="none"/>
          <w14:textFill>
            <w14:solidFill>
              <w14:schemeClr w14:val="tx1"/>
            </w14:solidFill>
          </w14:textFill>
        </w:rPr>
        <w:t>，查询日期为公告发布之日起至投标截止之日止。</w:t>
      </w:r>
    </w:p>
    <w:p w14:paraId="0FFF01BB">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ascii="宋体" w:hAnsi="宋体" w:cs="宋体"/>
          <w:color w:val="000000" w:themeColor="text1"/>
          <w:sz w:val="24"/>
          <w:szCs w:val="24"/>
          <w:highlight w:val="none"/>
          <w14:textFill>
            <w14:solidFill>
              <w14:schemeClr w14:val="tx1"/>
            </w14:solidFill>
          </w14:textFill>
        </w:rPr>
      </w:pPr>
      <w:r>
        <w:rPr>
          <w:rFonts w:hint="eastAsia" w:cs="宋体"/>
          <w:i w:val="0"/>
          <w:iCs w:val="0"/>
          <w:color w:val="000000" w:themeColor="text1"/>
          <w:sz w:val="24"/>
          <w:szCs w:val="24"/>
          <w:highlight w:val="none"/>
          <w:lang w:eastAsia="zh-CN"/>
          <w14:textFill>
            <w14:solidFill>
              <w14:schemeClr w14:val="tx1"/>
            </w14:solidFill>
          </w14:textFill>
        </w:rPr>
        <w:t>（</w:t>
      </w:r>
      <w:r>
        <w:rPr>
          <w:rFonts w:hint="eastAsia" w:cs="宋体"/>
          <w:i w:val="0"/>
          <w:iCs w:val="0"/>
          <w:color w:val="000000" w:themeColor="text1"/>
          <w:sz w:val="24"/>
          <w:szCs w:val="24"/>
          <w:highlight w:val="none"/>
          <w:lang w:val="en-US" w:eastAsia="zh-CN"/>
          <w14:textFill>
            <w14:solidFill>
              <w14:schemeClr w14:val="tx1"/>
            </w14:solidFill>
          </w14:textFill>
        </w:rPr>
        <w:t>2</w:t>
      </w:r>
      <w:r>
        <w:rPr>
          <w:rFonts w:hint="eastAsia" w:cs="宋体"/>
          <w:i w:val="0"/>
          <w:iCs w:val="0"/>
          <w:color w:val="000000" w:themeColor="text1"/>
          <w:sz w:val="24"/>
          <w:szCs w:val="24"/>
          <w:highlight w:val="none"/>
          <w:lang w:eastAsia="zh-CN"/>
          <w14:textFill>
            <w14:solidFill>
              <w14:schemeClr w14:val="tx1"/>
            </w14:solidFill>
          </w14:textFill>
        </w:rPr>
        <w:t>）</w:t>
      </w:r>
      <w:r>
        <w:rPr>
          <w:rFonts w:hint="eastAsia" w:asciiTheme="minorEastAsia" w:hAnsiTheme="minorEastAsia" w:cstheme="minorEastAsia"/>
          <w:color w:val="000000" w:themeColor="text1"/>
          <w:sz w:val="24"/>
          <w:szCs w:val="24"/>
          <w14:textFill>
            <w14:solidFill>
              <w14:schemeClr w14:val="tx1"/>
            </w14:solidFill>
          </w14:textFill>
        </w:rPr>
        <w:t>投标单位负责人为同一人或存在直接控股、管理关系的不同投标人，不得参加同一合同项下的政府采购活动（提供国家企业信用信息系统查询截图，包括公司基础信息和股东信息，投标文件中提供法定代表人签章的网站查询公告后扫描件）。</w:t>
      </w:r>
      <w:r>
        <w:rPr>
          <w:rFonts w:ascii="宋体" w:hAnsi="宋体" w:cs="宋体"/>
          <w:color w:val="000000" w:themeColor="text1"/>
          <w:sz w:val="24"/>
          <w:szCs w:val="24"/>
          <w:highlight w:val="none"/>
          <w14:textFill>
            <w14:solidFill>
              <w14:schemeClr w14:val="tx1"/>
            </w14:solidFill>
          </w14:textFill>
        </w:rPr>
        <w:t>（查询日期为公告发布之后）；</w:t>
      </w:r>
    </w:p>
    <w:p w14:paraId="5892D94C">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t>（3）法定代表人为同一个人的两个及两个以上法人，母公司、全资子公司及其控股公司，都不得在同一货物招标中同时投标。</w:t>
      </w:r>
    </w:p>
    <w:p w14:paraId="585856D6">
      <w:pPr>
        <w:pStyle w:val="3"/>
        <w:keepNext w:val="0"/>
        <w:keepLines w:val="0"/>
        <w:pageBreakBefore w:val="0"/>
        <w:widowControl w:val="0"/>
        <w:kinsoku/>
        <w:wordWrap/>
        <w:overflowPunct/>
        <w:topLinePunct w:val="0"/>
        <w:autoSpaceDE w:val="0"/>
        <w:autoSpaceDN w:val="0"/>
        <w:bidi w:val="0"/>
        <w:adjustRightInd/>
        <w:snapToGrid/>
        <w:spacing w:line="360" w:lineRule="auto"/>
        <w:ind w:right="-54" w:rightChars="0"/>
        <w:jc w:val="left"/>
        <w:textAlignment w:val="auto"/>
        <w:rPr>
          <w:rFonts w:hint="eastAsia" w:ascii="宋体" w:hAnsi="宋体" w:eastAsia="宋体" w:cs="宋体"/>
          <w:b w:val="0"/>
          <w:color w:val="000000" w:themeColor="text1"/>
          <w:sz w:val="24"/>
          <w:szCs w:val="24"/>
          <w:highlight w:val="none"/>
          <w14:textFill>
            <w14:solidFill>
              <w14:schemeClr w14:val="tx1"/>
            </w14:solidFill>
          </w14:textFill>
        </w:rPr>
      </w:pPr>
      <w:bookmarkStart w:id="16" w:name="_Toc35393800"/>
      <w:bookmarkStart w:id="17" w:name="_Toc35393631"/>
      <w:r>
        <w:rPr>
          <w:rFonts w:hint="eastAsia" w:cs="宋体"/>
          <w:b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val="0"/>
          <w:color w:val="000000" w:themeColor="text1"/>
          <w:sz w:val="24"/>
          <w:szCs w:val="24"/>
          <w:highlight w:val="none"/>
          <w14:textFill>
            <w14:solidFill>
              <w14:schemeClr w14:val="tx1"/>
            </w14:solidFill>
          </w14:textFill>
        </w:rPr>
        <w:t>三、获取采购文件</w:t>
      </w:r>
      <w:bookmarkEnd w:id="14"/>
      <w:bookmarkEnd w:id="15"/>
      <w:bookmarkEnd w:id="16"/>
      <w:bookmarkEnd w:id="17"/>
    </w:p>
    <w:p w14:paraId="6A53660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时间：</w:t>
      </w:r>
      <w:r>
        <w:rPr>
          <w:rFonts w:hint="eastAsia" w:cs="宋体"/>
          <w:i w:val="0"/>
          <w:iCs w:val="0"/>
          <w:color w:val="000000" w:themeColor="text1"/>
          <w:sz w:val="24"/>
          <w:szCs w:val="24"/>
          <w:highlight w:val="none"/>
          <w:u w:val="single"/>
          <w:lang w:val="en-US" w:eastAsia="zh-CN"/>
          <w14:textFill>
            <w14:solidFill>
              <w14:schemeClr w14:val="tx1"/>
            </w14:solidFill>
          </w14:textFill>
        </w:rPr>
        <w:t>2025</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年</w:t>
      </w:r>
      <w:r>
        <w:rPr>
          <w:rFonts w:hint="eastAsia" w:cs="宋体"/>
          <w:i w:val="0"/>
          <w:iCs w:val="0"/>
          <w:color w:val="000000" w:themeColor="text1"/>
          <w:sz w:val="24"/>
          <w:szCs w:val="24"/>
          <w:highlight w:val="none"/>
          <w:u w:val="single"/>
          <w:lang w:val="en-US" w:eastAsia="zh-CN"/>
          <w14:textFill>
            <w14:solidFill>
              <w14:schemeClr w14:val="tx1"/>
            </w14:solidFill>
          </w14:textFill>
        </w:rPr>
        <w:t>09</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月</w:t>
      </w:r>
      <w:r>
        <w:rPr>
          <w:rFonts w:hint="eastAsia" w:cs="宋体"/>
          <w:i w:val="0"/>
          <w:iCs w:val="0"/>
          <w:color w:val="000000" w:themeColor="text1"/>
          <w:sz w:val="24"/>
          <w:szCs w:val="24"/>
          <w:highlight w:val="none"/>
          <w:u w:val="single"/>
          <w:lang w:val="en-US" w:eastAsia="zh-CN"/>
          <w14:textFill>
            <w14:solidFill>
              <w14:schemeClr w14:val="tx1"/>
            </w14:solidFill>
          </w14:textFill>
        </w:rPr>
        <w:t>10</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日</w:t>
      </w:r>
      <w:r>
        <w:rPr>
          <w:rFonts w:hint="eastAsia" w:ascii="宋体" w:hAnsi="宋体" w:eastAsia="宋体" w:cs="宋体"/>
          <w:i w:val="0"/>
          <w:iCs w:val="0"/>
          <w:color w:val="000000" w:themeColor="text1"/>
          <w:sz w:val="24"/>
          <w:szCs w:val="24"/>
          <w:highlight w:val="none"/>
          <w14:textFill>
            <w14:solidFill>
              <w14:schemeClr w14:val="tx1"/>
            </w14:solidFill>
          </w14:textFill>
        </w:rPr>
        <w:t>至</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 xml:space="preserve"> </w:t>
      </w:r>
      <w:r>
        <w:rPr>
          <w:rFonts w:hint="eastAsia" w:cs="宋体"/>
          <w:i w:val="0"/>
          <w:iCs w:val="0"/>
          <w:color w:val="000000" w:themeColor="text1"/>
          <w:sz w:val="24"/>
          <w:szCs w:val="24"/>
          <w:highlight w:val="none"/>
          <w:u w:val="single"/>
          <w:lang w:val="en-US" w:eastAsia="zh-CN"/>
          <w14:textFill>
            <w14:solidFill>
              <w14:schemeClr w14:val="tx1"/>
            </w14:solidFill>
          </w14:textFill>
        </w:rPr>
        <w:t>2025</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年</w:t>
      </w:r>
      <w:r>
        <w:rPr>
          <w:rFonts w:hint="eastAsia" w:cs="宋体"/>
          <w:i w:val="0"/>
          <w:iCs w:val="0"/>
          <w:color w:val="000000" w:themeColor="text1"/>
          <w:sz w:val="24"/>
          <w:szCs w:val="24"/>
          <w:highlight w:val="none"/>
          <w:u w:val="single"/>
          <w:lang w:val="en-US" w:eastAsia="zh-CN"/>
          <w14:textFill>
            <w14:solidFill>
              <w14:schemeClr w14:val="tx1"/>
            </w14:solidFill>
          </w14:textFill>
        </w:rPr>
        <w:t>09</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月</w:t>
      </w:r>
      <w:r>
        <w:rPr>
          <w:rFonts w:hint="eastAsia" w:cs="宋体"/>
          <w:i w:val="0"/>
          <w:iCs w:val="0"/>
          <w:color w:val="000000" w:themeColor="text1"/>
          <w:sz w:val="24"/>
          <w:szCs w:val="24"/>
          <w:highlight w:val="none"/>
          <w:u w:val="single"/>
          <w:lang w:val="en-US" w:eastAsia="zh-CN"/>
          <w14:textFill>
            <w14:solidFill>
              <w14:schemeClr w14:val="tx1"/>
            </w14:solidFill>
          </w14:textFill>
        </w:rPr>
        <w:t>15</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日</w:t>
      </w:r>
      <w:r>
        <w:rPr>
          <w:rFonts w:hint="eastAsia" w:cs="宋体"/>
          <w:i w:val="0"/>
          <w:iCs w:val="0"/>
          <w:color w:val="000000" w:themeColor="text1"/>
          <w:sz w:val="24"/>
          <w:szCs w:val="24"/>
          <w:highlight w:val="none"/>
          <w:u w:val="single"/>
          <w:lang w:val="en-US" w:eastAsia="zh-CN"/>
          <w14:textFill>
            <w14:solidFill>
              <w14:schemeClr w14:val="tx1"/>
            </w14:solidFill>
          </w14:textFill>
        </w:rPr>
        <w:t>23:59分</w:t>
      </w:r>
      <w:r>
        <w:rPr>
          <w:rFonts w:hint="eastAsia" w:ascii="宋体" w:hAnsi="宋体" w:eastAsia="宋体" w:cs="宋体"/>
          <w:i w:val="0"/>
          <w:iCs w:val="0"/>
          <w:color w:val="000000" w:themeColor="text1"/>
          <w:sz w:val="24"/>
          <w:szCs w:val="24"/>
          <w:highlight w:val="none"/>
          <w14:textFill>
            <w14:solidFill>
              <w14:schemeClr w14:val="tx1"/>
            </w14:solidFill>
          </w14:textFill>
        </w:rPr>
        <w:t>（北京时间，法定节假日除外 ）</w:t>
      </w:r>
    </w:p>
    <w:p w14:paraId="476AAF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地点：周口市公共资源交易</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中心网</w:t>
      </w:r>
      <w:r>
        <w:rPr>
          <w:rFonts w:hint="eastAsia" w:ascii="宋体" w:hAnsi="宋体" w:eastAsia="宋体" w:cs="宋体"/>
          <w:i w:val="0"/>
          <w:iCs w:val="0"/>
          <w:color w:val="000000" w:themeColor="text1"/>
          <w:sz w:val="24"/>
          <w:szCs w:val="24"/>
          <w:highlight w:val="none"/>
          <w14:textFill>
            <w14:solidFill>
              <w14:schemeClr w14:val="tx1"/>
            </w14:solidFill>
          </w14:textFill>
        </w:rPr>
        <w:t>（http://jyzx.zhoukou.gov.cn）</w:t>
      </w:r>
    </w:p>
    <w:p w14:paraId="7BA1C8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u w:val="singl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方式：供应商</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请在网站自主注册后</w:t>
      </w:r>
      <w:r>
        <w:rPr>
          <w:rFonts w:hint="eastAsia" w:ascii="宋体" w:hAnsi="宋体" w:eastAsia="宋体" w:cs="宋体"/>
          <w:i w:val="0"/>
          <w:iCs w:val="0"/>
          <w:color w:val="000000" w:themeColor="text1"/>
          <w:sz w:val="24"/>
          <w:szCs w:val="24"/>
          <w:highlight w:val="none"/>
          <w14:textFill>
            <w14:solidFill>
              <w14:schemeClr w14:val="tx1"/>
            </w14:solidFill>
          </w14:textFill>
        </w:rPr>
        <w:t>下载采购文件（zkzf格式）及资料</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需</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办理</w:t>
      </w:r>
      <w:r>
        <w:rPr>
          <w:rFonts w:hint="eastAsia" w:ascii="宋体" w:hAnsi="宋体" w:eastAsia="宋体" w:cs="宋体"/>
          <w:i w:val="0"/>
          <w:iCs w:val="0"/>
          <w:color w:val="000000" w:themeColor="text1"/>
          <w:sz w:val="24"/>
          <w:szCs w:val="24"/>
          <w:highlight w:val="none"/>
          <w14:textFill>
            <w14:solidFill>
              <w14:schemeClr w14:val="tx1"/>
            </w14:solidFill>
          </w14:textFill>
        </w:rPr>
        <w:t>CA数字证书</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后方可提交响应文件</w:t>
      </w:r>
      <w:r>
        <w:rPr>
          <w:rFonts w:hint="eastAsia" w:ascii="宋体" w:hAnsi="宋体" w:eastAsia="宋体" w:cs="宋体"/>
          <w:i w:val="0"/>
          <w:iCs w:val="0"/>
          <w:color w:val="000000" w:themeColor="text1"/>
          <w:sz w:val="24"/>
          <w:szCs w:val="24"/>
          <w:highlight w:val="none"/>
          <w14:textFill>
            <w14:solidFill>
              <w14:schemeClr w14:val="tx1"/>
            </w14:solidFill>
          </w14:textFill>
        </w:rPr>
        <w:t>，具体办理事宜请查阅周口市公共资源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交易中心</w:t>
      </w:r>
      <w:r>
        <w:rPr>
          <w:rFonts w:hint="eastAsia" w:ascii="宋体" w:hAnsi="宋体" w:eastAsia="宋体" w:cs="宋体"/>
          <w:i w:val="0"/>
          <w:iCs w:val="0"/>
          <w:color w:val="000000" w:themeColor="text1"/>
          <w:sz w:val="24"/>
          <w:szCs w:val="24"/>
          <w:highlight w:val="none"/>
          <w14:textFill>
            <w14:solidFill>
              <w14:schemeClr w14:val="tx1"/>
            </w14:solidFill>
          </w14:textFill>
        </w:rPr>
        <w:t>网站。</w:t>
      </w:r>
    </w:p>
    <w:p w14:paraId="35E8776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售价：</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0</w:t>
      </w:r>
    </w:p>
    <w:p w14:paraId="4FFA492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000000" w:themeColor="text1"/>
          <w:sz w:val="24"/>
          <w:szCs w:val="24"/>
          <w:highlight w:val="none"/>
          <w14:textFill>
            <w14:solidFill>
              <w14:schemeClr w14:val="tx1"/>
            </w14:solidFill>
          </w14:textFill>
        </w:rPr>
      </w:pPr>
      <w:bookmarkStart w:id="18" w:name="_Toc35393632"/>
      <w:bookmarkStart w:id="19" w:name="_Toc28359092"/>
      <w:bookmarkStart w:id="20" w:name="_Toc35393801"/>
      <w:bookmarkStart w:id="21" w:name="_Toc28359015"/>
      <w:r>
        <w:rPr>
          <w:rFonts w:hint="eastAsia" w:ascii="宋体" w:hAnsi="宋体" w:eastAsia="宋体" w:cs="宋体"/>
          <w:b w:val="0"/>
          <w:color w:val="000000" w:themeColor="text1"/>
          <w:sz w:val="24"/>
          <w:szCs w:val="24"/>
          <w:highlight w:val="none"/>
          <w14:textFill>
            <w14:solidFill>
              <w14:schemeClr w14:val="tx1"/>
            </w14:solidFill>
          </w14:textFill>
        </w:rPr>
        <w:t>四、响应文件提交</w:t>
      </w:r>
      <w:bookmarkEnd w:id="18"/>
      <w:bookmarkEnd w:id="19"/>
      <w:bookmarkEnd w:id="20"/>
      <w:bookmarkEnd w:id="21"/>
    </w:p>
    <w:p w14:paraId="4003E9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highlight w:val="none"/>
          <w:u w:val="single"/>
        </w:rPr>
      </w:pPr>
      <w:r>
        <w:rPr>
          <w:rFonts w:hint="eastAsia" w:ascii="宋体" w:hAnsi="宋体" w:eastAsia="宋体" w:cs="宋体"/>
          <w:i w:val="0"/>
          <w:iCs w:val="0"/>
          <w:color w:val="000000" w:themeColor="text1"/>
          <w:sz w:val="24"/>
          <w:szCs w:val="24"/>
          <w:highlight w:val="none"/>
          <w14:textFill>
            <w14:solidFill>
              <w14:schemeClr w14:val="tx1"/>
            </w14:solidFill>
          </w14:textFill>
        </w:rPr>
        <w:t>截止时间：</w:t>
      </w:r>
      <w:r>
        <w:rPr>
          <w:rFonts w:hint="eastAsia" w:cs="宋体"/>
          <w:i w:val="0"/>
          <w:iCs w:val="0"/>
          <w:color w:val="000000" w:themeColor="text1"/>
          <w:sz w:val="24"/>
          <w:szCs w:val="24"/>
          <w:highlight w:val="none"/>
          <w:lang w:val="en-US" w:eastAsia="zh-CN"/>
          <w14:textFill>
            <w14:solidFill>
              <w14:schemeClr w14:val="tx1"/>
            </w14:solidFill>
          </w14:textFill>
        </w:rPr>
        <w:t>2025</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年</w:t>
      </w:r>
      <w:r>
        <w:rPr>
          <w:rFonts w:hint="eastAsia" w:cs="宋体"/>
          <w:i w:val="0"/>
          <w:iCs w:val="0"/>
          <w:sz w:val="24"/>
          <w:szCs w:val="24"/>
          <w:highlight w:val="none"/>
          <w:lang w:val="en-US" w:eastAsia="zh-CN"/>
        </w:rPr>
        <w:t>09</w:t>
      </w:r>
      <w:r>
        <w:rPr>
          <w:rFonts w:hint="eastAsia" w:ascii="宋体" w:hAnsi="宋体" w:eastAsia="宋体" w:cs="宋体"/>
          <w:i w:val="0"/>
          <w:iCs w:val="0"/>
          <w:sz w:val="24"/>
          <w:szCs w:val="24"/>
          <w:highlight w:val="none"/>
          <w:lang w:val="en-US" w:eastAsia="zh-CN"/>
        </w:rPr>
        <w:t>月</w:t>
      </w:r>
      <w:r>
        <w:rPr>
          <w:rFonts w:hint="eastAsia" w:cs="宋体"/>
          <w:i w:val="0"/>
          <w:iCs w:val="0"/>
          <w:sz w:val="24"/>
          <w:szCs w:val="24"/>
          <w:highlight w:val="none"/>
          <w:lang w:val="en-US" w:eastAsia="zh-CN"/>
        </w:rPr>
        <w:t>17</w:t>
      </w:r>
      <w:r>
        <w:rPr>
          <w:rFonts w:hint="eastAsia" w:ascii="宋体" w:hAnsi="宋体" w:eastAsia="宋体" w:cs="宋体"/>
          <w:i w:val="0"/>
          <w:iCs w:val="0"/>
          <w:sz w:val="24"/>
          <w:szCs w:val="24"/>
          <w:highlight w:val="none"/>
          <w:lang w:val="en-US" w:eastAsia="zh-CN"/>
        </w:rPr>
        <w:t>日</w:t>
      </w:r>
      <w:r>
        <w:rPr>
          <w:rFonts w:hint="eastAsia"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w:t>
      </w:r>
      <w:r>
        <w:rPr>
          <w:rFonts w:hint="eastAsia" w:ascii="宋体" w:hAnsi="宋体" w:eastAsia="宋体" w:cs="宋体"/>
          <w:bCs/>
          <w:i w:val="0"/>
          <w:iCs w:val="0"/>
          <w:sz w:val="24"/>
          <w:szCs w:val="24"/>
          <w:highlight w:val="none"/>
        </w:rPr>
        <w:t>（北京时间）</w:t>
      </w:r>
    </w:p>
    <w:p w14:paraId="5239845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highlight w:val="none"/>
          <w:u w:val="single"/>
        </w:rPr>
      </w:pPr>
      <w:r>
        <w:rPr>
          <w:rFonts w:hint="eastAsia" w:ascii="宋体" w:hAnsi="宋体" w:eastAsia="宋体" w:cs="宋体"/>
          <w:i w:val="0"/>
          <w:iCs w:val="0"/>
          <w:sz w:val="24"/>
          <w:szCs w:val="24"/>
          <w:highlight w:val="none"/>
        </w:rPr>
        <w:t>地点：加密电子响应文件须在投标截止时间前通过“</w:t>
      </w:r>
      <w:r>
        <w:rPr>
          <w:rFonts w:hint="eastAsia" w:ascii="宋体" w:hAnsi="宋体" w:eastAsia="宋体" w:cs="宋体"/>
          <w:i w:val="0"/>
          <w:iCs w:val="0"/>
          <w:spacing w:val="-6"/>
          <w:sz w:val="24"/>
          <w:szCs w:val="24"/>
          <w:highlight w:val="none"/>
        </w:rPr>
        <w:t>周口市公共资源交易中心网</w:t>
      </w:r>
      <w:r>
        <w:rPr>
          <w:rFonts w:hint="eastAsia" w:ascii="宋体" w:hAnsi="宋体" w:eastAsia="宋体" w:cs="宋体"/>
          <w:i w:val="0"/>
          <w:iCs w:val="0"/>
          <w:sz w:val="24"/>
          <w:szCs w:val="24"/>
          <w:highlight w:val="none"/>
        </w:rPr>
        <w:t>（网址</w:t>
      </w:r>
      <w:r>
        <w:rPr>
          <w:rFonts w:hint="eastAsia" w:ascii="宋体" w:hAnsi="宋体" w:eastAsia="宋体" w:cs="宋体"/>
          <w:i w:val="0"/>
          <w:iCs w:val="0"/>
          <w:color w:val="000000"/>
          <w:kern w:val="2"/>
          <w:sz w:val="24"/>
          <w:szCs w:val="24"/>
          <w:highlight w:val="none"/>
        </w:rPr>
        <w:t>http://jyzx.zhoukou.gov.cn</w:t>
      </w:r>
      <w:r>
        <w:rPr>
          <w:rFonts w:hint="eastAsia" w:ascii="宋体" w:hAnsi="宋体" w:eastAsia="宋体" w:cs="宋体"/>
          <w:i w:val="0"/>
          <w:iCs w:val="0"/>
          <w:sz w:val="24"/>
          <w:szCs w:val="24"/>
          <w:highlight w:val="none"/>
        </w:rPr>
        <w:t>）”。</w:t>
      </w:r>
    </w:p>
    <w:p w14:paraId="626D41C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sz w:val="24"/>
          <w:szCs w:val="24"/>
          <w:highlight w:val="none"/>
        </w:rPr>
      </w:pPr>
      <w:bookmarkStart w:id="22" w:name="_Toc28359016"/>
      <w:bookmarkStart w:id="23" w:name="_Toc35393633"/>
      <w:bookmarkStart w:id="24" w:name="_Toc35393802"/>
      <w:bookmarkStart w:id="25" w:name="_Toc28359093"/>
      <w:r>
        <w:rPr>
          <w:rFonts w:hint="eastAsia" w:ascii="宋体" w:hAnsi="宋体" w:eastAsia="宋体" w:cs="宋体"/>
          <w:b w:val="0"/>
          <w:i w:val="0"/>
          <w:iCs w:val="0"/>
          <w:sz w:val="24"/>
          <w:szCs w:val="24"/>
          <w:highlight w:val="none"/>
        </w:rPr>
        <w:t>五、开启（竞争性</w:t>
      </w:r>
      <w:r>
        <w:rPr>
          <w:rFonts w:hint="eastAsia" w:ascii="宋体" w:hAnsi="宋体" w:eastAsia="宋体" w:cs="宋体"/>
          <w:b w:val="0"/>
          <w:i w:val="0"/>
          <w:iCs w:val="0"/>
          <w:sz w:val="24"/>
          <w:szCs w:val="24"/>
          <w:highlight w:val="none"/>
          <w:lang w:eastAsia="zh-CN"/>
        </w:rPr>
        <w:t>谈判</w:t>
      </w:r>
      <w:r>
        <w:rPr>
          <w:rFonts w:hint="eastAsia" w:ascii="宋体" w:hAnsi="宋体" w:eastAsia="宋体" w:cs="宋体"/>
          <w:b w:val="0"/>
          <w:i w:val="0"/>
          <w:iCs w:val="0"/>
          <w:sz w:val="24"/>
          <w:szCs w:val="24"/>
          <w:highlight w:val="none"/>
        </w:rPr>
        <w:t>方式必须填写）</w:t>
      </w:r>
      <w:bookmarkEnd w:id="22"/>
      <w:bookmarkEnd w:id="23"/>
      <w:bookmarkEnd w:id="24"/>
      <w:bookmarkEnd w:id="25"/>
    </w:p>
    <w:p w14:paraId="19E4D8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highlight w:val="none"/>
          <w:u w:val="single"/>
        </w:rPr>
      </w:pPr>
      <w:r>
        <w:rPr>
          <w:rFonts w:hint="eastAsia" w:ascii="宋体" w:hAnsi="宋体" w:eastAsia="宋体" w:cs="宋体"/>
          <w:sz w:val="24"/>
          <w:szCs w:val="24"/>
          <w:highlight w:val="none"/>
        </w:rPr>
        <w:t>时间：</w:t>
      </w:r>
      <w:r>
        <w:rPr>
          <w:rFonts w:hint="eastAsia"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cs="宋体"/>
          <w:i w:val="0"/>
          <w:iCs w:val="0"/>
          <w:sz w:val="24"/>
          <w:szCs w:val="24"/>
          <w:highlight w:val="none"/>
          <w:lang w:val="en-US" w:eastAsia="zh-CN"/>
        </w:rPr>
        <w:t>09</w:t>
      </w:r>
      <w:r>
        <w:rPr>
          <w:rFonts w:hint="eastAsia" w:ascii="宋体" w:hAnsi="宋体" w:eastAsia="宋体" w:cs="宋体"/>
          <w:i w:val="0"/>
          <w:iCs w:val="0"/>
          <w:sz w:val="24"/>
          <w:szCs w:val="24"/>
          <w:highlight w:val="none"/>
          <w:lang w:val="en-US" w:eastAsia="zh-CN"/>
        </w:rPr>
        <w:t>月</w:t>
      </w:r>
      <w:r>
        <w:rPr>
          <w:rFonts w:hint="eastAsia" w:cs="宋体"/>
          <w:i w:val="0"/>
          <w:iCs w:val="0"/>
          <w:sz w:val="24"/>
          <w:szCs w:val="24"/>
          <w:highlight w:val="none"/>
          <w:lang w:val="en-US" w:eastAsia="zh-CN"/>
        </w:rPr>
        <w:t>17</w:t>
      </w:r>
      <w:r>
        <w:rPr>
          <w:rFonts w:hint="eastAsia" w:ascii="宋体" w:hAnsi="宋体" w:eastAsia="宋体" w:cs="宋体"/>
          <w:i w:val="0"/>
          <w:iCs w:val="0"/>
          <w:sz w:val="24"/>
          <w:szCs w:val="24"/>
          <w:highlight w:val="none"/>
          <w:lang w:val="en-US" w:eastAsia="zh-CN"/>
        </w:rPr>
        <w:t>日</w:t>
      </w:r>
      <w:r>
        <w:rPr>
          <w:rFonts w:hint="eastAsia"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w:t>
      </w:r>
      <w:r>
        <w:rPr>
          <w:rFonts w:hint="eastAsia" w:ascii="宋体" w:hAnsi="宋体" w:eastAsia="宋体" w:cs="宋体"/>
          <w:bCs/>
          <w:sz w:val="24"/>
          <w:szCs w:val="24"/>
          <w:highlight w:val="none"/>
        </w:rPr>
        <w:t>（北京时间）</w:t>
      </w:r>
    </w:p>
    <w:p w14:paraId="55CD18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highlight w:val="none"/>
          <w:u w:val="single"/>
        </w:rPr>
      </w:pPr>
      <w:r>
        <w:rPr>
          <w:rFonts w:hint="eastAsia" w:ascii="宋体" w:hAnsi="宋体" w:eastAsia="宋体" w:cs="宋体"/>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5BF501B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bookmarkStart w:id="26" w:name="_Toc28359094"/>
      <w:bookmarkStart w:id="27" w:name="_Toc28359017"/>
      <w:bookmarkStart w:id="28" w:name="_Toc35393634"/>
      <w:bookmarkStart w:id="29" w:name="_Toc35393803"/>
      <w:r>
        <w:rPr>
          <w:rFonts w:hint="eastAsia" w:ascii="宋体" w:hAnsi="宋体" w:eastAsia="宋体" w:cs="宋体"/>
          <w:b w:val="0"/>
          <w:sz w:val="24"/>
          <w:szCs w:val="24"/>
          <w:highlight w:val="none"/>
        </w:rPr>
        <w:t>六、公告期限</w:t>
      </w:r>
      <w:bookmarkEnd w:id="26"/>
      <w:bookmarkEnd w:id="27"/>
      <w:bookmarkEnd w:id="28"/>
      <w:bookmarkEnd w:id="29"/>
    </w:p>
    <w:p w14:paraId="3FDB48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自本公告发布之日起3个工作日。</w:t>
      </w:r>
    </w:p>
    <w:p w14:paraId="13422F8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sz w:val="24"/>
          <w:szCs w:val="24"/>
          <w:highlight w:val="none"/>
        </w:rPr>
      </w:pPr>
      <w:bookmarkStart w:id="30" w:name="_Toc35393804"/>
      <w:bookmarkStart w:id="31" w:name="_Toc35393635"/>
      <w:r>
        <w:rPr>
          <w:rFonts w:hint="eastAsia" w:ascii="宋体" w:hAnsi="宋体" w:eastAsia="宋体" w:cs="宋体"/>
          <w:b w:val="0"/>
          <w:sz w:val="24"/>
          <w:szCs w:val="24"/>
          <w:highlight w:val="none"/>
        </w:rPr>
        <w:t>七、其他补充事宜</w:t>
      </w:r>
      <w:bookmarkEnd w:id="30"/>
      <w:bookmarkEnd w:id="31"/>
    </w:p>
    <w:p w14:paraId="7F0ECEC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bookmarkStart w:id="32" w:name="_Toc35393805"/>
      <w:bookmarkStart w:id="33" w:name="_Toc28359018"/>
      <w:bookmarkStart w:id="34" w:name="_Toc28359095"/>
      <w:bookmarkStart w:id="35" w:name="_Toc35393636"/>
      <w:r>
        <w:rPr>
          <w:rFonts w:hint="eastAsia" w:ascii="宋体" w:hAnsi="宋体" w:eastAsia="宋体" w:cs="宋体"/>
          <w:b w:val="0"/>
          <w:sz w:val="24"/>
          <w:szCs w:val="24"/>
          <w:highlight w:val="none"/>
        </w:rPr>
        <w:t>八、凡对本次采购提出询问，请按以下方式联系。</w:t>
      </w:r>
      <w:bookmarkEnd w:id="32"/>
      <w:bookmarkEnd w:id="33"/>
      <w:bookmarkEnd w:id="34"/>
      <w:bookmarkEnd w:id="35"/>
    </w:p>
    <w:p w14:paraId="650B59C9">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highlight w:val="none"/>
        </w:rPr>
      </w:pPr>
      <w:bookmarkStart w:id="36" w:name="_Toc28359019"/>
      <w:bookmarkStart w:id="37" w:name="_Toc28359096"/>
      <w:bookmarkStart w:id="38" w:name="_Toc35393806"/>
      <w:bookmarkStart w:id="39" w:name="_Toc35393637"/>
      <w:r>
        <w:rPr>
          <w:rFonts w:hint="eastAsia" w:ascii="宋体" w:hAnsi="宋体" w:eastAsia="宋体" w:cs="宋体"/>
          <w:b w:val="0"/>
          <w:sz w:val="24"/>
          <w:szCs w:val="24"/>
          <w:highlight w:val="none"/>
        </w:rPr>
        <w:t>1.采购人信息</w:t>
      </w:r>
      <w:bookmarkEnd w:id="36"/>
      <w:bookmarkEnd w:id="37"/>
      <w:bookmarkEnd w:id="38"/>
      <w:bookmarkEnd w:id="39"/>
    </w:p>
    <w:p w14:paraId="69242A8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名    称：</w:t>
      </w:r>
      <w:r>
        <w:rPr>
          <w:rFonts w:hint="eastAsia" w:cs="宋体"/>
          <w:b w:val="0"/>
          <w:sz w:val="24"/>
          <w:szCs w:val="24"/>
          <w:highlight w:val="none"/>
          <w:lang w:eastAsia="zh-CN"/>
        </w:rPr>
        <w:t>郸城县丁村乡人民政府</w:t>
      </w:r>
      <w:r>
        <w:rPr>
          <w:rFonts w:hint="eastAsia" w:ascii="宋体" w:hAnsi="宋体" w:eastAsia="宋体" w:cs="宋体"/>
          <w:b w:val="0"/>
          <w:sz w:val="24"/>
          <w:szCs w:val="24"/>
          <w:highlight w:val="none"/>
        </w:rPr>
        <w:t>　　　　　　　　　　　　</w:t>
      </w:r>
    </w:p>
    <w:p w14:paraId="7B908CA6">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地    址：</w:t>
      </w:r>
      <w:r>
        <w:rPr>
          <w:rFonts w:hint="eastAsia" w:cs="宋体"/>
          <w:b w:val="0"/>
          <w:sz w:val="24"/>
          <w:szCs w:val="24"/>
          <w:highlight w:val="none"/>
          <w:lang w:eastAsia="zh-CN"/>
        </w:rPr>
        <w:t>郸城县</w:t>
      </w:r>
      <w:r>
        <w:rPr>
          <w:rFonts w:hint="eastAsia" w:ascii="宋体" w:hAnsi="宋体" w:eastAsia="宋体" w:cs="宋体"/>
          <w:b w:val="0"/>
          <w:sz w:val="24"/>
          <w:szCs w:val="24"/>
          <w:highlight w:val="none"/>
        </w:rPr>
        <w:t>　　　　　　　　　　</w:t>
      </w:r>
    </w:p>
    <w:p w14:paraId="3355BEE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项目联系人：</w:t>
      </w:r>
      <w:r>
        <w:rPr>
          <w:rFonts w:hint="eastAsia" w:cs="宋体"/>
          <w:b w:val="0"/>
          <w:color w:val="auto"/>
          <w:sz w:val="24"/>
          <w:szCs w:val="24"/>
          <w:highlight w:val="none"/>
          <w:lang w:val="en-US" w:eastAsia="zh-CN"/>
        </w:rPr>
        <w:t>毛渊峰</w:t>
      </w:r>
    </w:p>
    <w:p w14:paraId="25AD74B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highlight w:val="none"/>
        </w:rPr>
      </w:pPr>
      <w:r>
        <w:rPr>
          <w:rFonts w:hint="eastAsia" w:ascii="宋体" w:hAnsi="宋体" w:eastAsia="宋体" w:cs="宋体"/>
          <w:b w:val="0"/>
          <w:color w:val="auto"/>
          <w:sz w:val="24"/>
          <w:szCs w:val="24"/>
          <w:highlight w:val="none"/>
        </w:rPr>
        <w:t>联系方式：</w:t>
      </w:r>
      <w:r>
        <w:rPr>
          <w:rFonts w:hint="eastAsia" w:cs="宋体"/>
          <w:b w:val="0"/>
          <w:color w:val="auto"/>
          <w:sz w:val="24"/>
          <w:szCs w:val="24"/>
          <w:highlight w:val="none"/>
          <w:lang w:val="en-US" w:eastAsia="zh-CN"/>
        </w:rPr>
        <w:t>13683942363</w:t>
      </w:r>
      <w:r>
        <w:rPr>
          <w:rFonts w:hint="eastAsia" w:ascii="宋体" w:hAnsi="宋体" w:eastAsia="宋体" w:cs="宋体"/>
          <w:b w:val="0"/>
          <w:color w:val="auto"/>
          <w:sz w:val="24"/>
          <w:szCs w:val="24"/>
          <w:highlight w:val="none"/>
        </w:rPr>
        <w:t>　　</w:t>
      </w:r>
      <w:r>
        <w:rPr>
          <w:rFonts w:hint="eastAsia" w:ascii="宋体" w:hAnsi="宋体" w:eastAsia="宋体" w:cs="宋体"/>
          <w:b w:val="0"/>
          <w:sz w:val="24"/>
          <w:szCs w:val="24"/>
          <w:highlight w:val="none"/>
        </w:rPr>
        <w:t xml:space="preserve">　　　　 　　　 </w:t>
      </w:r>
    </w:p>
    <w:p w14:paraId="2321310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highlight w:val="none"/>
        </w:rPr>
      </w:pPr>
      <w:bookmarkStart w:id="40" w:name="_Toc28359020"/>
      <w:bookmarkStart w:id="41" w:name="_Toc28359097"/>
      <w:bookmarkStart w:id="42" w:name="_Toc35393638"/>
      <w:bookmarkStart w:id="43" w:name="_Toc35393807"/>
      <w:r>
        <w:rPr>
          <w:rFonts w:hint="eastAsia" w:ascii="宋体" w:hAnsi="宋体" w:eastAsia="宋体" w:cs="宋体"/>
          <w:b w:val="0"/>
          <w:sz w:val="24"/>
          <w:szCs w:val="24"/>
          <w:highlight w:val="none"/>
        </w:rPr>
        <w:t>2.采购代理机构信息</w:t>
      </w:r>
      <w:bookmarkEnd w:id="40"/>
      <w:bookmarkEnd w:id="41"/>
      <w:bookmarkEnd w:id="42"/>
      <w:bookmarkEnd w:id="43"/>
    </w:p>
    <w:p w14:paraId="117D0DE6">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名    称：</w:t>
      </w:r>
      <w:r>
        <w:rPr>
          <w:rFonts w:hint="eastAsia" w:ascii="宋体" w:hAnsi="宋体" w:eastAsia="宋体" w:cs="宋体"/>
          <w:spacing w:val="-6"/>
          <w:sz w:val="24"/>
          <w:szCs w:val="24"/>
          <w:highlight w:val="none"/>
        </w:rPr>
        <w:t xml:space="preserve">周口市公共资源交易中心政府采购中心 </w:t>
      </w:r>
    </w:p>
    <w:p w14:paraId="19AE8CCF">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r>
        <w:rPr>
          <w:rFonts w:hint="eastAsia" w:ascii="宋体" w:hAnsi="宋体" w:eastAsia="宋体" w:cs="宋体"/>
          <w:spacing w:val="-6"/>
          <w:sz w:val="24"/>
          <w:szCs w:val="24"/>
          <w:highlight w:val="none"/>
        </w:rPr>
        <w:t xml:space="preserve">周口市东新区光明路和政通路交叉口北100米路东 </w:t>
      </w:r>
    </w:p>
    <w:p w14:paraId="61E46E4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b w:val="0"/>
          <w:sz w:val="24"/>
          <w:szCs w:val="24"/>
          <w:highlight w:val="none"/>
          <w:lang w:val="en-US" w:eastAsia="zh-CN"/>
        </w:rPr>
      </w:pPr>
      <w:r>
        <w:rPr>
          <w:rFonts w:hint="eastAsia" w:ascii="宋体" w:hAnsi="宋体" w:eastAsia="宋体" w:cs="宋体"/>
          <w:b w:val="0"/>
          <w:sz w:val="24"/>
          <w:szCs w:val="24"/>
          <w:highlight w:val="none"/>
        </w:rPr>
        <w:t>项目联系人：</w:t>
      </w:r>
      <w:r>
        <w:rPr>
          <w:rFonts w:hint="eastAsia" w:cs="宋体"/>
          <w:b w:val="0"/>
          <w:sz w:val="24"/>
          <w:szCs w:val="24"/>
          <w:highlight w:val="none"/>
          <w:lang w:val="en-US" w:eastAsia="zh-CN"/>
        </w:rPr>
        <w:t xml:space="preserve">郝冰  </w:t>
      </w:r>
    </w:p>
    <w:p w14:paraId="1A96160A">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联系方式：</w:t>
      </w:r>
      <w:r>
        <w:rPr>
          <w:rFonts w:hint="eastAsia" w:cs="宋体"/>
          <w:sz w:val="24"/>
          <w:szCs w:val="24"/>
          <w:highlight w:val="none"/>
          <w:lang w:val="en-US" w:eastAsia="zh-CN"/>
        </w:rPr>
        <w:t>0394-8106517</w:t>
      </w:r>
    </w:p>
    <w:p w14:paraId="7E1E4D86">
      <w:pPr>
        <w:spacing w:line="360" w:lineRule="auto"/>
        <w:ind w:firstLine="720" w:firstLineChars="300"/>
        <w:rPr>
          <w:color w:val="000000"/>
          <w:sz w:val="24"/>
          <w:szCs w:val="24"/>
          <w:highlight w:val="none"/>
          <w:lang w:val="en-US"/>
        </w:rPr>
      </w:pPr>
      <w:bookmarkStart w:id="44" w:name="_Toc28359098"/>
      <w:bookmarkStart w:id="45" w:name="_Toc35393808"/>
      <w:bookmarkStart w:id="46" w:name="_Toc28359021"/>
      <w:bookmarkStart w:id="47" w:name="_Toc35393639"/>
      <w:r>
        <w:rPr>
          <w:rFonts w:hint="eastAsia" w:ascii="宋体" w:hAnsi="宋体" w:eastAsia="宋体" w:cs="宋体"/>
          <w:b w:val="0"/>
          <w:i w:val="0"/>
          <w:iCs w:val="0"/>
          <w:color w:val="auto"/>
          <w:sz w:val="24"/>
          <w:szCs w:val="24"/>
          <w:highlight w:val="none"/>
        </w:rPr>
        <w:t>3.</w:t>
      </w:r>
      <w:bookmarkEnd w:id="44"/>
      <w:bookmarkEnd w:id="45"/>
      <w:bookmarkEnd w:id="46"/>
      <w:bookmarkEnd w:id="47"/>
      <w:r>
        <w:rPr>
          <w:rFonts w:hint="eastAsia"/>
          <w:color w:val="000000"/>
          <w:sz w:val="24"/>
          <w:szCs w:val="24"/>
          <w:highlight w:val="none"/>
          <w:lang w:val="en-US"/>
        </w:rPr>
        <w:t>监督单位：</w:t>
      </w:r>
      <w:r>
        <w:rPr>
          <w:rFonts w:hint="eastAsia" w:ascii="宋体" w:hAnsi="宋体" w:cs="宋体"/>
          <w:i w:val="0"/>
          <w:iCs w:val="0"/>
          <w:color w:val="auto"/>
          <w:sz w:val="24"/>
          <w:szCs w:val="24"/>
          <w:highlight w:val="none"/>
          <w:lang w:val="en-US" w:eastAsia="zh-CN"/>
        </w:rPr>
        <w:t>郸城县政府采购办</w:t>
      </w:r>
      <w:r>
        <w:rPr>
          <w:color w:val="000000"/>
          <w:sz w:val="24"/>
          <w:szCs w:val="24"/>
          <w:highlight w:val="none"/>
          <w:lang w:val="en-US"/>
        </w:rPr>
        <w:t xml:space="preserve"> </w:t>
      </w:r>
    </w:p>
    <w:p w14:paraId="53C410AB">
      <w:pPr>
        <w:spacing w:before="0" w:after="0" w:line="240" w:lineRule="auto"/>
        <w:ind w:left="0" w:right="0" w:firstLine="720"/>
        <w:jc w:val="left"/>
        <w:rPr>
          <w:rFonts w:hint="eastAsia" w:ascii="宋体" w:hAnsi="宋体" w:eastAsia="宋体" w:cs="宋体"/>
          <w:color w:val="auto"/>
          <w:spacing w:val="0"/>
          <w:position w:val="0"/>
          <w:sz w:val="24"/>
          <w:highlight w:val="none"/>
          <w:shd w:val="clear" w:color="auto" w:fill="auto"/>
        </w:rPr>
      </w:pPr>
      <w:r>
        <w:rPr>
          <w:rFonts w:hint="eastAsia"/>
          <w:color w:val="000000"/>
          <w:sz w:val="24"/>
          <w:szCs w:val="24"/>
          <w:highlight w:val="none"/>
          <w:lang w:val="en-US"/>
        </w:rPr>
        <w:t>联系方式：</w:t>
      </w:r>
      <w:r>
        <w:rPr>
          <w:rFonts w:hint="eastAsia" w:ascii="宋体" w:hAnsi="宋体" w:cs="宋体"/>
          <w:color w:val="auto"/>
          <w:sz w:val="24"/>
          <w:szCs w:val="24"/>
          <w:highlight w:val="none"/>
          <w:lang w:eastAsia="zh-CN"/>
        </w:rPr>
        <w:t>0394-3298829</w:t>
      </w:r>
    </w:p>
    <w:p w14:paraId="6F8C0A15">
      <w:pPr>
        <w:pStyle w:val="23"/>
        <w:ind w:firstLine="660" w:firstLineChars="300"/>
        <w:rPr>
          <w:rFonts w:hint="eastAsia" w:ascii="宋体" w:hAnsi="宋体" w:eastAsia="宋体" w:cs="宋体"/>
          <w:highlight w:val="none"/>
          <w:lang w:val="en-US" w:eastAsia="zh-CN"/>
        </w:rPr>
      </w:pPr>
    </w:p>
    <w:p w14:paraId="301DAC7D">
      <w:pPr>
        <w:pStyle w:val="23"/>
        <w:rPr>
          <w:rFonts w:hint="eastAsia" w:ascii="宋体" w:hAnsi="宋体" w:eastAsia="宋体" w:cs="宋体"/>
          <w:sz w:val="24"/>
          <w:szCs w:val="24"/>
          <w:highlight w:val="none"/>
          <w:lang w:val="en-US" w:eastAsia="zh-CN"/>
        </w:rPr>
      </w:pPr>
    </w:p>
    <w:p w14:paraId="146C7019">
      <w:pPr>
        <w:pStyle w:val="6"/>
        <w:adjustRightInd w:val="0"/>
        <w:snapToGrid w:val="0"/>
        <w:spacing w:line="360" w:lineRule="auto"/>
        <w:ind w:firstLine="480" w:firstLineChars="200"/>
        <w:rPr>
          <w:rFonts w:hint="eastAsia" w:ascii="宋体" w:hAnsi="宋体" w:eastAsia="宋体" w:cs="宋体"/>
          <w:sz w:val="24"/>
          <w:szCs w:val="24"/>
          <w:highlight w:val="none"/>
        </w:rPr>
      </w:pPr>
    </w:p>
    <w:p w14:paraId="41826EA7">
      <w:pPr>
        <w:pStyle w:val="6"/>
        <w:adjustRightInd w:val="0"/>
        <w:snapToGrid w:val="0"/>
        <w:spacing w:line="360" w:lineRule="auto"/>
        <w:ind w:firstLine="1680" w:firstLineChars="7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周口市公共资源交易中心政府采购中心</w:t>
      </w:r>
    </w:p>
    <w:p w14:paraId="092C9F5C">
      <w:pPr>
        <w:pStyle w:val="6"/>
        <w:adjustRightInd w:val="0"/>
        <w:snapToGrid w:val="0"/>
        <w:spacing w:line="360" w:lineRule="auto"/>
        <w:ind w:firstLine="2040" w:firstLineChars="850"/>
        <w:jc w:val="right"/>
        <w:rPr>
          <w:rFonts w:hint="default" w:ascii="宋体" w:hAnsi="宋体" w:eastAsia="宋体" w:cs="宋体"/>
          <w:sz w:val="24"/>
          <w:szCs w:val="24"/>
          <w:highlight w:val="none"/>
          <w:lang w:val="en-US" w:eastAsia="zh-CN"/>
        </w:rPr>
      </w:pPr>
      <w:r>
        <w:rPr>
          <w:rFonts w:hint="eastAsia" w:ascii="宋体" w:hAnsi="宋体" w:eastAsia="宋体" w:cs="宋体"/>
          <w:color w:val="000000"/>
          <w:sz w:val="24"/>
          <w:szCs w:val="24"/>
          <w:highlight w:val="none"/>
          <w:shd w:val="clear" w:color="auto" w:fill="FFFFFF"/>
          <w:lang w:val="en-US" w:eastAsia="zh-CN"/>
        </w:rPr>
        <w:t>202</w:t>
      </w:r>
      <w:r>
        <w:rPr>
          <w:rFonts w:hint="eastAsia" w:cs="宋体"/>
          <w:color w:val="000000"/>
          <w:sz w:val="24"/>
          <w:szCs w:val="24"/>
          <w:highlight w:val="none"/>
          <w:shd w:val="clear" w:color="auto" w:fill="FFFFFF"/>
          <w:lang w:val="en-US" w:eastAsia="zh-CN"/>
        </w:rPr>
        <w:t>5</w:t>
      </w:r>
      <w:r>
        <w:rPr>
          <w:rFonts w:hint="eastAsia" w:ascii="宋体" w:hAnsi="宋体" w:eastAsia="宋体" w:cs="宋体"/>
          <w:sz w:val="24"/>
          <w:szCs w:val="24"/>
          <w:highlight w:val="none"/>
        </w:rPr>
        <w:t>年</w:t>
      </w:r>
      <w:r>
        <w:rPr>
          <w:rFonts w:hint="eastAsia" w:cs="宋体"/>
          <w:color w:val="000000"/>
          <w:sz w:val="24"/>
          <w:szCs w:val="24"/>
          <w:highlight w:val="none"/>
          <w:shd w:val="clear" w:color="auto" w:fill="FFFFFF"/>
          <w:lang w:val="en-US" w:eastAsia="zh-CN"/>
        </w:rPr>
        <w:t>9</w:t>
      </w:r>
      <w:r>
        <w:rPr>
          <w:rFonts w:hint="eastAsia" w:ascii="宋体" w:hAnsi="宋体" w:eastAsia="宋体" w:cs="宋体"/>
          <w:sz w:val="24"/>
          <w:szCs w:val="24"/>
          <w:highlight w:val="none"/>
        </w:rPr>
        <w:t>月</w:t>
      </w:r>
      <w:r>
        <w:rPr>
          <w:rFonts w:hint="eastAsia" w:cs="宋体"/>
          <w:sz w:val="24"/>
          <w:szCs w:val="24"/>
          <w:highlight w:val="none"/>
          <w:lang w:val="en-US" w:eastAsia="zh-CN"/>
        </w:rPr>
        <w:t>10日</w:t>
      </w:r>
      <w:bookmarkStart w:id="65" w:name="_GoBack"/>
      <w:bookmarkEnd w:id="65"/>
    </w:p>
    <w:p w14:paraId="2137E6EA">
      <w:pPr>
        <w:rPr>
          <w:rFonts w:hint="eastAsia" w:ascii="宋体" w:hAnsi="宋体" w:eastAsia="宋体" w:cs="宋体"/>
          <w:highlight w:val="none"/>
        </w:rPr>
      </w:pPr>
    </w:p>
    <w:p w14:paraId="30EE166B">
      <w:pPr>
        <w:rPr>
          <w:rFonts w:hint="eastAsia" w:ascii="宋体" w:hAnsi="宋体" w:eastAsia="宋体" w:cs="宋体"/>
          <w:highlight w:val="none"/>
        </w:rPr>
      </w:pPr>
      <w:r>
        <w:rPr>
          <w:rFonts w:hint="eastAsia" w:ascii="宋体" w:hAnsi="宋体" w:eastAsia="宋体" w:cs="宋体"/>
          <w:highlight w:val="none"/>
          <w:lang w:val="en-US"/>
        </w:rPr>
        <w:br w:type="page"/>
      </w:r>
    </w:p>
    <w:p w14:paraId="3FFEEE88">
      <w:pPr>
        <w:pStyle w:val="3"/>
        <w:numPr>
          <w:ilvl w:val="0"/>
          <w:numId w:val="1"/>
        </w:numPr>
        <w:tabs>
          <w:tab w:val="left" w:pos="1607"/>
        </w:tabs>
        <w:spacing w:before="100"/>
        <w:rPr>
          <w:rFonts w:hint="eastAsia" w:ascii="宋体" w:hAnsi="宋体" w:eastAsia="宋体" w:cs="宋体"/>
          <w:highlight w:val="none"/>
        </w:rPr>
      </w:pPr>
      <w:r>
        <w:rPr>
          <w:rFonts w:hint="eastAsia" w:ascii="宋体" w:hAnsi="宋体" w:eastAsia="宋体" w:cs="宋体"/>
          <w:highlight w:val="none"/>
          <w:lang w:val="en-US"/>
        </w:rPr>
        <w:t>谈判供应商须知</w:t>
      </w:r>
    </w:p>
    <w:p w14:paraId="2FC648DA">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投标须知前附表</w:t>
      </w:r>
    </w:p>
    <w:p w14:paraId="7C79754A">
      <w:pPr>
        <w:pStyle w:val="16"/>
        <w:rPr>
          <w:rFonts w:hint="eastAsia" w:ascii="宋体" w:hAnsi="宋体" w:eastAsia="宋体" w:cs="宋体"/>
          <w:highlight w:val="none"/>
        </w:rPr>
      </w:pPr>
    </w:p>
    <w:tbl>
      <w:tblPr>
        <w:tblStyle w:val="20"/>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745"/>
        <w:gridCol w:w="6274"/>
      </w:tblGrid>
      <w:tr w14:paraId="1F05B5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27F8F66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745" w:type="dxa"/>
            <w:tcBorders>
              <w:left w:val="single" w:color="auto" w:sz="4" w:space="0"/>
            </w:tcBorders>
            <w:noWrap w:val="0"/>
            <w:vAlign w:val="center"/>
          </w:tcPr>
          <w:p w14:paraId="55CDB4E3">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6274" w:type="dxa"/>
            <w:noWrap w:val="0"/>
            <w:vAlign w:val="center"/>
          </w:tcPr>
          <w:p w14:paraId="5F50E128">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内      容</w:t>
            </w:r>
          </w:p>
        </w:tc>
      </w:tr>
      <w:tr w14:paraId="5E3EB8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7C3CD9F7">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745" w:type="dxa"/>
            <w:tcBorders>
              <w:left w:val="single" w:color="auto" w:sz="4" w:space="0"/>
            </w:tcBorders>
            <w:noWrap w:val="0"/>
            <w:vAlign w:val="center"/>
          </w:tcPr>
          <w:p w14:paraId="46B6FFDE">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项目名称</w:t>
            </w:r>
          </w:p>
        </w:tc>
        <w:tc>
          <w:tcPr>
            <w:tcW w:w="6274" w:type="dxa"/>
            <w:noWrap w:val="0"/>
            <w:vAlign w:val="center"/>
          </w:tcPr>
          <w:p w14:paraId="6C3BDA52">
            <w:pPr>
              <w:spacing w:line="360" w:lineRule="auto"/>
              <w:rPr>
                <w:rFonts w:hint="eastAsia" w:ascii="宋体" w:hAnsi="宋体" w:eastAsia="宋体" w:cs="宋体"/>
                <w:bCs/>
                <w:sz w:val="24"/>
                <w:szCs w:val="24"/>
                <w:highlight w:val="none"/>
              </w:rPr>
            </w:pPr>
            <w:r>
              <w:rPr>
                <w:rFonts w:hint="eastAsia" w:cs="宋体"/>
                <w:bCs/>
                <w:sz w:val="24"/>
                <w:szCs w:val="24"/>
                <w:highlight w:val="none"/>
                <w:lang w:eastAsia="zh-CN"/>
              </w:rPr>
              <w:t>丁村乡政府乡簸箕柳种植项目</w:t>
            </w:r>
          </w:p>
        </w:tc>
      </w:tr>
      <w:tr w14:paraId="47D792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02C5493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745" w:type="dxa"/>
            <w:tcBorders>
              <w:left w:val="single" w:color="auto" w:sz="4" w:space="0"/>
            </w:tcBorders>
            <w:noWrap w:val="0"/>
            <w:vAlign w:val="center"/>
          </w:tcPr>
          <w:p w14:paraId="7DE94CD3">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采购项目编号</w:t>
            </w:r>
          </w:p>
        </w:tc>
        <w:tc>
          <w:tcPr>
            <w:tcW w:w="6274" w:type="dxa"/>
            <w:noWrap w:val="0"/>
            <w:vAlign w:val="center"/>
          </w:tcPr>
          <w:p w14:paraId="1757EFB2">
            <w:pPr>
              <w:spacing w:line="360" w:lineRule="auto"/>
              <w:rPr>
                <w:rFonts w:hint="eastAsia" w:ascii="宋体" w:hAnsi="宋体" w:eastAsia="宋体" w:cs="宋体"/>
                <w:bCs/>
                <w:sz w:val="24"/>
                <w:szCs w:val="24"/>
                <w:highlight w:val="none"/>
                <w:lang w:val="en-US" w:eastAsia="zh-CN"/>
              </w:rPr>
            </w:pPr>
            <w:r>
              <w:rPr>
                <w:rFonts w:hint="eastAsia" w:cs="宋体"/>
                <w:bCs/>
                <w:sz w:val="24"/>
                <w:szCs w:val="24"/>
                <w:highlight w:val="none"/>
                <w:lang w:val="en-US" w:eastAsia="zh-CN"/>
              </w:rPr>
              <w:t>郸财竞谈-2025-75</w:t>
            </w:r>
          </w:p>
        </w:tc>
      </w:tr>
      <w:tr w14:paraId="31B235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0225ADEB">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745" w:type="dxa"/>
            <w:tcBorders>
              <w:left w:val="single" w:color="auto" w:sz="4" w:space="0"/>
            </w:tcBorders>
            <w:noWrap w:val="0"/>
            <w:vAlign w:val="center"/>
          </w:tcPr>
          <w:p w14:paraId="389ADC9B">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采购人</w:t>
            </w:r>
          </w:p>
        </w:tc>
        <w:tc>
          <w:tcPr>
            <w:tcW w:w="6274" w:type="dxa"/>
            <w:noWrap w:val="0"/>
            <w:vAlign w:val="center"/>
          </w:tcPr>
          <w:p w14:paraId="6F0A6806">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名    称：</w:t>
            </w:r>
            <w:r>
              <w:rPr>
                <w:rFonts w:hint="eastAsia" w:cs="宋体"/>
                <w:bCs/>
                <w:sz w:val="24"/>
                <w:szCs w:val="24"/>
                <w:highlight w:val="none"/>
                <w:lang w:eastAsia="zh-CN"/>
              </w:rPr>
              <w:t>郸城县丁村乡人民政府</w:t>
            </w:r>
            <w:r>
              <w:rPr>
                <w:rFonts w:hint="eastAsia" w:ascii="宋体" w:hAnsi="宋体" w:eastAsia="宋体" w:cs="宋体"/>
                <w:bCs/>
                <w:sz w:val="24"/>
                <w:szCs w:val="24"/>
                <w:highlight w:val="none"/>
              </w:rPr>
              <w:t>　　　　　　　　　　　　</w:t>
            </w:r>
          </w:p>
          <w:p w14:paraId="796F1114">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地    址：</w:t>
            </w:r>
            <w:r>
              <w:rPr>
                <w:rFonts w:hint="eastAsia" w:cs="宋体"/>
                <w:b w:val="0"/>
                <w:sz w:val="24"/>
                <w:szCs w:val="24"/>
                <w:highlight w:val="none"/>
                <w:lang w:eastAsia="zh-CN"/>
              </w:rPr>
              <w:t>郸城县</w:t>
            </w:r>
            <w:r>
              <w:rPr>
                <w:rFonts w:hint="eastAsia" w:ascii="宋体" w:hAnsi="宋体" w:eastAsia="宋体" w:cs="宋体"/>
                <w:bCs/>
                <w:sz w:val="24"/>
                <w:szCs w:val="24"/>
                <w:highlight w:val="none"/>
              </w:rPr>
              <w:t>　　　　　　　　　　　　</w:t>
            </w:r>
          </w:p>
          <w:p w14:paraId="48FBCADC">
            <w:pPr>
              <w:spacing w:line="360" w:lineRule="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项目联系人：毛渊峰</w:t>
            </w:r>
          </w:p>
          <w:p w14:paraId="556FB93B">
            <w:pPr>
              <w:spacing w:line="360" w:lineRule="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联系方式：13683942363　</w:t>
            </w:r>
          </w:p>
        </w:tc>
      </w:tr>
      <w:tr w14:paraId="3FBF14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74FF928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745" w:type="dxa"/>
            <w:tcBorders>
              <w:left w:val="single" w:color="auto" w:sz="4" w:space="0"/>
            </w:tcBorders>
            <w:noWrap w:val="0"/>
            <w:vAlign w:val="center"/>
          </w:tcPr>
          <w:p w14:paraId="4ABEB413">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采购代理机构</w:t>
            </w:r>
          </w:p>
        </w:tc>
        <w:tc>
          <w:tcPr>
            <w:tcW w:w="6274" w:type="dxa"/>
            <w:noWrap w:val="0"/>
            <w:vAlign w:val="center"/>
          </w:tcPr>
          <w:p w14:paraId="5C5F7D02">
            <w:pPr>
              <w:spacing w:line="360" w:lineRule="auto"/>
              <w:rPr>
                <w:rFonts w:hint="eastAsia" w:ascii="宋体" w:hAnsi="宋体" w:eastAsia="宋体" w:cs="宋体"/>
                <w:bCs/>
                <w:sz w:val="24"/>
                <w:szCs w:val="24"/>
                <w:highlight w:val="none"/>
                <w:lang w:val="en-US"/>
              </w:rPr>
            </w:pPr>
            <w:r>
              <w:rPr>
                <w:rFonts w:hint="eastAsia" w:ascii="宋体" w:hAnsi="宋体" w:eastAsia="宋体" w:cs="宋体"/>
                <w:bCs/>
                <w:sz w:val="24"/>
                <w:szCs w:val="24"/>
                <w:highlight w:val="none"/>
              </w:rPr>
              <w:t>采购代理机构：</w:t>
            </w:r>
            <w:r>
              <w:rPr>
                <w:rFonts w:hint="eastAsia" w:ascii="宋体" w:hAnsi="宋体" w:eastAsia="宋体" w:cs="宋体"/>
                <w:bCs/>
                <w:sz w:val="24"/>
                <w:szCs w:val="24"/>
                <w:highlight w:val="none"/>
                <w:lang w:val="en-US"/>
              </w:rPr>
              <w:t>周口市公共资源交易中心政府采购中心</w:t>
            </w:r>
          </w:p>
          <w:p w14:paraId="5064EBF5">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联系地址：周口市东新区光明路和政通路交叉口北100米路东</w:t>
            </w:r>
          </w:p>
        </w:tc>
      </w:tr>
      <w:tr w14:paraId="3BAAD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5F74063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745" w:type="dxa"/>
            <w:tcBorders>
              <w:left w:val="single" w:color="auto" w:sz="4" w:space="0"/>
            </w:tcBorders>
            <w:noWrap w:val="0"/>
            <w:vAlign w:val="center"/>
          </w:tcPr>
          <w:p w14:paraId="34BA3B10">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资金来源</w:t>
            </w:r>
          </w:p>
        </w:tc>
        <w:tc>
          <w:tcPr>
            <w:tcW w:w="6274" w:type="dxa"/>
            <w:noWrap w:val="0"/>
            <w:vAlign w:val="center"/>
          </w:tcPr>
          <w:p w14:paraId="77F7590D">
            <w:pPr>
              <w:spacing w:line="360" w:lineRule="auto"/>
              <w:rPr>
                <w:rFonts w:hint="eastAsia" w:ascii="宋体" w:hAnsi="宋体" w:eastAsia="宋体" w:cs="宋体"/>
                <w:bCs/>
                <w:sz w:val="24"/>
                <w:szCs w:val="24"/>
                <w:highlight w:val="none"/>
                <w:lang w:eastAsia="zh-CN"/>
              </w:rPr>
            </w:pPr>
            <w:r>
              <w:rPr>
                <w:rFonts w:hint="eastAsia" w:ascii="宋体" w:hAnsi="宋体" w:eastAsia="宋体" w:cs="宋体"/>
                <w:color w:val="000000"/>
                <w:sz w:val="24"/>
                <w:szCs w:val="24"/>
                <w:highlight w:val="none"/>
                <w:shd w:val="clear" w:color="auto" w:fill="FFFFFF"/>
                <w:lang w:eastAsia="zh-CN"/>
              </w:rPr>
              <w:t>财政资金</w:t>
            </w:r>
          </w:p>
        </w:tc>
      </w:tr>
      <w:tr w14:paraId="55DF3E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61AC4FED">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1745" w:type="dxa"/>
            <w:tcBorders>
              <w:left w:val="single" w:color="auto" w:sz="4" w:space="0"/>
            </w:tcBorders>
            <w:noWrap w:val="0"/>
            <w:vAlign w:val="center"/>
          </w:tcPr>
          <w:p w14:paraId="2690BC9A">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lang w:val="en-US"/>
              </w:rPr>
              <w:t>预算</w:t>
            </w:r>
            <w:r>
              <w:rPr>
                <w:rFonts w:hint="eastAsia" w:ascii="宋体" w:hAnsi="宋体" w:eastAsia="宋体" w:cs="宋体"/>
                <w:bCs/>
                <w:sz w:val="24"/>
                <w:szCs w:val="24"/>
                <w:highlight w:val="none"/>
              </w:rPr>
              <w:t>金额</w:t>
            </w:r>
          </w:p>
        </w:tc>
        <w:tc>
          <w:tcPr>
            <w:tcW w:w="6274" w:type="dxa"/>
            <w:noWrap w:val="0"/>
            <w:vAlign w:val="center"/>
          </w:tcPr>
          <w:p w14:paraId="2D890EEA">
            <w:pPr>
              <w:spacing w:line="360" w:lineRule="auto"/>
              <w:rPr>
                <w:rFonts w:hint="eastAsia" w:ascii="宋体" w:hAnsi="宋体" w:eastAsia="宋体" w:cs="宋体"/>
                <w:bCs/>
                <w:sz w:val="24"/>
                <w:szCs w:val="24"/>
                <w:highlight w:val="none"/>
                <w:lang w:val="en-US" w:eastAsia="zh-CN"/>
              </w:rPr>
            </w:pPr>
            <w:r>
              <w:rPr>
                <w:rFonts w:hint="eastAsia" w:cs="宋体"/>
                <w:bCs/>
                <w:sz w:val="24"/>
                <w:szCs w:val="24"/>
                <w:highlight w:val="none"/>
                <w:lang w:val="en-US" w:eastAsia="zh-CN"/>
              </w:rPr>
              <w:t>1852800.00</w:t>
            </w:r>
            <w:r>
              <w:rPr>
                <w:rFonts w:hint="eastAsia" w:ascii="宋体" w:hAnsi="宋体" w:eastAsia="宋体" w:cs="宋体"/>
                <w:bCs/>
                <w:sz w:val="24"/>
                <w:szCs w:val="24"/>
                <w:highlight w:val="none"/>
                <w:lang w:val="en-US" w:eastAsia="zh-CN"/>
              </w:rPr>
              <w:t>元</w:t>
            </w:r>
          </w:p>
        </w:tc>
      </w:tr>
      <w:tr w14:paraId="610A60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768850C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1745" w:type="dxa"/>
            <w:tcBorders>
              <w:left w:val="single" w:color="auto" w:sz="4" w:space="0"/>
            </w:tcBorders>
            <w:noWrap w:val="0"/>
            <w:vAlign w:val="center"/>
          </w:tcPr>
          <w:p w14:paraId="43A1B587">
            <w:pPr>
              <w:spacing w:line="360" w:lineRule="auto"/>
              <w:jc w:val="center"/>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供货期</w:t>
            </w:r>
          </w:p>
        </w:tc>
        <w:tc>
          <w:tcPr>
            <w:tcW w:w="6274" w:type="dxa"/>
            <w:noWrap w:val="0"/>
            <w:vAlign w:val="center"/>
          </w:tcPr>
          <w:p w14:paraId="0A088E65">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合同签订后</w:t>
            </w:r>
            <w:r>
              <w:rPr>
                <w:rFonts w:hint="eastAsia" w:cs="宋体"/>
                <w:bCs/>
                <w:sz w:val="24"/>
                <w:szCs w:val="24"/>
                <w:highlight w:val="none"/>
                <w:lang w:val="en-US" w:eastAsia="zh-CN"/>
              </w:rPr>
              <w:t>10</w:t>
            </w:r>
            <w:r>
              <w:rPr>
                <w:rFonts w:hint="eastAsia" w:ascii="宋体" w:hAnsi="宋体" w:eastAsia="宋体" w:cs="宋体"/>
                <w:bCs/>
                <w:sz w:val="24"/>
                <w:szCs w:val="24"/>
                <w:highlight w:val="none"/>
              </w:rPr>
              <w:t>日历天</w:t>
            </w:r>
          </w:p>
        </w:tc>
      </w:tr>
      <w:tr w14:paraId="4DA440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2D1D7DC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1745" w:type="dxa"/>
            <w:tcBorders>
              <w:left w:val="single" w:color="auto" w:sz="4" w:space="0"/>
            </w:tcBorders>
            <w:noWrap w:val="0"/>
            <w:vAlign w:val="center"/>
          </w:tcPr>
          <w:p w14:paraId="54A14865">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交货地点</w:t>
            </w:r>
          </w:p>
        </w:tc>
        <w:tc>
          <w:tcPr>
            <w:tcW w:w="6274" w:type="dxa"/>
            <w:noWrap w:val="0"/>
            <w:vAlign w:val="center"/>
          </w:tcPr>
          <w:p w14:paraId="00C3E703">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采购人指定地点</w:t>
            </w:r>
          </w:p>
        </w:tc>
      </w:tr>
      <w:tr w14:paraId="15F242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noWrap w:val="0"/>
            <w:vAlign w:val="center"/>
          </w:tcPr>
          <w:p w14:paraId="5841BA3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1745" w:type="dxa"/>
            <w:tcBorders>
              <w:left w:val="single" w:color="auto" w:sz="4" w:space="0"/>
            </w:tcBorders>
            <w:noWrap w:val="0"/>
            <w:vAlign w:val="center"/>
          </w:tcPr>
          <w:p w14:paraId="4B4C505E">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采购内容</w:t>
            </w:r>
          </w:p>
        </w:tc>
        <w:tc>
          <w:tcPr>
            <w:tcW w:w="6274" w:type="dxa"/>
            <w:noWrap w:val="0"/>
            <w:vAlign w:val="center"/>
          </w:tcPr>
          <w:p w14:paraId="303C7F4C">
            <w:pPr>
              <w:spacing w:line="360" w:lineRule="auto"/>
              <w:rPr>
                <w:rFonts w:hint="eastAsia" w:ascii="宋体" w:hAnsi="宋体" w:eastAsia="宋体" w:cs="宋体"/>
                <w:color w:val="auto"/>
                <w:sz w:val="24"/>
                <w:szCs w:val="24"/>
                <w:highlight w:val="none"/>
                <w:lang w:eastAsia="zh-CN"/>
              </w:rPr>
            </w:pPr>
            <w:r>
              <w:rPr>
                <w:rFonts w:hint="eastAsia" w:cs="宋体"/>
                <w:sz w:val="24"/>
                <w:szCs w:val="24"/>
                <w:highlight w:val="none"/>
                <w:vertAlign w:val="baseline"/>
                <w:lang w:eastAsia="zh-CN"/>
              </w:rPr>
              <w:t>簸箕柳种植</w:t>
            </w:r>
            <w:r>
              <w:rPr>
                <w:rFonts w:hint="eastAsia" w:ascii="宋体" w:hAnsi="宋体" w:eastAsia="宋体" w:cs="宋体"/>
                <w:color w:val="auto"/>
                <w:sz w:val="24"/>
                <w:szCs w:val="24"/>
                <w:highlight w:val="none"/>
                <w:shd w:val="clear" w:color="auto" w:fill="FFFFFF"/>
                <w:lang w:eastAsia="zh-CN"/>
              </w:rPr>
              <w:t>（详见</w:t>
            </w:r>
            <w:r>
              <w:rPr>
                <w:rFonts w:hint="eastAsia" w:ascii="宋体" w:hAnsi="宋体" w:eastAsia="宋体" w:cs="宋体"/>
                <w:color w:val="auto"/>
                <w:sz w:val="24"/>
                <w:szCs w:val="24"/>
                <w:highlight w:val="none"/>
                <w:shd w:val="clear" w:color="auto" w:fill="FFFFFF"/>
                <w:lang w:val="en-US" w:eastAsia="zh-CN"/>
              </w:rPr>
              <w:t xml:space="preserve">第四部分  </w:t>
            </w:r>
            <w:r>
              <w:rPr>
                <w:rFonts w:hint="eastAsia" w:ascii="宋体" w:hAnsi="宋体" w:eastAsia="宋体" w:cs="宋体"/>
                <w:color w:val="auto"/>
                <w:sz w:val="24"/>
                <w:szCs w:val="24"/>
                <w:highlight w:val="none"/>
                <w:shd w:val="clear" w:color="auto" w:fill="FFFFFF"/>
                <w:lang w:eastAsia="zh-CN"/>
              </w:rPr>
              <w:t>项目内容及技术要求）</w:t>
            </w:r>
          </w:p>
        </w:tc>
      </w:tr>
      <w:tr w14:paraId="79AAA5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noWrap w:val="0"/>
            <w:vAlign w:val="center"/>
          </w:tcPr>
          <w:p w14:paraId="3FE90B2C">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1745" w:type="dxa"/>
            <w:tcBorders>
              <w:left w:val="single" w:color="auto" w:sz="4" w:space="0"/>
            </w:tcBorders>
            <w:noWrap w:val="0"/>
            <w:vAlign w:val="center"/>
          </w:tcPr>
          <w:p w14:paraId="75680719">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供应商资格要求</w:t>
            </w:r>
          </w:p>
        </w:tc>
        <w:tc>
          <w:tcPr>
            <w:tcW w:w="6274" w:type="dxa"/>
            <w:noWrap w:val="0"/>
            <w:vAlign w:val="center"/>
          </w:tcPr>
          <w:p w14:paraId="6A82721D">
            <w:pPr>
              <w:adjustRightInd w:val="0"/>
              <w:snapToGrid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见公告</w:t>
            </w:r>
          </w:p>
        </w:tc>
      </w:tr>
      <w:tr w14:paraId="35C0D0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noWrap w:val="0"/>
            <w:vAlign w:val="center"/>
          </w:tcPr>
          <w:p w14:paraId="3554FF1C">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w:t>
            </w:r>
          </w:p>
        </w:tc>
        <w:tc>
          <w:tcPr>
            <w:tcW w:w="1745" w:type="dxa"/>
            <w:tcBorders>
              <w:left w:val="single" w:color="auto" w:sz="4" w:space="0"/>
            </w:tcBorders>
            <w:noWrap w:val="0"/>
            <w:vAlign w:val="center"/>
          </w:tcPr>
          <w:p w14:paraId="318D1125">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6274" w:type="dxa"/>
            <w:noWrap w:val="0"/>
            <w:vAlign w:val="center"/>
          </w:tcPr>
          <w:p w14:paraId="5F92981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自投标截止之日起60日历天。</w:t>
            </w:r>
          </w:p>
        </w:tc>
      </w:tr>
      <w:tr w14:paraId="6A1656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noWrap w:val="0"/>
            <w:vAlign w:val="center"/>
          </w:tcPr>
          <w:p w14:paraId="2C0387D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12</w:t>
            </w:r>
          </w:p>
        </w:tc>
        <w:tc>
          <w:tcPr>
            <w:tcW w:w="1745" w:type="dxa"/>
            <w:tcBorders>
              <w:left w:val="single" w:color="auto" w:sz="4" w:space="0"/>
            </w:tcBorders>
            <w:noWrap w:val="0"/>
            <w:vAlign w:val="center"/>
          </w:tcPr>
          <w:p w14:paraId="336E872B">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6274" w:type="dxa"/>
            <w:noWrap w:val="0"/>
            <w:vAlign w:val="center"/>
          </w:tcPr>
          <w:p w14:paraId="57435694">
            <w:pPr>
              <w:adjustRightInd w:val="0"/>
              <w:spacing w:line="380" w:lineRule="exact"/>
              <w:textAlignment w:val="baseline"/>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本项目不需要缴纳谈判保证金</w:t>
            </w:r>
          </w:p>
        </w:tc>
      </w:tr>
      <w:tr w14:paraId="5EDF68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noWrap w:val="0"/>
            <w:vAlign w:val="center"/>
          </w:tcPr>
          <w:p w14:paraId="0D8A01F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13</w:t>
            </w:r>
          </w:p>
        </w:tc>
        <w:tc>
          <w:tcPr>
            <w:tcW w:w="1745" w:type="dxa"/>
            <w:tcBorders>
              <w:left w:val="single" w:color="auto" w:sz="4" w:space="0"/>
            </w:tcBorders>
            <w:noWrap w:val="0"/>
            <w:vAlign w:val="center"/>
          </w:tcPr>
          <w:p w14:paraId="5ED9C39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签字或盖章要求</w:t>
            </w:r>
          </w:p>
        </w:tc>
        <w:tc>
          <w:tcPr>
            <w:tcW w:w="6274" w:type="dxa"/>
            <w:noWrap w:val="0"/>
            <w:vAlign w:val="center"/>
          </w:tcPr>
          <w:p w14:paraId="756C1F04">
            <w:pPr>
              <w:keepNext/>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本招标文件中明确需法定代表人、授权代表签字的地方内容应全姓名签署，明确加盖单位公章的内容应加盖单位公章，不得用其它印章代替。</w:t>
            </w:r>
          </w:p>
        </w:tc>
      </w:tr>
      <w:tr w14:paraId="08D943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noWrap w:val="0"/>
            <w:vAlign w:val="center"/>
          </w:tcPr>
          <w:p w14:paraId="3B169CA3">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14</w:t>
            </w:r>
          </w:p>
        </w:tc>
        <w:tc>
          <w:tcPr>
            <w:tcW w:w="1745" w:type="dxa"/>
            <w:tcBorders>
              <w:left w:val="single" w:color="auto" w:sz="4" w:space="0"/>
            </w:tcBorders>
            <w:noWrap w:val="0"/>
            <w:vAlign w:val="center"/>
          </w:tcPr>
          <w:p w14:paraId="02C1008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投标文件份数</w:t>
            </w:r>
          </w:p>
        </w:tc>
        <w:tc>
          <w:tcPr>
            <w:tcW w:w="6274" w:type="dxa"/>
            <w:noWrap w:val="0"/>
            <w:vAlign w:val="center"/>
          </w:tcPr>
          <w:p w14:paraId="2864EA24">
            <w:pPr>
              <w:keepNext/>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1、投标文件为使用周口市公共资源交易中心提供的电子标书制作工具软件（</w:t>
            </w:r>
            <w:r>
              <w:rPr>
                <w:rFonts w:hint="eastAsia" w:ascii="宋体" w:hAnsi="宋体" w:eastAsia="宋体" w:cs="宋体"/>
                <w:color w:val="000000"/>
                <w:kern w:val="2"/>
                <w:sz w:val="24"/>
                <w:szCs w:val="24"/>
                <w:highlight w:val="none"/>
                <w:lang w:val="en-US"/>
              </w:rPr>
              <w:t>http://jyzx.zhoukou.gov.cn</w:t>
            </w:r>
            <w:r>
              <w:rPr>
                <w:rFonts w:hint="eastAsia" w:ascii="宋体" w:hAnsi="宋体" w:eastAsia="宋体" w:cs="宋体"/>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F20D7FD">
            <w:pPr>
              <w:keepNext/>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2、本项目实行网上远程开标无须到现场提交响应文件，未加密的电子投标文件和纸质文件不再提交。</w:t>
            </w:r>
          </w:p>
        </w:tc>
      </w:tr>
      <w:tr w14:paraId="16A9BB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noWrap w:val="0"/>
            <w:vAlign w:val="center"/>
          </w:tcPr>
          <w:p w14:paraId="3520DF5A">
            <w:pPr>
              <w:spacing w:line="360" w:lineRule="auto"/>
              <w:jc w:val="center"/>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15</w:t>
            </w:r>
          </w:p>
        </w:tc>
        <w:tc>
          <w:tcPr>
            <w:tcW w:w="1745" w:type="dxa"/>
            <w:tcBorders>
              <w:left w:val="single" w:color="auto" w:sz="4" w:space="0"/>
            </w:tcBorders>
            <w:noWrap w:val="0"/>
            <w:vAlign w:val="center"/>
          </w:tcPr>
          <w:p w14:paraId="4D637403">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投标截止时间</w:t>
            </w:r>
          </w:p>
        </w:tc>
        <w:tc>
          <w:tcPr>
            <w:tcW w:w="6274" w:type="dxa"/>
            <w:noWrap w:val="0"/>
            <w:vAlign w:val="center"/>
          </w:tcPr>
          <w:p w14:paraId="7BC1C55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递交</w:t>
            </w:r>
            <w:r>
              <w:rPr>
                <w:rFonts w:hint="eastAsia" w:ascii="宋体" w:hAnsi="宋体" w:eastAsia="宋体" w:cs="宋体"/>
                <w:sz w:val="24"/>
                <w:szCs w:val="24"/>
                <w:highlight w:val="none"/>
                <w:lang w:val="en-US"/>
              </w:rPr>
              <w:t>响应</w:t>
            </w:r>
            <w:r>
              <w:rPr>
                <w:rFonts w:hint="eastAsia" w:ascii="宋体" w:hAnsi="宋体" w:eastAsia="宋体" w:cs="宋体"/>
                <w:sz w:val="24"/>
                <w:szCs w:val="24"/>
                <w:highlight w:val="none"/>
              </w:rPr>
              <w:t>文件截止时间：</w:t>
            </w:r>
            <w:r>
              <w:rPr>
                <w:rFonts w:hint="eastAsia"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lang w:val="en-US" w:eastAsia="zh-CN"/>
              </w:rPr>
              <w:t>月</w:t>
            </w:r>
            <w:r>
              <w:rPr>
                <w:rFonts w:hint="eastAsia"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lang w:val="en-US" w:eastAsia="zh-CN"/>
              </w:rPr>
              <w:t>日</w:t>
            </w:r>
            <w:r>
              <w:rPr>
                <w:rFonts w:hint="eastAsia"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w:t>
            </w:r>
            <w:r>
              <w:rPr>
                <w:rFonts w:hint="eastAsia" w:ascii="宋体" w:hAnsi="宋体" w:eastAsia="宋体" w:cs="宋体"/>
                <w:sz w:val="24"/>
                <w:szCs w:val="24"/>
                <w:highlight w:val="none"/>
              </w:rPr>
              <w:t>（北京时间）</w:t>
            </w:r>
          </w:p>
        </w:tc>
      </w:tr>
      <w:tr w14:paraId="2736D6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noWrap w:val="0"/>
            <w:vAlign w:val="center"/>
          </w:tcPr>
          <w:p w14:paraId="324483AD">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rPr>
              <w:t>6</w:t>
            </w:r>
          </w:p>
        </w:tc>
        <w:tc>
          <w:tcPr>
            <w:tcW w:w="1745" w:type="dxa"/>
            <w:tcBorders>
              <w:left w:val="single" w:color="auto" w:sz="4" w:space="0"/>
            </w:tcBorders>
            <w:noWrap w:val="0"/>
            <w:vAlign w:val="center"/>
          </w:tcPr>
          <w:p w14:paraId="0922BDF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p>
          <w:p w14:paraId="094761F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和地点</w:t>
            </w:r>
          </w:p>
        </w:tc>
        <w:tc>
          <w:tcPr>
            <w:tcW w:w="6274" w:type="dxa"/>
            <w:noWrap w:val="0"/>
            <w:vAlign w:val="center"/>
          </w:tcPr>
          <w:p w14:paraId="14D779B2">
            <w:pPr>
              <w:spacing w:line="40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r>
              <w:rPr>
                <w:rFonts w:hint="eastAsia"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lang w:val="en-US" w:eastAsia="zh-CN"/>
              </w:rPr>
              <w:t>月</w:t>
            </w:r>
            <w:r>
              <w:rPr>
                <w:rFonts w:hint="eastAsia"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lang w:val="en-US" w:eastAsia="zh-CN"/>
              </w:rPr>
              <w:t>日</w:t>
            </w:r>
            <w:r>
              <w:rPr>
                <w:rFonts w:hint="eastAsia"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w:t>
            </w:r>
            <w:r>
              <w:rPr>
                <w:rFonts w:hint="eastAsia" w:ascii="宋体" w:hAnsi="宋体" w:eastAsia="宋体" w:cs="宋体"/>
                <w:sz w:val="24"/>
                <w:szCs w:val="24"/>
                <w:highlight w:val="none"/>
              </w:rPr>
              <w:t>（北京时间）</w:t>
            </w:r>
          </w:p>
          <w:p w14:paraId="1DDDBF42">
            <w:pPr>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开标地点：周口市公共资源交易中心</w:t>
            </w:r>
            <w:r>
              <w:rPr>
                <w:rFonts w:hint="eastAsia" w:ascii="宋体" w:hAnsi="宋体" w:eastAsia="宋体" w:cs="宋体"/>
                <w:sz w:val="24"/>
                <w:szCs w:val="24"/>
                <w:highlight w:val="none"/>
                <w:lang w:val="en-US" w:eastAsia="zh-CN"/>
              </w:rPr>
              <w:t>网</w:t>
            </w:r>
          </w:p>
          <w:p w14:paraId="4F787FE5">
            <w:pPr>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网址：周口市公共资源电子交易服务平台会员系统（网址http://jyzx.zhoukou.gov.cn</w:t>
            </w:r>
            <w:r>
              <w:rPr>
                <w:rFonts w:hint="eastAsia" w:ascii="宋体" w:hAnsi="宋体" w:eastAsia="宋体" w:cs="宋体"/>
                <w:sz w:val="24"/>
                <w:szCs w:val="24"/>
                <w:highlight w:val="none"/>
                <w:lang w:eastAsia="zh-CN"/>
              </w:rPr>
              <w:t>）</w:t>
            </w:r>
          </w:p>
          <w:p w14:paraId="46566936">
            <w:pPr>
              <w:spacing w:line="360" w:lineRule="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rPr>
              <w:t>（本项目实行网上远程开标无须到现场提交响应文件）</w:t>
            </w:r>
          </w:p>
        </w:tc>
      </w:tr>
      <w:tr w14:paraId="62E38D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noWrap w:val="0"/>
            <w:vAlign w:val="center"/>
          </w:tcPr>
          <w:p w14:paraId="464A3854">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rPr>
              <w:t>7</w:t>
            </w:r>
          </w:p>
        </w:tc>
        <w:tc>
          <w:tcPr>
            <w:tcW w:w="1745" w:type="dxa"/>
            <w:tcBorders>
              <w:left w:val="single" w:color="auto" w:sz="4" w:space="0"/>
            </w:tcBorders>
            <w:noWrap w:val="0"/>
            <w:vAlign w:val="center"/>
          </w:tcPr>
          <w:p w14:paraId="3E6E140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评标委员会的组建</w:t>
            </w:r>
          </w:p>
        </w:tc>
        <w:tc>
          <w:tcPr>
            <w:tcW w:w="6274" w:type="dxa"/>
            <w:noWrap w:val="0"/>
            <w:vAlign w:val="center"/>
          </w:tcPr>
          <w:p w14:paraId="40A59141">
            <w:p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评标委员会构成：</w:t>
            </w:r>
            <w:r>
              <w:rPr>
                <w:rFonts w:hint="eastAsia" w:cs="宋体"/>
                <w:color w:val="auto"/>
                <w:sz w:val="24"/>
                <w:szCs w:val="24"/>
                <w:highlight w:val="none"/>
                <w:lang w:val="en-US" w:eastAsia="zh-CN"/>
              </w:rPr>
              <w:t>3</w:t>
            </w:r>
            <w:r>
              <w:rPr>
                <w:rFonts w:hint="eastAsia" w:ascii="宋体" w:hAnsi="宋体" w:eastAsia="宋体" w:cs="宋体"/>
                <w:color w:val="auto"/>
                <w:sz w:val="24"/>
                <w:szCs w:val="24"/>
                <w:highlight w:val="none"/>
              </w:rPr>
              <w:t>人，其中采购人代表</w:t>
            </w:r>
            <w:r>
              <w:rPr>
                <w:rFonts w:hint="eastAsia" w:ascii="宋体" w:hAnsi="宋体" w:eastAsia="宋体" w:cs="宋体"/>
                <w:color w:val="auto"/>
                <w:sz w:val="24"/>
                <w:szCs w:val="24"/>
                <w:highlight w:val="none"/>
                <w:shd w:val="clear" w:color="auto" w:fill="FFFFFF"/>
                <w:lang w:val="en-US" w:eastAsia="zh-CN"/>
              </w:rPr>
              <w:t>1</w:t>
            </w:r>
            <w:r>
              <w:rPr>
                <w:rFonts w:hint="eastAsia" w:ascii="宋体" w:hAnsi="宋体" w:eastAsia="宋体" w:cs="宋体"/>
                <w:color w:val="auto"/>
                <w:sz w:val="24"/>
                <w:szCs w:val="24"/>
                <w:highlight w:val="none"/>
              </w:rPr>
              <w:t>人，技术、经济专家</w:t>
            </w:r>
            <w:r>
              <w:rPr>
                <w:rFonts w:hint="eastAsia" w:cs="宋体"/>
                <w:color w:val="auto"/>
                <w:sz w:val="24"/>
                <w:szCs w:val="24"/>
                <w:highlight w:val="none"/>
                <w:lang w:val="en-US" w:eastAsia="zh-CN"/>
              </w:rPr>
              <w:t>2</w:t>
            </w:r>
            <w:r>
              <w:rPr>
                <w:rFonts w:hint="eastAsia" w:ascii="宋体" w:hAnsi="宋体" w:eastAsia="宋体" w:cs="宋体"/>
                <w:color w:val="auto"/>
                <w:sz w:val="24"/>
                <w:szCs w:val="24"/>
                <w:highlight w:val="none"/>
              </w:rPr>
              <w:t>人；</w:t>
            </w:r>
          </w:p>
          <w:p w14:paraId="22583C6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评标专家确定方式：在评标前从相关专家库中随机抽取选定。</w:t>
            </w:r>
          </w:p>
        </w:tc>
      </w:tr>
      <w:tr w14:paraId="0199DC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noWrap w:val="0"/>
            <w:vAlign w:val="center"/>
          </w:tcPr>
          <w:p w14:paraId="6779709C">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rPr>
              <w:t>8</w:t>
            </w:r>
          </w:p>
        </w:tc>
        <w:tc>
          <w:tcPr>
            <w:tcW w:w="1745" w:type="dxa"/>
            <w:tcBorders>
              <w:left w:val="single" w:color="auto" w:sz="4" w:space="0"/>
            </w:tcBorders>
            <w:noWrap w:val="0"/>
            <w:vAlign w:val="center"/>
          </w:tcPr>
          <w:p w14:paraId="6845C82A">
            <w:pPr>
              <w:spacing w:line="4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是否授权评标委员会确定中标人</w:t>
            </w:r>
          </w:p>
        </w:tc>
        <w:tc>
          <w:tcPr>
            <w:tcW w:w="6274" w:type="dxa"/>
            <w:noWrap w:val="0"/>
            <w:vAlign w:val="center"/>
          </w:tcPr>
          <w:p w14:paraId="0073EF9D">
            <w:pPr>
              <w:spacing w:line="400" w:lineRule="exact"/>
              <w:rPr>
                <w:rFonts w:hint="eastAsia" w:ascii="宋体" w:hAnsi="宋体" w:eastAsia="宋体" w:cs="宋体"/>
                <w:sz w:val="24"/>
                <w:szCs w:val="24"/>
                <w:highlight w:val="none"/>
                <w:lang w:val="en-US"/>
              </w:rPr>
            </w:pPr>
            <w:r>
              <w:rPr>
                <w:rFonts w:hint="eastAsia" w:ascii="宋体" w:hAnsi="宋体" w:eastAsia="宋体" w:cs="宋体"/>
                <w:sz w:val="24"/>
                <w:szCs w:val="24"/>
                <w:highlight w:val="none"/>
              </w:rPr>
              <w:t>否，</w:t>
            </w:r>
            <w:r>
              <w:rPr>
                <w:rFonts w:hint="eastAsia" w:ascii="宋体" w:hAnsi="宋体" w:eastAsia="宋体" w:cs="宋体"/>
                <w:sz w:val="24"/>
                <w:szCs w:val="24"/>
                <w:highlight w:val="none"/>
                <w:lang w:val="en-US"/>
              </w:rPr>
              <w:t>由谈判小组推荐中标候选人，由采购人确定中标人</w:t>
            </w:r>
          </w:p>
        </w:tc>
      </w:tr>
      <w:tr w14:paraId="09FC2C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noWrap w:val="0"/>
            <w:vAlign w:val="center"/>
          </w:tcPr>
          <w:p w14:paraId="0C5E95E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19</w:t>
            </w:r>
          </w:p>
        </w:tc>
        <w:tc>
          <w:tcPr>
            <w:tcW w:w="1745" w:type="dxa"/>
            <w:tcBorders>
              <w:left w:val="single" w:color="auto" w:sz="4" w:space="0"/>
            </w:tcBorders>
            <w:noWrap w:val="0"/>
            <w:vAlign w:val="center"/>
          </w:tcPr>
          <w:p w14:paraId="3ACE012D">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代理</w:t>
            </w:r>
            <w:r>
              <w:rPr>
                <w:rFonts w:hint="eastAsia" w:ascii="宋体" w:hAnsi="宋体" w:eastAsia="宋体" w:cs="宋体"/>
                <w:sz w:val="24"/>
                <w:szCs w:val="24"/>
                <w:highlight w:val="none"/>
              </w:rPr>
              <w:t>服务费</w:t>
            </w:r>
          </w:p>
        </w:tc>
        <w:tc>
          <w:tcPr>
            <w:tcW w:w="6274" w:type="dxa"/>
            <w:noWrap w:val="0"/>
            <w:vAlign w:val="center"/>
          </w:tcPr>
          <w:p w14:paraId="0F7D3764">
            <w:pPr>
              <w:spacing w:line="400" w:lineRule="exact"/>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本项目不收取代理服务费</w:t>
            </w:r>
          </w:p>
        </w:tc>
      </w:tr>
      <w:tr w14:paraId="4DA24C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noWrap w:val="0"/>
            <w:vAlign w:val="center"/>
          </w:tcPr>
          <w:p w14:paraId="1A55689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20</w:t>
            </w:r>
          </w:p>
        </w:tc>
        <w:tc>
          <w:tcPr>
            <w:tcW w:w="1745" w:type="dxa"/>
            <w:tcBorders>
              <w:left w:val="single" w:color="auto" w:sz="4" w:space="0"/>
            </w:tcBorders>
            <w:noWrap w:val="0"/>
            <w:vAlign w:val="center"/>
          </w:tcPr>
          <w:p w14:paraId="5E44F04F">
            <w:pPr>
              <w:spacing w:beforeLines="50"/>
              <w:ind w:firstLine="14" w:firstLineChars="6"/>
              <w:jc w:val="center"/>
              <w:rPr>
                <w:rFonts w:hint="eastAsia" w:ascii="宋体" w:hAnsi="宋体" w:eastAsia="宋体" w:cs="宋体"/>
                <w:sz w:val="24"/>
                <w:szCs w:val="24"/>
                <w:highlight w:val="none"/>
                <w:lang w:val="en-US"/>
              </w:rPr>
            </w:pPr>
            <w:r>
              <w:rPr>
                <w:rFonts w:hint="eastAsia" w:ascii="宋体" w:hAnsi="宋体" w:eastAsia="宋体" w:cs="宋体"/>
                <w:b/>
                <w:bCs/>
                <w:color w:val="auto"/>
                <w:sz w:val="24"/>
                <w:szCs w:val="24"/>
                <w:highlight w:val="none"/>
                <w:lang w:val="en-US" w:eastAsia="zh-CN"/>
              </w:rPr>
              <w:t>报价</w:t>
            </w:r>
          </w:p>
        </w:tc>
        <w:tc>
          <w:tcPr>
            <w:tcW w:w="6274" w:type="dxa"/>
            <w:noWrap w:val="0"/>
            <w:vAlign w:val="center"/>
          </w:tcPr>
          <w:p w14:paraId="6F4B38CC">
            <w:pPr>
              <w:tabs>
                <w:tab w:val="left" w:pos="8640"/>
              </w:tabs>
              <w:jc w:val="left"/>
              <w:rPr>
                <w:rFonts w:hint="eastAsia" w:ascii="宋体" w:hAnsi="宋体" w:eastAsia="宋体" w:cs="宋体"/>
                <w:sz w:val="24"/>
                <w:szCs w:val="24"/>
                <w:highlight w:val="none"/>
                <w:lang w:val="en-US"/>
              </w:rPr>
            </w:pPr>
            <w:r>
              <w:rPr>
                <w:rFonts w:hint="eastAsia" w:ascii="宋体" w:hAnsi="宋体" w:eastAsia="宋体" w:cs="宋体"/>
                <w:b/>
                <w:bCs/>
                <w:color w:val="auto"/>
                <w:sz w:val="24"/>
                <w:szCs w:val="24"/>
                <w:highlight w:val="none"/>
                <w:lang w:val="en-US" w:eastAsia="zh-CN"/>
              </w:rPr>
              <w:t>二次报价</w:t>
            </w:r>
          </w:p>
        </w:tc>
      </w:tr>
      <w:tr w14:paraId="616B0B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noWrap w:val="0"/>
            <w:vAlign w:val="center"/>
          </w:tcPr>
          <w:p w14:paraId="2468ED5D">
            <w:pPr>
              <w:spacing w:line="360" w:lineRule="auto"/>
              <w:jc w:val="center"/>
              <w:rPr>
                <w:rFonts w:hint="default" w:ascii="宋体" w:hAnsi="宋体" w:eastAsia="宋体" w:cs="宋体"/>
                <w:sz w:val="24"/>
                <w:szCs w:val="24"/>
                <w:highlight w:val="none"/>
                <w:lang w:val="en-US" w:eastAsia="zh-CN"/>
              </w:rPr>
            </w:pPr>
            <w:r>
              <w:rPr>
                <w:rFonts w:hint="eastAsia" w:cs="宋体"/>
                <w:sz w:val="24"/>
                <w:szCs w:val="24"/>
                <w:highlight w:val="none"/>
                <w:lang w:val="en-US" w:eastAsia="zh-CN"/>
              </w:rPr>
              <w:t>21</w:t>
            </w:r>
          </w:p>
        </w:tc>
        <w:tc>
          <w:tcPr>
            <w:tcW w:w="1745" w:type="dxa"/>
            <w:tcBorders>
              <w:left w:val="single" w:color="auto" w:sz="4" w:space="0"/>
            </w:tcBorders>
            <w:noWrap w:val="0"/>
            <w:vAlign w:val="center"/>
          </w:tcPr>
          <w:p w14:paraId="706CF83A">
            <w:pPr>
              <w:spacing w:beforeLines="50"/>
              <w:ind w:firstLine="14" w:firstLineChars="6"/>
              <w:jc w:val="both"/>
              <w:rPr>
                <w:rFonts w:hint="default" w:ascii="宋体" w:hAnsi="宋体" w:eastAsia="宋体" w:cs="宋体"/>
                <w:b/>
                <w:bCs/>
                <w:color w:val="auto"/>
                <w:sz w:val="24"/>
                <w:szCs w:val="24"/>
                <w:highlight w:val="none"/>
                <w:lang w:val="en-US" w:eastAsia="zh-CN"/>
              </w:rPr>
            </w:pPr>
            <w:r>
              <w:rPr>
                <w:rFonts w:hint="eastAsia" w:cs="宋体"/>
                <w:b/>
                <w:bCs/>
                <w:color w:val="auto"/>
                <w:sz w:val="24"/>
                <w:szCs w:val="24"/>
                <w:highlight w:val="none"/>
                <w:lang w:val="en-US" w:eastAsia="zh-CN"/>
              </w:rPr>
              <w:t>所属行业</w:t>
            </w:r>
          </w:p>
        </w:tc>
        <w:tc>
          <w:tcPr>
            <w:tcW w:w="6274" w:type="dxa"/>
            <w:noWrap w:val="0"/>
            <w:vAlign w:val="center"/>
          </w:tcPr>
          <w:p w14:paraId="28FEA65C">
            <w:pPr>
              <w:tabs>
                <w:tab w:val="left" w:pos="8640"/>
              </w:tabs>
              <w:jc w:val="left"/>
              <w:rPr>
                <w:rFonts w:hint="default" w:ascii="宋体" w:hAnsi="宋体" w:eastAsia="宋体" w:cs="宋体"/>
                <w:b/>
                <w:bCs/>
                <w:color w:val="auto"/>
                <w:sz w:val="24"/>
                <w:szCs w:val="24"/>
                <w:highlight w:val="none"/>
                <w:lang w:val="en-US" w:eastAsia="zh-CN"/>
              </w:rPr>
            </w:pPr>
            <w:r>
              <w:rPr>
                <w:rFonts w:hint="eastAsia" w:cs="宋体"/>
                <w:b/>
                <w:bCs/>
                <w:color w:val="auto"/>
                <w:sz w:val="24"/>
                <w:szCs w:val="24"/>
                <w:highlight w:val="none"/>
                <w:lang w:val="en-US" w:eastAsia="zh-CN"/>
              </w:rPr>
              <w:t>农、林、牧、渔业</w:t>
            </w:r>
          </w:p>
        </w:tc>
      </w:tr>
      <w:tr w14:paraId="4FEBA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noWrap w:val="0"/>
            <w:vAlign w:val="center"/>
          </w:tcPr>
          <w:p w14:paraId="01EA831D">
            <w:pPr>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r>
              <w:rPr>
                <w:rFonts w:hint="eastAsia" w:cs="宋体"/>
                <w:sz w:val="24"/>
                <w:szCs w:val="24"/>
                <w:highlight w:val="none"/>
                <w:lang w:val="en-US" w:eastAsia="zh-CN"/>
              </w:rPr>
              <w:t>2</w:t>
            </w:r>
          </w:p>
        </w:tc>
        <w:tc>
          <w:tcPr>
            <w:tcW w:w="8019" w:type="dxa"/>
            <w:gridSpan w:val="2"/>
            <w:tcBorders>
              <w:left w:val="single" w:color="auto" w:sz="4" w:space="0"/>
            </w:tcBorders>
            <w:noWrap w:val="0"/>
            <w:vAlign w:val="center"/>
          </w:tcPr>
          <w:p w14:paraId="34F52843">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本项目招标文件最终解释权归采购人所有。</w:t>
            </w:r>
          </w:p>
        </w:tc>
      </w:tr>
    </w:tbl>
    <w:p w14:paraId="5F2BCAAB">
      <w:pPr>
        <w:rPr>
          <w:rFonts w:hint="eastAsia" w:ascii="宋体" w:hAnsi="宋体" w:eastAsia="宋体" w:cs="宋体"/>
          <w:highlight w:val="none"/>
        </w:rPr>
        <w:sectPr>
          <w:footerReference r:id="rId5" w:type="default"/>
          <w:pgSz w:w="11906" w:h="16838"/>
          <w:pgMar w:top="1440" w:right="1080" w:bottom="1440" w:left="1080" w:header="851" w:footer="992" w:gutter="0"/>
          <w:pgNumType w:fmt="decimal"/>
          <w:cols w:space="720" w:num="1"/>
          <w:docGrid w:type="lines" w:linePitch="312" w:charSpace="0"/>
        </w:sectPr>
      </w:pPr>
    </w:p>
    <w:p w14:paraId="689BDD21">
      <w:pPr>
        <w:pStyle w:val="6"/>
        <w:rPr>
          <w:rFonts w:hint="eastAsia" w:ascii="宋体" w:hAnsi="宋体" w:eastAsia="宋体" w:cs="宋体"/>
          <w:b/>
          <w:sz w:val="20"/>
          <w:highlight w:val="none"/>
        </w:rPr>
      </w:pPr>
      <w:bookmarkStart w:id="48" w:name="第四部分__谈判供应商须知"/>
      <w:bookmarkEnd w:id="48"/>
      <w:bookmarkStart w:id="49" w:name="第三部分__谈判项目要求"/>
      <w:bookmarkEnd w:id="49"/>
      <w:bookmarkStart w:id="50" w:name="_bookmark3"/>
      <w:bookmarkEnd w:id="50"/>
    </w:p>
    <w:p w14:paraId="02E019B5">
      <w:pPr>
        <w:pStyle w:val="4"/>
        <w:numPr>
          <w:ilvl w:val="0"/>
          <w:numId w:val="2"/>
        </w:numPr>
        <w:adjustRightInd w:val="0"/>
        <w:snapToGrid w:val="0"/>
        <w:spacing w:line="360" w:lineRule="auto"/>
        <w:ind w:left="0" w:firstLine="602" w:firstLineChars="200"/>
        <w:rPr>
          <w:rFonts w:hint="eastAsia" w:ascii="宋体" w:hAnsi="宋体" w:eastAsia="宋体" w:cs="宋体"/>
          <w:highlight w:val="none"/>
        </w:rPr>
      </w:pPr>
      <w:r>
        <w:rPr>
          <w:rFonts w:hint="eastAsia" w:ascii="宋体" w:hAnsi="宋体" w:eastAsia="宋体" w:cs="宋体"/>
          <w:highlight w:val="none"/>
        </w:rPr>
        <w:t>说明</w:t>
      </w:r>
    </w:p>
    <w:p w14:paraId="4F8CA1E2">
      <w:pPr>
        <w:pStyle w:val="4"/>
        <w:adjustRightInd w:val="0"/>
        <w:snapToGrid w:val="0"/>
        <w:spacing w:line="360" w:lineRule="auto"/>
        <w:ind w:left="0" w:firstLine="482"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1、适用范围</w:t>
      </w:r>
    </w:p>
    <w:p w14:paraId="669ED896">
      <w:pPr>
        <w:pStyle w:val="6"/>
        <w:adjustRightInd w:val="0"/>
        <w:snapToGrid w:val="0"/>
        <w:spacing w:line="360" w:lineRule="auto"/>
        <w:ind w:firstLine="492" w:firstLineChars="200"/>
        <w:jc w:val="both"/>
        <w:rPr>
          <w:rFonts w:hint="eastAsia" w:ascii="宋体" w:hAnsi="宋体" w:eastAsia="宋体" w:cs="宋体"/>
          <w:highlight w:val="none"/>
        </w:rPr>
      </w:pPr>
      <w:r>
        <w:rPr>
          <w:rFonts w:hint="eastAsia" w:ascii="宋体" w:hAnsi="宋体" w:eastAsia="宋体" w:cs="宋体"/>
          <w:spacing w:val="3"/>
          <w:highlight w:val="none"/>
        </w:rPr>
        <w:t>本采购文件仅适用于本次邀请函中所述的</w:t>
      </w:r>
      <w:r>
        <w:rPr>
          <w:rFonts w:hint="eastAsia" w:ascii="宋体" w:hAnsi="宋体" w:eastAsia="宋体" w:cs="宋体"/>
          <w:spacing w:val="-6"/>
          <w:highlight w:val="none"/>
        </w:rPr>
        <w:t>项目的</w:t>
      </w:r>
      <w:r>
        <w:rPr>
          <w:rFonts w:hint="eastAsia" w:ascii="宋体" w:hAnsi="宋体" w:eastAsia="宋体" w:cs="宋体"/>
          <w:spacing w:val="3"/>
          <w:highlight w:val="none"/>
        </w:rPr>
        <w:t>谈判。</w:t>
      </w:r>
    </w:p>
    <w:p w14:paraId="770543B0">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2、定义</w:t>
      </w:r>
    </w:p>
    <w:p w14:paraId="37392228">
      <w:pPr>
        <w:pStyle w:val="25"/>
        <w:numPr>
          <w:ilvl w:val="1"/>
          <w:numId w:val="3"/>
        </w:numPr>
        <w:tabs>
          <w:tab w:val="left" w:pos="826"/>
        </w:tabs>
        <w:adjustRightInd w:val="0"/>
        <w:snapToGrid w:val="0"/>
        <w:spacing w:line="360" w:lineRule="auto"/>
        <w:ind w:left="0" w:firstLine="496" w:firstLineChars="200"/>
        <w:rPr>
          <w:rFonts w:hint="eastAsia" w:ascii="宋体" w:hAnsi="宋体" w:eastAsia="宋体" w:cs="宋体"/>
          <w:sz w:val="24"/>
          <w:highlight w:val="none"/>
        </w:rPr>
      </w:pPr>
      <w:r>
        <w:rPr>
          <w:rFonts w:hint="eastAsia" w:ascii="宋体" w:hAnsi="宋体" w:eastAsia="宋体" w:cs="宋体"/>
          <w:spacing w:val="4"/>
          <w:sz w:val="24"/>
          <w:highlight w:val="none"/>
        </w:rPr>
        <w:t>谈判组织人——指组织本次谈判的周口市公共资源交易中心政府采购中</w:t>
      </w:r>
      <w:r>
        <w:rPr>
          <w:rFonts w:hint="eastAsia" w:ascii="宋体" w:hAnsi="宋体" w:eastAsia="宋体" w:cs="宋体"/>
          <w:sz w:val="24"/>
          <w:highlight w:val="none"/>
        </w:rPr>
        <w:t>心。</w:t>
      </w:r>
    </w:p>
    <w:p w14:paraId="4554DFCA">
      <w:pPr>
        <w:pStyle w:val="25"/>
        <w:numPr>
          <w:ilvl w:val="1"/>
          <w:numId w:val="3"/>
        </w:numPr>
        <w:tabs>
          <w:tab w:val="left" w:pos="819"/>
        </w:tabs>
        <w:adjustRightInd w:val="0"/>
        <w:snapToGrid w:val="0"/>
        <w:spacing w:line="360" w:lineRule="auto"/>
        <w:ind w:left="0" w:firstLine="480" w:firstLineChars="200"/>
        <w:rPr>
          <w:rFonts w:hint="eastAsia" w:ascii="宋体" w:hAnsi="宋体" w:eastAsia="宋体" w:cs="宋体"/>
          <w:spacing w:val="4"/>
          <w:sz w:val="24"/>
          <w:highlight w:val="none"/>
        </w:rPr>
      </w:pPr>
      <w:r>
        <w:rPr>
          <w:rFonts w:hint="eastAsia" w:ascii="宋体" w:hAnsi="宋体" w:eastAsia="宋体" w:cs="宋体"/>
          <w:sz w:val="24"/>
          <w:highlight w:val="none"/>
        </w:rPr>
        <w:t>谈判供应商——</w:t>
      </w:r>
      <w:r>
        <w:rPr>
          <w:rFonts w:hint="eastAsia" w:ascii="宋体" w:hAnsi="宋体" w:eastAsia="宋体" w:cs="宋体"/>
          <w:spacing w:val="4"/>
          <w:sz w:val="24"/>
          <w:highlight w:val="none"/>
        </w:rPr>
        <w:t>是</w:t>
      </w:r>
      <w:r>
        <w:rPr>
          <w:rFonts w:hint="eastAsia" w:ascii="宋体" w:hAnsi="宋体" w:eastAsia="宋体" w:cs="宋体"/>
          <w:spacing w:val="4"/>
          <w:sz w:val="24"/>
          <w:highlight w:val="none"/>
          <w:lang w:val="en-US"/>
        </w:rPr>
        <w:t>指</w:t>
      </w:r>
      <w:r>
        <w:rPr>
          <w:rFonts w:hint="eastAsia" w:ascii="宋体" w:hAnsi="宋体" w:eastAsia="宋体" w:cs="宋体"/>
          <w:spacing w:val="4"/>
          <w:sz w:val="24"/>
          <w:highlight w:val="none"/>
        </w:rPr>
        <w:t>响应</w:t>
      </w:r>
      <w:r>
        <w:rPr>
          <w:rFonts w:hint="eastAsia" w:ascii="宋体" w:hAnsi="宋体" w:eastAsia="宋体" w:cs="宋体"/>
          <w:spacing w:val="4"/>
          <w:sz w:val="24"/>
          <w:highlight w:val="none"/>
          <w:lang w:val="en-US"/>
        </w:rPr>
        <w:t>谈判</w:t>
      </w:r>
      <w:r>
        <w:rPr>
          <w:rFonts w:hint="eastAsia" w:ascii="宋体" w:hAnsi="宋体" w:eastAsia="宋体" w:cs="宋体"/>
          <w:spacing w:val="4"/>
          <w:sz w:val="24"/>
          <w:highlight w:val="none"/>
        </w:rPr>
        <w:t>文件、参加</w:t>
      </w:r>
      <w:r>
        <w:rPr>
          <w:rFonts w:hint="eastAsia" w:ascii="宋体" w:hAnsi="宋体" w:eastAsia="宋体" w:cs="宋体"/>
          <w:spacing w:val="4"/>
          <w:sz w:val="24"/>
          <w:highlight w:val="none"/>
          <w:lang w:val="en-US"/>
        </w:rPr>
        <w:t>谈判</w:t>
      </w:r>
      <w:r>
        <w:rPr>
          <w:rFonts w:hint="eastAsia" w:ascii="宋体" w:hAnsi="宋体" w:eastAsia="宋体" w:cs="宋体"/>
          <w:spacing w:val="4"/>
          <w:sz w:val="24"/>
          <w:highlight w:val="none"/>
        </w:rPr>
        <w:t>竞争的中华人民共和国境内的法人、其它组织，向谈判组织人提交谈判文件的供应商。</w:t>
      </w:r>
    </w:p>
    <w:p w14:paraId="35D6737B">
      <w:pPr>
        <w:pStyle w:val="25"/>
        <w:numPr>
          <w:ilvl w:val="1"/>
          <w:numId w:val="3"/>
        </w:numPr>
        <w:tabs>
          <w:tab w:val="left" w:pos="819"/>
        </w:tabs>
        <w:adjustRightInd w:val="0"/>
        <w:snapToGrid w:val="0"/>
        <w:spacing w:line="360" w:lineRule="auto"/>
        <w:ind w:left="0"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采购人——</w:t>
      </w:r>
      <w:r>
        <w:rPr>
          <w:rFonts w:hint="eastAsia" w:cs="宋体"/>
          <w:spacing w:val="4"/>
          <w:sz w:val="24"/>
          <w:highlight w:val="none"/>
          <w:lang w:eastAsia="zh-CN"/>
        </w:rPr>
        <w:t>郸城县丁村乡人民政府</w:t>
      </w:r>
    </w:p>
    <w:p w14:paraId="4CFFB331">
      <w:pPr>
        <w:pStyle w:val="25"/>
        <w:tabs>
          <w:tab w:val="left" w:pos="819"/>
        </w:tabs>
        <w:adjustRightInd w:val="0"/>
        <w:snapToGrid w:val="0"/>
        <w:spacing w:line="360" w:lineRule="auto"/>
        <w:ind w:left="480" w:firstLine="0"/>
        <w:rPr>
          <w:rFonts w:hint="eastAsia" w:ascii="宋体" w:hAnsi="宋体" w:eastAsia="宋体" w:cs="宋体"/>
          <w:spacing w:val="4"/>
          <w:sz w:val="24"/>
          <w:highlight w:val="none"/>
        </w:rPr>
      </w:pPr>
      <w:r>
        <w:rPr>
          <w:rFonts w:hint="eastAsia" w:ascii="宋体" w:hAnsi="宋体" w:eastAsia="宋体" w:cs="宋体"/>
          <w:spacing w:val="4"/>
          <w:sz w:val="24"/>
          <w:highlight w:val="none"/>
        </w:rPr>
        <w:t>2.4货物——指谈判供应商按谈判文件规定，须向最终用户提供的货物及其它有</w:t>
      </w:r>
    </w:p>
    <w:p w14:paraId="0530AFE1">
      <w:pPr>
        <w:tabs>
          <w:tab w:val="left" w:pos="819"/>
        </w:tabs>
        <w:adjustRightInd w:val="0"/>
        <w:snapToGrid w:val="0"/>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rPr>
        <w:t>关技术资料。</w:t>
      </w:r>
    </w:p>
    <w:p w14:paraId="059CAE14">
      <w:pPr>
        <w:tabs>
          <w:tab w:val="left" w:pos="826"/>
        </w:tabs>
        <w:adjustRightInd w:val="0"/>
        <w:snapToGrid w:val="0"/>
        <w:spacing w:line="360" w:lineRule="auto"/>
        <w:ind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2.5服务——指谈判文件规定谈判供应商须承担的送货、安装、维修和其它类似义务。</w:t>
      </w:r>
    </w:p>
    <w:p w14:paraId="4C4566C1">
      <w:pPr>
        <w:pStyle w:val="25"/>
        <w:tabs>
          <w:tab w:val="left" w:pos="826"/>
        </w:tabs>
        <w:adjustRightInd w:val="0"/>
        <w:snapToGrid w:val="0"/>
        <w:spacing w:line="360" w:lineRule="auto"/>
        <w:ind w:left="0"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lang w:val="en-US"/>
        </w:rPr>
        <w:t>2.6</w:t>
      </w:r>
      <w:r>
        <w:rPr>
          <w:rFonts w:hint="eastAsia" w:ascii="宋体" w:hAnsi="宋体" w:eastAsia="宋体" w:cs="宋体"/>
          <w:spacing w:val="4"/>
          <w:sz w:val="24"/>
          <w:highlight w:val="none"/>
        </w:rPr>
        <w:t>偏离——</w:t>
      </w:r>
      <w:r>
        <w:rPr>
          <w:rFonts w:hint="eastAsia" w:ascii="宋体" w:hAnsi="宋体" w:eastAsia="宋体" w:cs="宋体"/>
          <w:spacing w:val="4"/>
          <w:sz w:val="24"/>
          <w:highlight w:val="none"/>
          <w:lang w:val="en-US"/>
        </w:rPr>
        <w:t>指</w:t>
      </w:r>
      <w:r>
        <w:rPr>
          <w:rFonts w:hint="eastAsia" w:ascii="宋体" w:hAnsi="宋体" w:eastAsia="宋体" w:cs="宋体"/>
          <w:spacing w:val="4"/>
          <w:sz w:val="24"/>
          <w:highlight w:val="none"/>
        </w:rPr>
        <w:t>响应文件的响应相对于</w:t>
      </w:r>
      <w:r>
        <w:rPr>
          <w:rFonts w:hint="eastAsia" w:ascii="宋体" w:hAnsi="宋体" w:eastAsia="宋体" w:cs="宋体"/>
          <w:spacing w:val="4"/>
          <w:sz w:val="24"/>
          <w:highlight w:val="none"/>
          <w:lang w:val="en-US"/>
        </w:rPr>
        <w:t>谈判</w:t>
      </w:r>
      <w:r>
        <w:rPr>
          <w:rFonts w:hint="eastAsia" w:ascii="宋体" w:hAnsi="宋体" w:eastAsia="宋体" w:cs="宋体"/>
          <w:spacing w:val="4"/>
          <w:sz w:val="24"/>
          <w:highlight w:val="none"/>
        </w:rPr>
        <w:t>文件要求的偏差，该偏差优于</w:t>
      </w:r>
      <w:r>
        <w:rPr>
          <w:rFonts w:hint="eastAsia" w:ascii="宋体" w:hAnsi="宋体" w:eastAsia="宋体" w:cs="宋体"/>
          <w:spacing w:val="4"/>
          <w:sz w:val="24"/>
          <w:highlight w:val="none"/>
          <w:lang w:val="en-US"/>
        </w:rPr>
        <w:t>谈判</w:t>
      </w:r>
      <w:r>
        <w:rPr>
          <w:rFonts w:hint="eastAsia" w:ascii="宋体" w:hAnsi="宋体" w:eastAsia="宋体" w:cs="宋体"/>
          <w:spacing w:val="4"/>
          <w:sz w:val="24"/>
          <w:highlight w:val="none"/>
        </w:rPr>
        <w:t>文件要求的为正偏离；劣于的，为负偏离。</w:t>
      </w:r>
    </w:p>
    <w:p w14:paraId="006EC1AB">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3、谈判供应商条件</w:t>
      </w:r>
    </w:p>
    <w:p w14:paraId="5F5E3622">
      <w:pPr>
        <w:pStyle w:val="25"/>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spacing w:val="-3"/>
          <w:sz w:val="24"/>
          <w:highlight w:val="none"/>
        </w:rPr>
      </w:pPr>
      <w:r>
        <w:rPr>
          <w:rFonts w:hint="eastAsia" w:ascii="宋体" w:hAnsi="宋体" w:eastAsia="宋体" w:cs="宋体"/>
          <w:spacing w:val="-3"/>
          <w:sz w:val="24"/>
          <w:highlight w:val="none"/>
        </w:rPr>
        <w:t>具有独立承担民事责任的能力；具有良好的商业信誉和健全的财务会计制</w:t>
      </w:r>
      <w:r>
        <w:rPr>
          <w:rFonts w:hint="eastAsia" w:ascii="宋体" w:hAnsi="宋体" w:eastAsia="宋体" w:cs="宋体"/>
          <w:sz w:val="24"/>
          <w:highlight w:val="none"/>
        </w:rPr>
        <w:t>度；具有完</w:t>
      </w:r>
      <w:r>
        <w:rPr>
          <w:rFonts w:hint="eastAsia" w:ascii="宋体" w:hAnsi="宋体" w:eastAsia="宋体" w:cs="宋体"/>
          <w:spacing w:val="-3"/>
          <w:sz w:val="24"/>
          <w:highlight w:val="none"/>
        </w:rPr>
        <w:t>成本次谈判项目所必需的设备和专业技术能力；有依法缴纳税收和社会保障资金的良好记录。</w:t>
      </w:r>
    </w:p>
    <w:p w14:paraId="7102D0A4">
      <w:pPr>
        <w:pStyle w:val="25"/>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spacing w:val="-3"/>
          <w:sz w:val="24"/>
          <w:highlight w:val="none"/>
        </w:rPr>
      </w:pPr>
      <w:r>
        <w:rPr>
          <w:rFonts w:hint="eastAsia" w:ascii="宋体" w:hAnsi="宋体" w:eastAsia="宋体" w:cs="宋体"/>
          <w:spacing w:val="-3"/>
          <w:sz w:val="24"/>
          <w:highlight w:val="none"/>
        </w:rPr>
        <w:t>凡符合“谈判项目要求”条件，承认本谈判文件所有内容的供应商均为合格的谈判供应商。</w:t>
      </w:r>
    </w:p>
    <w:p w14:paraId="012E69EC">
      <w:pPr>
        <w:pStyle w:val="25"/>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color w:val="000000" w:themeColor="text1"/>
          <w:spacing w:val="-3"/>
          <w:sz w:val="24"/>
          <w:highlight w:val="none"/>
          <w14:textFill>
            <w14:solidFill>
              <w14:schemeClr w14:val="tx1"/>
            </w14:solidFill>
          </w14:textFill>
        </w:rPr>
      </w:pPr>
      <w:r>
        <w:rPr>
          <w:rFonts w:hint="eastAsia" w:ascii="宋体" w:hAnsi="宋体" w:eastAsia="宋体" w:cs="宋体"/>
          <w:color w:val="000000" w:themeColor="text1"/>
          <w:spacing w:val="-3"/>
          <w:sz w:val="24"/>
          <w:highlight w:val="none"/>
          <w14:textFill>
            <w14:solidFill>
              <w14:schemeClr w14:val="tx1"/>
            </w14:solidFill>
          </w14:textFill>
        </w:rPr>
        <w:t>谈判供应商应遵守中华人民共和国法律、法规和谈判组织人有关谈判的规定。</w:t>
      </w:r>
    </w:p>
    <w:p w14:paraId="279AB56F">
      <w:pPr>
        <w:pStyle w:val="25"/>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color w:val="000000" w:themeColor="text1"/>
          <w:spacing w:val="-3"/>
          <w:sz w:val="24"/>
          <w:highlight w:val="none"/>
          <w14:textFill>
            <w14:solidFill>
              <w14:schemeClr w14:val="tx1"/>
            </w14:solidFill>
          </w14:textFill>
        </w:rPr>
      </w:pPr>
      <w:r>
        <w:rPr>
          <w:rFonts w:hint="eastAsia" w:ascii="宋体" w:hAnsi="宋体" w:eastAsia="宋体" w:cs="宋体"/>
          <w:color w:val="000000" w:themeColor="text1"/>
          <w:spacing w:val="-3"/>
          <w:sz w:val="24"/>
          <w:highlight w:val="none"/>
          <w14:textFill>
            <w14:solidFill>
              <w14:schemeClr w14:val="tx1"/>
            </w14:solidFill>
          </w14:textFill>
        </w:rPr>
        <w:t>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9227FAE">
      <w:pPr>
        <w:pStyle w:val="5"/>
        <w:adjustRightInd w:val="0"/>
        <w:snapToGrid w:val="0"/>
        <w:spacing w:line="360" w:lineRule="auto"/>
        <w:ind w:left="0" w:firstLine="48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4、谈判费用</w:t>
      </w:r>
    </w:p>
    <w:p w14:paraId="0047D458">
      <w:pPr>
        <w:pStyle w:val="25"/>
        <w:numPr>
          <w:ilvl w:val="1"/>
          <w:numId w:val="5"/>
        </w:numPr>
        <w:tabs>
          <w:tab w:val="left" w:pos="819"/>
        </w:tabs>
        <w:adjustRightInd w:val="0"/>
        <w:snapToGrid w:val="0"/>
        <w:spacing w:line="360" w:lineRule="auto"/>
        <w:ind w:left="0" w:firstLine="472" w:firstLineChars="200"/>
        <w:rPr>
          <w:rFonts w:hint="eastAsia" w:ascii="宋体" w:hAnsi="宋体" w:eastAsia="宋体" w:cs="宋体"/>
          <w:highlight w:val="none"/>
        </w:rPr>
      </w:pPr>
      <w:r>
        <w:rPr>
          <w:rFonts w:hint="eastAsia" w:ascii="宋体" w:hAnsi="宋体" w:eastAsia="宋体" w:cs="宋体"/>
          <w:color w:val="000000" w:themeColor="text1"/>
          <w:spacing w:val="-2"/>
          <w:sz w:val="24"/>
          <w:highlight w:val="none"/>
          <w14:textFill>
            <w14:solidFill>
              <w14:schemeClr w14:val="tx1"/>
            </w14:solidFill>
          </w14:textFill>
        </w:rPr>
        <w:t>谈判供应商应自行承担参加谈判活动有</w:t>
      </w:r>
      <w:r>
        <w:rPr>
          <w:rFonts w:hint="eastAsia" w:ascii="宋体" w:hAnsi="宋体" w:eastAsia="宋体" w:cs="宋体"/>
          <w:spacing w:val="-2"/>
          <w:sz w:val="24"/>
          <w:highlight w:val="none"/>
        </w:rPr>
        <w:t>关的全部费用，谈判组织人在任何</w:t>
      </w:r>
      <w:r>
        <w:rPr>
          <w:rFonts w:hint="eastAsia" w:ascii="宋体" w:hAnsi="宋体" w:eastAsia="宋体" w:cs="宋体"/>
          <w:sz w:val="24"/>
          <w:highlight w:val="none"/>
        </w:rPr>
        <w:t>情况下均无义务和责任承担上述费用</w:t>
      </w:r>
      <w:r>
        <w:rPr>
          <w:rFonts w:hint="eastAsia" w:ascii="宋体" w:hAnsi="宋体" w:eastAsia="宋体" w:cs="宋体"/>
          <w:sz w:val="24"/>
          <w:highlight w:val="none"/>
          <w:lang w:eastAsia="zh-CN"/>
        </w:rPr>
        <w:t>，并提供承诺。</w:t>
      </w:r>
    </w:p>
    <w:p w14:paraId="186BB501">
      <w:pPr>
        <w:pStyle w:val="5"/>
        <w:numPr>
          <w:ilvl w:val="1"/>
          <w:numId w:val="5"/>
        </w:numPr>
        <w:tabs>
          <w:tab w:val="left" w:pos="823"/>
        </w:tabs>
        <w:adjustRightInd w:val="0"/>
        <w:snapToGrid w:val="0"/>
        <w:spacing w:line="360" w:lineRule="auto"/>
        <w:ind w:left="0" w:firstLine="482" w:firstLineChars="200"/>
        <w:rPr>
          <w:rFonts w:hint="eastAsia" w:ascii="宋体" w:hAnsi="宋体" w:eastAsia="宋体" w:cs="宋体"/>
          <w:sz w:val="22"/>
          <w:highlight w:val="none"/>
        </w:rPr>
      </w:pPr>
      <w:r>
        <w:rPr>
          <w:rFonts w:hint="eastAsia" w:ascii="宋体" w:hAnsi="宋体" w:eastAsia="宋体" w:cs="宋体"/>
          <w:highlight w:val="none"/>
        </w:rPr>
        <w:t>本项目免收成交服务费，</w:t>
      </w:r>
      <w:r>
        <w:rPr>
          <w:rFonts w:hint="eastAsia" w:ascii="宋体" w:hAnsi="宋体" w:eastAsia="宋体" w:cs="宋体"/>
          <w:highlight w:val="none"/>
          <w:lang w:val="en-US"/>
        </w:rPr>
        <w:t>评标费用由采购人自行解决</w:t>
      </w:r>
      <w:r>
        <w:rPr>
          <w:rFonts w:hint="eastAsia" w:ascii="宋体" w:hAnsi="宋体" w:eastAsia="宋体" w:cs="宋体"/>
          <w:highlight w:val="none"/>
        </w:rPr>
        <w:t>。</w:t>
      </w:r>
    </w:p>
    <w:p w14:paraId="2F8903D6">
      <w:pPr>
        <w:adjustRightInd w:val="0"/>
        <w:snapToGrid w:val="0"/>
        <w:spacing w:line="360" w:lineRule="auto"/>
        <w:ind w:firstLine="440" w:firstLineChars="200"/>
        <w:rPr>
          <w:rFonts w:hint="eastAsia" w:ascii="宋体" w:hAnsi="宋体" w:eastAsia="宋体" w:cs="宋体"/>
          <w:highlight w:val="none"/>
        </w:rPr>
        <w:sectPr>
          <w:footerReference r:id="rId6" w:type="default"/>
          <w:pgSz w:w="11850" w:h="16790"/>
          <w:pgMar w:top="1440" w:right="1080" w:bottom="1440" w:left="1080" w:header="0" w:footer="721" w:gutter="0"/>
          <w:pgNumType w:fmt="decimal"/>
          <w:cols w:space="720" w:num="1"/>
        </w:sectPr>
      </w:pPr>
    </w:p>
    <w:p w14:paraId="001B2B21">
      <w:pPr>
        <w:numPr>
          <w:ilvl w:val="0"/>
          <w:numId w:val="2"/>
        </w:numPr>
        <w:adjustRightInd w:val="0"/>
        <w:snapToGrid w:val="0"/>
        <w:spacing w:line="360" w:lineRule="auto"/>
        <w:ind w:firstLine="572" w:firstLineChars="200"/>
        <w:rPr>
          <w:rFonts w:hint="eastAsia" w:ascii="宋体" w:hAnsi="宋体" w:eastAsia="宋体" w:cs="宋体"/>
          <w:b/>
          <w:w w:val="95"/>
          <w:sz w:val="30"/>
          <w:highlight w:val="none"/>
        </w:rPr>
      </w:pPr>
      <w:r>
        <w:rPr>
          <w:rFonts w:hint="eastAsia" w:ascii="宋体" w:hAnsi="宋体" w:eastAsia="宋体" w:cs="宋体"/>
          <w:b/>
          <w:w w:val="95"/>
          <w:sz w:val="30"/>
          <w:highlight w:val="none"/>
        </w:rPr>
        <w:t>谈判文件说明</w:t>
      </w:r>
    </w:p>
    <w:p w14:paraId="7C21B962">
      <w:pPr>
        <w:adjustRightInd w:val="0"/>
        <w:snapToGrid w:val="0"/>
        <w:spacing w:line="360" w:lineRule="auto"/>
        <w:ind w:left="440" w:leftChars="200"/>
        <w:rPr>
          <w:rFonts w:hint="eastAsia" w:ascii="宋体" w:hAnsi="宋体" w:eastAsia="宋体" w:cs="宋体"/>
          <w:b/>
          <w:sz w:val="24"/>
          <w:highlight w:val="none"/>
        </w:rPr>
      </w:pPr>
      <w:r>
        <w:rPr>
          <w:rFonts w:hint="eastAsia" w:ascii="宋体" w:hAnsi="宋体" w:eastAsia="宋体" w:cs="宋体"/>
          <w:b/>
          <w:w w:val="95"/>
          <w:sz w:val="24"/>
          <w:highlight w:val="none"/>
        </w:rPr>
        <w:t>5、谈判文件的构成：</w:t>
      </w:r>
    </w:p>
    <w:p w14:paraId="4BED4BA9">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5.1谈判文件用以阐明所采购</w:t>
      </w:r>
      <w:r>
        <w:rPr>
          <w:rFonts w:hint="eastAsia" w:ascii="宋体" w:hAnsi="宋体" w:eastAsia="宋体" w:cs="宋体"/>
          <w:highlight w:val="none"/>
          <w:lang w:val="en-US"/>
        </w:rPr>
        <w:t>服务</w:t>
      </w:r>
      <w:r>
        <w:rPr>
          <w:rFonts w:hint="eastAsia" w:ascii="宋体" w:hAnsi="宋体" w:eastAsia="宋体" w:cs="宋体"/>
          <w:highlight w:val="none"/>
        </w:rPr>
        <w:t>的内容、要求及谈判程序。谈判文件由下述部分组成：</w:t>
      </w:r>
    </w:p>
    <w:p w14:paraId="04C15FBF">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谈判邀请函</w:t>
      </w:r>
    </w:p>
    <w:p w14:paraId="48064D3D">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rPr>
        <w:t>谈判</w:t>
      </w:r>
      <w:r>
        <w:rPr>
          <w:rFonts w:hint="eastAsia" w:ascii="宋体" w:hAnsi="宋体" w:eastAsia="宋体" w:cs="宋体"/>
          <w:highlight w:val="none"/>
        </w:rPr>
        <w:t>供应商须知；</w:t>
      </w:r>
    </w:p>
    <w:p w14:paraId="65CF4B61">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"_bookmark2" </w:instrText>
      </w:r>
      <w:r>
        <w:rPr>
          <w:rFonts w:hint="eastAsia" w:ascii="宋体" w:hAnsi="宋体" w:eastAsia="宋体" w:cs="宋体"/>
          <w:highlight w:val="none"/>
        </w:rPr>
        <w:fldChar w:fldCharType="separate"/>
      </w:r>
      <w:r>
        <w:rPr>
          <w:rFonts w:hint="eastAsia" w:ascii="宋体" w:hAnsi="宋体" w:eastAsia="宋体" w:cs="宋体"/>
          <w:highlight w:val="none"/>
        </w:rPr>
        <w:t>谈判项目要求</w:t>
      </w:r>
      <w:r>
        <w:rPr>
          <w:rFonts w:hint="eastAsia" w:ascii="宋体" w:hAnsi="宋体" w:eastAsia="宋体" w:cs="宋体"/>
          <w:highlight w:val="none"/>
        </w:rPr>
        <w:fldChar w:fldCharType="end"/>
      </w:r>
    </w:p>
    <w:p w14:paraId="6E7DEDF7">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"_bookmark3" </w:instrText>
      </w:r>
      <w:r>
        <w:rPr>
          <w:rFonts w:hint="eastAsia" w:ascii="宋体" w:hAnsi="宋体" w:eastAsia="宋体" w:cs="宋体"/>
          <w:highlight w:val="none"/>
        </w:rPr>
        <w:fldChar w:fldCharType="separate"/>
      </w:r>
      <w:r>
        <w:rPr>
          <w:rFonts w:hint="eastAsia" w:ascii="宋体" w:hAnsi="宋体" w:eastAsia="宋体" w:cs="宋体"/>
          <w:highlight w:val="none"/>
        </w:rPr>
        <w:t>项目内容及技术要求</w:t>
      </w:r>
      <w:r>
        <w:rPr>
          <w:rFonts w:hint="eastAsia" w:ascii="宋体" w:hAnsi="宋体" w:eastAsia="宋体" w:cs="宋体"/>
          <w:highlight w:val="none"/>
        </w:rPr>
        <w:fldChar w:fldCharType="end"/>
      </w:r>
    </w:p>
    <w:p w14:paraId="7AF7325A">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"_bookmark4" </w:instrText>
      </w:r>
      <w:r>
        <w:rPr>
          <w:rFonts w:hint="eastAsia" w:ascii="宋体" w:hAnsi="宋体" w:eastAsia="宋体" w:cs="宋体"/>
          <w:highlight w:val="none"/>
        </w:rPr>
        <w:fldChar w:fldCharType="separate"/>
      </w:r>
      <w:r>
        <w:rPr>
          <w:rFonts w:hint="eastAsia" w:ascii="宋体" w:hAnsi="宋体" w:eastAsia="宋体" w:cs="宋体"/>
          <w:highlight w:val="none"/>
        </w:rPr>
        <w:t>谈判响应文件格式</w:t>
      </w:r>
      <w:r>
        <w:rPr>
          <w:rFonts w:hint="eastAsia" w:ascii="宋体" w:hAnsi="宋体" w:eastAsia="宋体" w:cs="宋体"/>
          <w:highlight w:val="none"/>
        </w:rPr>
        <w:fldChar w:fldCharType="end"/>
      </w:r>
      <w:r>
        <w:rPr>
          <w:rFonts w:hint="eastAsia" w:ascii="宋体" w:hAnsi="宋体" w:eastAsia="宋体" w:cs="宋体"/>
          <w:highlight w:val="none"/>
        </w:rPr>
        <w:t>；</w:t>
      </w:r>
    </w:p>
    <w:p w14:paraId="6270B620">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rPr>
        <w:t>合同条款及格式</w:t>
      </w:r>
    </w:p>
    <w:p w14:paraId="0C9AAAD2">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6、谈判文件的澄清</w:t>
      </w:r>
    </w:p>
    <w:p w14:paraId="010EC95E">
      <w:pPr>
        <w:pStyle w:val="25"/>
        <w:numPr>
          <w:ilvl w:val="1"/>
          <w:numId w:val="6"/>
        </w:numPr>
        <w:tabs>
          <w:tab w:val="left" w:pos="82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参加谈判的供应商对谈判文件如有需要澄清的疑问，应在谈判截止时间前按谈判邀请函中载明的地址以书面形式通知到</w:t>
      </w:r>
      <w:r>
        <w:rPr>
          <w:rFonts w:hint="eastAsia" w:ascii="宋体" w:hAnsi="宋体" w:eastAsia="宋体" w:cs="宋体"/>
          <w:sz w:val="24"/>
          <w:highlight w:val="none"/>
          <w:lang w:val="en-US"/>
        </w:rPr>
        <w:t>采购人</w:t>
      </w:r>
      <w:r>
        <w:rPr>
          <w:rFonts w:hint="eastAsia" w:ascii="宋体" w:hAnsi="宋体" w:eastAsia="宋体" w:cs="宋体"/>
          <w:sz w:val="24"/>
          <w:highlight w:val="none"/>
        </w:rPr>
        <w:t>。</w:t>
      </w:r>
      <w:r>
        <w:rPr>
          <w:rFonts w:hint="eastAsia" w:ascii="宋体" w:hAnsi="宋体" w:eastAsia="宋体" w:cs="宋体"/>
          <w:sz w:val="24"/>
          <w:highlight w:val="none"/>
          <w:lang w:val="en-US"/>
        </w:rPr>
        <w:t>采购</w:t>
      </w:r>
      <w:r>
        <w:rPr>
          <w:rFonts w:hint="eastAsia" w:ascii="宋体" w:hAnsi="宋体" w:eastAsia="宋体" w:cs="宋体"/>
          <w:sz w:val="24"/>
          <w:highlight w:val="none"/>
        </w:rPr>
        <w:t>人将视情况确定采用适当方式予以澄清或以书面形式予以答复，并在其认为必要时，将不标明查询来源的书面答复</w:t>
      </w:r>
      <w:r>
        <w:rPr>
          <w:rFonts w:hint="eastAsia" w:ascii="宋体" w:hAnsi="宋体" w:eastAsia="宋体" w:cs="宋体"/>
          <w:sz w:val="24"/>
          <w:highlight w:val="none"/>
          <w:lang w:val="en-US"/>
        </w:rPr>
        <w:t>或以网上公告的形式告知</w:t>
      </w:r>
      <w:r>
        <w:rPr>
          <w:rFonts w:hint="eastAsia" w:ascii="宋体" w:hAnsi="宋体" w:eastAsia="宋体" w:cs="宋体"/>
          <w:sz w:val="24"/>
          <w:highlight w:val="none"/>
        </w:rPr>
        <w:t>谈判文件的所有潜在谈判供应商。</w:t>
      </w:r>
    </w:p>
    <w:p w14:paraId="68D5E82A">
      <w:pPr>
        <w:pStyle w:val="25"/>
        <w:numPr>
          <w:ilvl w:val="1"/>
          <w:numId w:val="6"/>
        </w:numPr>
        <w:tabs>
          <w:tab w:val="left" w:pos="82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谈判组织人将视情况在认为必要时于谈判截止前答疑。投标人如对竞争性</w:t>
      </w:r>
      <w:r>
        <w:rPr>
          <w:rFonts w:hint="eastAsia" w:ascii="宋体" w:hAnsi="宋体" w:eastAsia="宋体" w:cs="宋体"/>
          <w:sz w:val="24"/>
          <w:highlight w:val="none"/>
          <w:lang w:val="en-US" w:eastAsia="zh-CN"/>
        </w:rPr>
        <w:t>谈判</w:t>
      </w:r>
      <w:r>
        <w:rPr>
          <w:rFonts w:hint="eastAsia" w:ascii="宋体" w:hAnsi="宋体" w:eastAsia="宋体" w:cs="宋体"/>
          <w:sz w:val="24"/>
          <w:highlight w:val="none"/>
        </w:rPr>
        <w:t>文件无异议，出具确认书，确认竞争性</w:t>
      </w:r>
      <w:r>
        <w:rPr>
          <w:rFonts w:hint="eastAsia" w:ascii="宋体" w:hAnsi="宋体" w:eastAsia="宋体" w:cs="宋体"/>
          <w:sz w:val="24"/>
          <w:highlight w:val="none"/>
          <w:lang w:val="en-US" w:eastAsia="zh-CN"/>
        </w:rPr>
        <w:t>谈判</w:t>
      </w:r>
      <w:r>
        <w:rPr>
          <w:rFonts w:hint="eastAsia" w:ascii="宋体" w:hAnsi="宋体" w:eastAsia="宋体" w:cs="宋体"/>
          <w:sz w:val="24"/>
          <w:highlight w:val="none"/>
        </w:rPr>
        <w:t>文件清晰无异议。确认书作为资格审查资料。</w:t>
      </w:r>
    </w:p>
    <w:p w14:paraId="07AA2CFC">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7、谈判文件的修改</w:t>
      </w:r>
    </w:p>
    <w:p w14:paraId="5729996C">
      <w:pPr>
        <w:pStyle w:val="6"/>
        <w:adjustRightInd w:val="0"/>
        <w:snapToGrid w:val="0"/>
        <w:spacing w:line="360" w:lineRule="auto"/>
        <w:ind w:firstLine="480" w:firstLineChars="200"/>
        <w:rPr>
          <w:rFonts w:hint="eastAsia" w:ascii="宋体" w:hAnsi="宋体" w:eastAsia="宋体" w:cs="宋体"/>
          <w:szCs w:val="22"/>
          <w:highlight w:val="none"/>
        </w:rPr>
      </w:pPr>
      <w:r>
        <w:rPr>
          <w:rFonts w:hint="eastAsia" w:ascii="宋体" w:hAnsi="宋体" w:eastAsia="宋体" w:cs="宋体"/>
          <w:szCs w:val="22"/>
          <w:highlight w:val="none"/>
        </w:rPr>
        <w:t>7.1谈判文件的修改将构成谈判文件的一部分，对所有参加谈判的供应商均有约束力。</w:t>
      </w:r>
    </w:p>
    <w:p w14:paraId="21868FB2">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lang w:val="en-US"/>
        </w:rPr>
        <w:t>7.2</w:t>
      </w:r>
      <w:r>
        <w:rPr>
          <w:rFonts w:hint="eastAsia" w:ascii="宋体" w:hAnsi="宋体" w:eastAsia="宋体" w:cs="宋体"/>
          <w:sz w:val="24"/>
          <w:highlight w:val="none"/>
        </w:rPr>
        <w:t>采购人</w:t>
      </w:r>
      <w:r>
        <w:rPr>
          <w:rFonts w:hint="eastAsia" w:ascii="宋体" w:hAnsi="宋体" w:eastAsia="宋体" w:cs="宋体"/>
          <w:sz w:val="24"/>
          <w:highlight w:val="none"/>
          <w:lang w:val="en-US"/>
        </w:rPr>
        <w:t>或采购中心</w:t>
      </w:r>
      <w:r>
        <w:rPr>
          <w:rFonts w:hint="eastAsia" w:ascii="宋体" w:hAnsi="宋体" w:eastAsia="宋体" w:cs="宋体"/>
          <w:sz w:val="24"/>
          <w:highlight w:val="none"/>
        </w:rPr>
        <w:t>对</w:t>
      </w:r>
      <w:r>
        <w:rPr>
          <w:rFonts w:hint="eastAsia" w:ascii="宋体" w:hAnsi="宋体" w:eastAsia="宋体" w:cs="宋体"/>
          <w:sz w:val="24"/>
          <w:highlight w:val="none"/>
          <w:lang w:val="en-US"/>
        </w:rPr>
        <w:t>谈判</w:t>
      </w:r>
      <w:r>
        <w:rPr>
          <w:rFonts w:hint="eastAsia" w:ascii="宋体" w:hAnsi="宋体" w:eastAsia="宋体" w:cs="宋体"/>
          <w:sz w:val="24"/>
          <w:highlight w:val="none"/>
        </w:rPr>
        <w:t>文件进行的澄清、更正或更改，将在</w:t>
      </w:r>
      <w:r>
        <w:rPr>
          <w:rFonts w:hint="eastAsia" w:ascii="宋体" w:hAnsi="宋体" w:eastAsia="宋体" w:cs="宋体"/>
          <w:sz w:val="24"/>
          <w:highlight w:val="none"/>
          <w:lang w:val="en-US"/>
        </w:rPr>
        <w:t>河南省政府采购</w:t>
      </w:r>
      <w:r>
        <w:rPr>
          <w:rFonts w:hint="eastAsia" w:ascii="宋体" w:hAnsi="宋体" w:eastAsia="宋体" w:cs="宋体"/>
          <w:sz w:val="24"/>
          <w:highlight w:val="none"/>
        </w:rPr>
        <w:t>网站</w:t>
      </w:r>
      <w:r>
        <w:rPr>
          <w:rFonts w:hint="eastAsia" w:ascii="宋体" w:hAnsi="宋体" w:eastAsia="宋体" w:cs="宋体"/>
          <w:sz w:val="24"/>
          <w:highlight w:val="none"/>
          <w:lang w:val="en-US"/>
        </w:rPr>
        <w:t>及周口市公共资源交易中心网站</w:t>
      </w:r>
      <w:r>
        <w:rPr>
          <w:rFonts w:hint="eastAsia" w:ascii="宋体" w:hAnsi="宋体" w:eastAsia="宋体" w:cs="宋体"/>
          <w:sz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sz w:val="24"/>
          <w:highlight w:val="none"/>
          <w:lang w:val="en-US" w:eastAsia="zh-CN"/>
        </w:rPr>
        <w:t>谈判</w:t>
      </w:r>
      <w:r>
        <w:rPr>
          <w:rFonts w:hint="eastAsia" w:ascii="宋体" w:hAnsi="宋体" w:eastAsia="宋体" w:cs="宋体"/>
          <w:sz w:val="24"/>
          <w:highlight w:val="none"/>
        </w:rPr>
        <w:t>文件进行的澄清，以网上公告的方式通知供应商。澄清或修改的内容可能影响响应文件编制的，采购人、采购代理机构应当在提交响应文件截止时间至少5日前。</w:t>
      </w:r>
    </w:p>
    <w:p w14:paraId="402D1C5E">
      <w:pPr>
        <w:spacing w:line="360" w:lineRule="auto"/>
        <w:ind w:firstLine="550"/>
        <w:rPr>
          <w:rFonts w:hint="eastAsia" w:ascii="宋体" w:hAnsi="宋体" w:eastAsia="宋体" w:cs="宋体"/>
          <w:highlight w:val="none"/>
          <w:lang w:val="en-US"/>
        </w:rPr>
      </w:pPr>
      <w:r>
        <w:rPr>
          <w:rFonts w:hint="eastAsia" w:ascii="宋体" w:hAnsi="宋体" w:eastAsia="宋体" w:cs="宋体"/>
          <w:sz w:val="24"/>
          <w:highlight w:val="none"/>
          <w:lang w:val="en-US"/>
        </w:rPr>
        <w:t>7.3</w:t>
      </w:r>
      <w:r>
        <w:rPr>
          <w:rFonts w:hint="eastAsia" w:ascii="宋体" w:hAnsi="宋体" w:eastAsia="宋体" w:cs="宋体"/>
          <w:sz w:val="24"/>
          <w:highlight w:val="none"/>
        </w:rPr>
        <w:t>在投标截止时间前，采购人可以视采购具体情况，延长投标截止时间和开标时间，并在</w:t>
      </w:r>
      <w:r>
        <w:rPr>
          <w:rFonts w:hint="eastAsia" w:ascii="宋体" w:hAnsi="宋体" w:eastAsia="宋体" w:cs="宋体"/>
          <w:sz w:val="24"/>
          <w:highlight w:val="none"/>
          <w:lang w:val="en-US"/>
        </w:rPr>
        <w:t>谈判</w:t>
      </w:r>
      <w:r>
        <w:rPr>
          <w:rFonts w:hint="eastAsia" w:ascii="宋体" w:hAnsi="宋体" w:eastAsia="宋体" w:cs="宋体"/>
          <w:sz w:val="24"/>
          <w:highlight w:val="none"/>
        </w:rPr>
        <w:t>文件要求提交投标文件的截止时间前，在网站上发布变更公告。在上述情况下，采购人和投标人在投标截止期方面的全部权力、责任和义务，将适用于延长后新的投标截止期。</w:t>
      </w:r>
    </w:p>
    <w:p w14:paraId="76A84D76">
      <w:pPr>
        <w:pStyle w:val="4"/>
        <w:adjustRightInd w:val="0"/>
        <w:snapToGrid w:val="0"/>
        <w:spacing w:line="360" w:lineRule="auto"/>
        <w:ind w:left="0" w:firstLine="602" w:firstLineChars="200"/>
        <w:rPr>
          <w:rFonts w:hint="eastAsia" w:ascii="宋体" w:hAnsi="宋体" w:eastAsia="宋体" w:cs="宋体"/>
          <w:highlight w:val="none"/>
        </w:rPr>
      </w:pPr>
      <w:r>
        <w:rPr>
          <w:rFonts w:hint="eastAsia" w:ascii="宋体" w:hAnsi="宋体" w:eastAsia="宋体" w:cs="宋体"/>
          <w:highlight w:val="none"/>
        </w:rPr>
        <w:t>C、谈判响应文件的编写</w:t>
      </w:r>
    </w:p>
    <w:p w14:paraId="319F3698">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8、要求</w:t>
      </w:r>
    </w:p>
    <w:p w14:paraId="6636F911">
      <w:pPr>
        <w:pStyle w:val="25"/>
        <w:tabs>
          <w:tab w:val="left" w:pos="580"/>
        </w:tabs>
        <w:adjustRightInd w:val="0"/>
        <w:snapToGrid w:val="0"/>
        <w:spacing w:line="360" w:lineRule="auto"/>
        <w:ind w:left="0" w:firstLine="468" w:firstLineChars="200"/>
        <w:rPr>
          <w:rFonts w:hint="eastAsia" w:ascii="宋体" w:hAnsi="宋体" w:eastAsia="宋体" w:cs="宋体"/>
          <w:spacing w:val="-3"/>
          <w:sz w:val="24"/>
          <w:highlight w:val="none"/>
        </w:rPr>
      </w:pPr>
      <w:r>
        <w:rPr>
          <w:rFonts w:hint="eastAsia" w:ascii="宋体" w:hAnsi="宋体" w:eastAsia="宋体" w:cs="宋体"/>
          <w:spacing w:val="-3"/>
          <w:sz w:val="24"/>
          <w:highlight w:val="none"/>
        </w:rPr>
        <w:t>8.1供应商应仔细阅读、并充分理解竞争性</w:t>
      </w:r>
      <w:r>
        <w:rPr>
          <w:rFonts w:hint="eastAsia" w:cs="宋体"/>
          <w:spacing w:val="-3"/>
          <w:sz w:val="24"/>
          <w:highlight w:val="none"/>
          <w:lang w:val="en-US" w:eastAsia="zh-CN"/>
        </w:rPr>
        <w:t>谈判</w:t>
      </w:r>
      <w:r>
        <w:rPr>
          <w:rFonts w:hint="eastAsia" w:ascii="宋体" w:hAnsi="宋体" w:eastAsia="宋体" w:cs="宋体"/>
          <w:spacing w:val="-3"/>
          <w:sz w:val="24"/>
          <w:highlight w:val="none"/>
        </w:rPr>
        <w:t>文件的所有内容，按照竞争性</w:t>
      </w:r>
      <w:r>
        <w:rPr>
          <w:rFonts w:hint="eastAsia" w:cs="宋体"/>
          <w:spacing w:val="-3"/>
          <w:sz w:val="24"/>
          <w:highlight w:val="none"/>
          <w:lang w:val="en-US" w:eastAsia="zh-CN"/>
        </w:rPr>
        <w:t>谈判</w:t>
      </w:r>
      <w:r>
        <w:rPr>
          <w:rFonts w:hint="eastAsia" w:ascii="宋体" w:hAnsi="宋体" w:eastAsia="宋体" w:cs="宋体"/>
          <w:spacing w:val="-3"/>
          <w:sz w:val="24"/>
          <w:highlight w:val="none"/>
        </w:rPr>
        <w:t>文件的要求编制、提交响应性文件。响应性文件应对竞争性</w:t>
      </w:r>
      <w:r>
        <w:rPr>
          <w:rFonts w:hint="eastAsia" w:cs="宋体"/>
          <w:spacing w:val="-3"/>
          <w:sz w:val="24"/>
          <w:highlight w:val="none"/>
          <w:lang w:val="en-US" w:eastAsia="zh-CN"/>
        </w:rPr>
        <w:t>谈判</w:t>
      </w:r>
      <w:r>
        <w:rPr>
          <w:rFonts w:hint="eastAsia" w:ascii="宋体" w:hAnsi="宋体" w:eastAsia="宋体" w:cs="宋体"/>
          <w:spacing w:val="-3"/>
          <w:sz w:val="24"/>
          <w:highlight w:val="none"/>
        </w:rPr>
        <w:t>文件的要求作出实质性响应，并保证所提供的全部资料的真实性、合法性，否则其响应性文件将作为无效处理。</w:t>
      </w:r>
    </w:p>
    <w:p w14:paraId="69A920F2">
      <w:pPr>
        <w:pStyle w:val="25"/>
        <w:numPr>
          <w:ilvl w:val="0"/>
          <w:numId w:val="0"/>
        </w:numPr>
        <w:tabs>
          <w:tab w:val="left" w:pos="805"/>
        </w:tabs>
        <w:adjustRightInd w:val="0"/>
        <w:snapToGrid w:val="0"/>
        <w:spacing w:line="360" w:lineRule="auto"/>
        <w:ind w:leftChars="200"/>
        <w:jc w:val="left"/>
        <w:rPr>
          <w:rFonts w:hint="eastAsia" w:ascii="宋体" w:hAnsi="宋体" w:eastAsia="宋体" w:cs="宋体"/>
          <w:sz w:val="24"/>
          <w:highlight w:val="none"/>
        </w:rPr>
      </w:pPr>
      <w:r>
        <w:rPr>
          <w:rFonts w:hint="eastAsia" w:cs="宋体"/>
          <w:spacing w:val="-3"/>
          <w:sz w:val="24"/>
          <w:highlight w:val="none"/>
          <w:lang w:val="en-US" w:eastAsia="zh-CN"/>
        </w:rPr>
        <w:t>8.2</w:t>
      </w:r>
      <w:r>
        <w:rPr>
          <w:rFonts w:hint="eastAsia" w:ascii="宋体" w:hAnsi="宋体" w:eastAsia="宋体" w:cs="宋体"/>
          <w:spacing w:val="-3"/>
          <w:sz w:val="24"/>
          <w:highlight w:val="none"/>
        </w:rPr>
        <w:t>谈判文件文字：谈判文件均以中文印刷体，中文以外的文字应附以中文译</w:t>
      </w:r>
      <w:r>
        <w:rPr>
          <w:rFonts w:hint="eastAsia" w:ascii="宋体" w:hAnsi="宋体" w:eastAsia="宋体" w:cs="宋体"/>
          <w:sz w:val="24"/>
          <w:highlight w:val="none"/>
        </w:rPr>
        <w:t>文，中外文不符时，以中文为准。</w:t>
      </w:r>
    </w:p>
    <w:p w14:paraId="282B33FC">
      <w:pPr>
        <w:pStyle w:val="25"/>
        <w:tabs>
          <w:tab w:val="left" w:pos="580"/>
        </w:tabs>
        <w:adjustRightInd w:val="0"/>
        <w:snapToGrid w:val="0"/>
        <w:spacing w:line="360" w:lineRule="auto"/>
        <w:ind w:left="440" w:leftChars="200" w:firstLine="0"/>
        <w:rPr>
          <w:rFonts w:hint="eastAsia" w:ascii="宋体" w:hAnsi="宋体" w:eastAsia="宋体" w:cs="宋体"/>
          <w:spacing w:val="-3"/>
          <w:sz w:val="24"/>
          <w:highlight w:val="none"/>
        </w:rPr>
      </w:pPr>
      <w:r>
        <w:rPr>
          <w:rFonts w:hint="eastAsia" w:ascii="宋体" w:hAnsi="宋体" w:eastAsia="宋体" w:cs="宋体"/>
          <w:spacing w:val="-3"/>
          <w:sz w:val="24"/>
          <w:highlight w:val="none"/>
          <w:lang w:val="en-US"/>
        </w:rPr>
        <w:t>8.3</w:t>
      </w:r>
      <w:r>
        <w:rPr>
          <w:rFonts w:hint="eastAsia" w:ascii="宋体" w:hAnsi="宋体" w:eastAsia="宋体" w:cs="宋体"/>
          <w:spacing w:val="-3"/>
          <w:sz w:val="24"/>
          <w:highlight w:val="none"/>
        </w:rPr>
        <w:t>谈判文件中计量单位：除在谈判文件的技术规格中另有规定外，计量单位使用中</w:t>
      </w:r>
    </w:p>
    <w:p w14:paraId="629BB5C7">
      <w:pPr>
        <w:pStyle w:val="25"/>
        <w:tabs>
          <w:tab w:val="left" w:pos="580"/>
        </w:tabs>
        <w:adjustRightInd w:val="0"/>
        <w:snapToGrid w:val="0"/>
        <w:spacing w:line="360" w:lineRule="auto"/>
        <w:ind w:left="0" w:firstLine="0"/>
        <w:rPr>
          <w:rFonts w:hint="eastAsia" w:ascii="宋体" w:hAnsi="宋体" w:eastAsia="宋体" w:cs="宋体"/>
          <w:spacing w:val="-3"/>
          <w:sz w:val="24"/>
          <w:highlight w:val="none"/>
        </w:rPr>
      </w:pPr>
      <w:r>
        <w:rPr>
          <w:rFonts w:hint="eastAsia" w:ascii="宋体" w:hAnsi="宋体" w:eastAsia="宋体" w:cs="宋体"/>
          <w:spacing w:val="-3"/>
          <w:sz w:val="24"/>
          <w:highlight w:val="none"/>
        </w:rPr>
        <w:t>华人民共和国法定计量单位。</w:t>
      </w:r>
    </w:p>
    <w:p w14:paraId="5FCEB8BF">
      <w:pPr>
        <w:pStyle w:val="25"/>
        <w:tabs>
          <w:tab w:val="left" w:pos="710"/>
        </w:tabs>
        <w:adjustRightInd w:val="0"/>
        <w:snapToGrid w:val="0"/>
        <w:spacing w:line="360" w:lineRule="auto"/>
        <w:ind w:left="0" w:firstLine="516" w:firstLineChars="200"/>
        <w:jc w:val="both"/>
        <w:rPr>
          <w:rFonts w:hint="eastAsia" w:ascii="宋体" w:hAnsi="宋体" w:eastAsia="宋体" w:cs="宋体"/>
          <w:sz w:val="24"/>
          <w:highlight w:val="none"/>
        </w:rPr>
      </w:pPr>
      <w:r>
        <w:rPr>
          <w:rFonts w:hint="eastAsia" w:ascii="宋体" w:hAnsi="宋体" w:eastAsia="宋体" w:cs="宋体"/>
          <w:spacing w:val="9"/>
          <w:sz w:val="24"/>
          <w:highlight w:val="none"/>
          <w:lang w:val="en-US"/>
        </w:rPr>
        <w:t>8.4</w:t>
      </w:r>
      <w:r>
        <w:rPr>
          <w:rFonts w:hint="eastAsia" w:ascii="宋体" w:hAnsi="宋体" w:eastAsia="宋体" w:cs="宋体"/>
          <w:spacing w:val="9"/>
          <w:sz w:val="24"/>
          <w:highlight w:val="none"/>
        </w:rPr>
        <w:t>谈判供应商的谈判响应文件必须加盖谈判供应商公章</w:t>
      </w:r>
      <w:r>
        <w:rPr>
          <w:rFonts w:hint="eastAsia" w:ascii="宋体" w:hAnsi="宋体" w:eastAsia="宋体" w:cs="宋体"/>
          <w:spacing w:val="11"/>
          <w:sz w:val="24"/>
          <w:highlight w:val="none"/>
        </w:rPr>
        <w:t>（</w:t>
      </w:r>
      <w:r>
        <w:rPr>
          <w:rFonts w:hint="eastAsia" w:ascii="宋体" w:hAnsi="宋体" w:eastAsia="宋体" w:cs="宋体"/>
          <w:spacing w:val="7"/>
          <w:sz w:val="24"/>
          <w:highlight w:val="none"/>
        </w:rPr>
        <w:t>指投标人的行政章）</w:t>
      </w:r>
      <w:r>
        <w:rPr>
          <w:rFonts w:hint="eastAsia" w:ascii="宋体" w:hAnsi="宋体" w:eastAsia="宋体" w:cs="宋体"/>
          <w:sz w:val="24"/>
          <w:highlight w:val="none"/>
        </w:rPr>
        <w:t>，</w:t>
      </w:r>
      <w:r>
        <w:rPr>
          <w:rFonts w:hint="eastAsia" w:ascii="宋体" w:hAnsi="宋体" w:eastAsia="宋体" w:cs="宋体"/>
          <w:sz w:val="24"/>
          <w:highlight w:val="none"/>
          <w:lang w:val="en-US"/>
        </w:rPr>
        <w:t>采购人</w:t>
      </w:r>
      <w:r>
        <w:rPr>
          <w:rFonts w:hint="eastAsia" w:ascii="宋体" w:hAnsi="宋体" w:eastAsia="宋体" w:cs="宋体"/>
          <w:sz w:val="24"/>
          <w:highlight w:val="none"/>
        </w:rPr>
        <w:t>不接受加盖其他印鉴（如合同章、投标专用章等印鉴）的谈判文件。</w:t>
      </w:r>
    </w:p>
    <w:p w14:paraId="0B4EA296">
      <w:pPr>
        <w:pStyle w:val="25"/>
        <w:tabs>
          <w:tab w:val="left" w:pos="580"/>
        </w:tabs>
        <w:adjustRightInd w:val="0"/>
        <w:snapToGrid w:val="0"/>
        <w:spacing w:line="360" w:lineRule="auto"/>
        <w:ind w:left="0" w:firstLine="468" w:firstLineChars="200"/>
        <w:rPr>
          <w:rFonts w:hint="eastAsia" w:ascii="宋体" w:hAnsi="宋体" w:eastAsia="宋体" w:cs="宋体"/>
          <w:spacing w:val="-3"/>
          <w:sz w:val="24"/>
          <w:highlight w:val="none"/>
          <w:lang w:val="zh-CN" w:eastAsia="zh-CN"/>
        </w:rPr>
      </w:pPr>
      <w:r>
        <w:rPr>
          <w:rFonts w:hint="eastAsia" w:ascii="宋体" w:hAnsi="宋体" w:eastAsia="宋体" w:cs="宋体"/>
          <w:spacing w:val="-3"/>
          <w:sz w:val="24"/>
          <w:highlight w:val="none"/>
          <w:lang w:val="en-US" w:eastAsia="zh-CN"/>
        </w:rPr>
        <w:t>8.5</w:t>
      </w:r>
      <w:r>
        <w:rPr>
          <w:rFonts w:hint="eastAsia" w:ascii="宋体" w:hAnsi="宋体" w:eastAsia="宋体" w:cs="宋体"/>
          <w:spacing w:val="-3"/>
          <w:sz w:val="24"/>
          <w:highlight w:val="none"/>
          <w:lang w:val="zh-CN" w:eastAsia="zh-CN"/>
        </w:rPr>
        <w:t>竞标人对所投货物和服务自行填报谈判响应报价表</w:t>
      </w:r>
      <w:r>
        <w:rPr>
          <w:rFonts w:hint="eastAsia" w:ascii="宋体" w:hAnsi="宋体" w:eastAsia="宋体" w:cs="宋体"/>
          <w:spacing w:val="-3"/>
          <w:sz w:val="24"/>
          <w:highlight w:val="none"/>
          <w:lang w:val="en-US" w:eastAsia="zh-CN"/>
        </w:rPr>
        <w:t>，</w:t>
      </w:r>
      <w:r>
        <w:rPr>
          <w:rFonts w:hint="eastAsia" w:ascii="宋体" w:hAnsi="宋体" w:eastAsia="宋体" w:cs="宋体"/>
          <w:spacing w:val="-3"/>
          <w:sz w:val="24"/>
          <w:highlight w:val="none"/>
          <w:lang w:val="zh-CN" w:eastAsia="zh-CN"/>
        </w:rPr>
        <w:t>且投标人需在竞争性谈判谈判价格一览表竞标报价大写处加盖公章。</w:t>
      </w:r>
    </w:p>
    <w:p w14:paraId="5D8B6B69">
      <w:pPr>
        <w:pStyle w:val="25"/>
        <w:tabs>
          <w:tab w:val="left" w:pos="580"/>
        </w:tabs>
        <w:adjustRightInd w:val="0"/>
        <w:snapToGrid w:val="0"/>
        <w:spacing w:line="360" w:lineRule="auto"/>
        <w:ind w:left="0" w:firstLine="468" w:firstLineChars="200"/>
        <w:rPr>
          <w:rFonts w:hint="eastAsia" w:ascii="宋体" w:hAnsi="宋体" w:eastAsia="宋体" w:cs="宋体"/>
          <w:spacing w:val="-3"/>
          <w:sz w:val="24"/>
          <w:highlight w:val="none"/>
          <w:lang w:val="zh-CN" w:eastAsia="zh-CN"/>
        </w:rPr>
      </w:pPr>
      <w:r>
        <w:rPr>
          <w:rFonts w:hint="eastAsia" w:ascii="宋体" w:hAnsi="宋体" w:eastAsia="宋体" w:cs="宋体"/>
          <w:spacing w:val="-3"/>
          <w:sz w:val="24"/>
          <w:highlight w:val="none"/>
          <w:lang w:val="en-US" w:eastAsia="zh-CN"/>
        </w:rPr>
        <w:t>8.6报价应包含人工、运输、保险、税费、包装</w:t>
      </w:r>
      <w:r>
        <w:rPr>
          <w:rFonts w:hint="eastAsia" w:cs="宋体"/>
          <w:spacing w:val="-3"/>
          <w:sz w:val="24"/>
          <w:highlight w:val="none"/>
          <w:lang w:val="en-US" w:eastAsia="zh-CN"/>
        </w:rPr>
        <w:t>、运输、验收</w:t>
      </w:r>
      <w:r>
        <w:rPr>
          <w:rFonts w:hint="eastAsia" w:ascii="宋体" w:hAnsi="宋体" w:eastAsia="宋体" w:cs="宋体"/>
          <w:spacing w:val="-3"/>
          <w:sz w:val="24"/>
          <w:highlight w:val="none"/>
          <w:lang w:val="en-US" w:eastAsia="zh-CN"/>
        </w:rPr>
        <w:t>等费用，对上述作出保证并附投标文件中，否则视为不响应招标文件要求。</w:t>
      </w:r>
    </w:p>
    <w:p w14:paraId="65C61570">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9、谈判文件的组成</w:t>
      </w:r>
    </w:p>
    <w:p w14:paraId="29DE276C">
      <w:pPr>
        <w:pStyle w:val="25"/>
        <w:tabs>
          <w:tab w:val="left" w:pos="580"/>
        </w:tabs>
        <w:adjustRightInd w:val="0"/>
        <w:snapToGrid w:val="0"/>
        <w:spacing w:line="360" w:lineRule="auto"/>
        <w:ind w:left="440" w:leftChars="200" w:firstLine="0"/>
        <w:rPr>
          <w:rFonts w:hint="eastAsia" w:ascii="宋体" w:hAnsi="宋体" w:eastAsia="宋体" w:cs="宋体"/>
          <w:spacing w:val="-3"/>
          <w:sz w:val="24"/>
          <w:highlight w:val="none"/>
        </w:rPr>
      </w:pPr>
      <w:r>
        <w:rPr>
          <w:rFonts w:hint="eastAsia" w:ascii="宋体" w:hAnsi="宋体" w:eastAsia="宋体" w:cs="宋体"/>
          <w:spacing w:val="-3"/>
          <w:sz w:val="24"/>
          <w:highlight w:val="none"/>
          <w:lang w:val="en-US"/>
        </w:rPr>
        <w:t>9.1</w:t>
      </w:r>
      <w:r>
        <w:rPr>
          <w:rFonts w:hint="eastAsia" w:ascii="宋体" w:hAnsi="宋体" w:eastAsia="宋体" w:cs="宋体"/>
          <w:spacing w:val="-3"/>
          <w:sz w:val="24"/>
          <w:highlight w:val="none"/>
        </w:rPr>
        <w:t>谈判文件应包括下列部分。</w:t>
      </w:r>
    </w:p>
    <w:p w14:paraId="1D54DCE9">
      <w:pPr>
        <w:pStyle w:val="25"/>
        <w:tabs>
          <w:tab w:val="left" w:pos="580"/>
        </w:tabs>
        <w:adjustRightInd w:val="0"/>
        <w:snapToGrid w:val="0"/>
        <w:spacing w:line="360" w:lineRule="auto"/>
        <w:ind w:left="440" w:leftChars="200" w:firstLine="0"/>
        <w:rPr>
          <w:rFonts w:hint="eastAsia" w:ascii="宋体" w:hAnsi="宋体" w:eastAsia="宋体" w:cs="宋体"/>
          <w:spacing w:val="-3"/>
          <w:sz w:val="24"/>
          <w:highlight w:val="none"/>
        </w:rPr>
      </w:pPr>
      <w:bookmarkStart w:id="51" w:name="_Toc779"/>
      <w:bookmarkStart w:id="52" w:name="_Toc466298108"/>
      <w:bookmarkStart w:id="53" w:name="_Toc13280"/>
      <w:bookmarkStart w:id="54" w:name="_Toc31931"/>
      <w:bookmarkStart w:id="55" w:name="_Toc455080125"/>
      <w:bookmarkStart w:id="56" w:name="_Toc455867785"/>
      <w:bookmarkStart w:id="57" w:name="_Toc31433"/>
      <w:bookmarkStart w:id="58" w:name="_Toc22864"/>
      <w:bookmarkStart w:id="59" w:name="_Toc18750"/>
      <w:bookmarkStart w:id="60" w:name="_Toc8768"/>
      <w:bookmarkStart w:id="61" w:name="_Toc490667845"/>
      <w:bookmarkStart w:id="62" w:name="_Toc5953"/>
      <w:r>
        <w:rPr>
          <w:rFonts w:hint="eastAsia" w:ascii="宋体" w:hAnsi="宋体" w:eastAsia="宋体" w:cs="宋体"/>
          <w:spacing w:val="-3"/>
          <w:sz w:val="24"/>
          <w:highlight w:val="none"/>
        </w:rPr>
        <w:t>详见第</w:t>
      </w:r>
      <w:r>
        <w:rPr>
          <w:rFonts w:hint="eastAsia" w:ascii="宋体" w:hAnsi="宋体" w:eastAsia="宋体" w:cs="宋体"/>
          <w:spacing w:val="-3"/>
          <w:sz w:val="24"/>
          <w:highlight w:val="none"/>
          <w:lang w:val="en-US"/>
        </w:rPr>
        <w:t>五</w:t>
      </w:r>
      <w:r>
        <w:rPr>
          <w:rFonts w:hint="eastAsia" w:ascii="宋体" w:hAnsi="宋体" w:eastAsia="宋体" w:cs="宋体"/>
          <w:spacing w:val="-3"/>
          <w:sz w:val="24"/>
          <w:highlight w:val="none"/>
        </w:rPr>
        <w:t>章“响应文件格式”</w:t>
      </w:r>
      <w:bookmarkEnd w:id="51"/>
      <w:bookmarkEnd w:id="52"/>
      <w:bookmarkEnd w:id="53"/>
      <w:bookmarkEnd w:id="54"/>
      <w:bookmarkEnd w:id="55"/>
      <w:bookmarkEnd w:id="56"/>
      <w:bookmarkEnd w:id="57"/>
      <w:bookmarkEnd w:id="58"/>
      <w:bookmarkEnd w:id="59"/>
      <w:bookmarkEnd w:id="60"/>
      <w:bookmarkEnd w:id="61"/>
      <w:r>
        <w:rPr>
          <w:rFonts w:hint="eastAsia" w:ascii="宋体" w:hAnsi="宋体" w:eastAsia="宋体" w:cs="宋体"/>
          <w:spacing w:val="-3"/>
          <w:sz w:val="24"/>
          <w:highlight w:val="none"/>
        </w:rPr>
        <w:t>。</w:t>
      </w:r>
      <w:bookmarkEnd w:id="62"/>
    </w:p>
    <w:p w14:paraId="42D0F58E">
      <w:pPr>
        <w:pStyle w:val="25"/>
        <w:tabs>
          <w:tab w:val="left" w:pos="580"/>
        </w:tabs>
        <w:adjustRightInd w:val="0"/>
        <w:snapToGrid w:val="0"/>
        <w:spacing w:line="360" w:lineRule="auto"/>
        <w:ind w:left="440" w:leftChars="200" w:firstLine="0"/>
        <w:rPr>
          <w:rFonts w:hint="eastAsia" w:ascii="宋体" w:hAnsi="宋体" w:eastAsia="宋体" w:cs="宋体"/>
          <w:spacing w:val="-3"/>
          <w:sz w:val="24"/>
          <w:highlight w:val="none"/>
        </w:rPr>
      </w:pPr>
      <w:r>
        <w:rPr>
          <w:rFonts w:hint="eastAsia" w:ascii="宋体" w:hAnsi="宋体" w:eastAsia="宋体" w:cs="宋体"/>
          <w:spacing w:val="-3"/>
          <w:sz w:val="24"/>
          <w:highlight w:val="none"/>
          <w:lang w:val="en-US"/>
        </w:rPr>
        <w:t>9.2</w:t>
      </w:r>
      <w:r>
        <w:rPr>
          <w:rFonts w:hint="eastAsia" w:ascii="宋体" w:hAnsi="宋体" w:eastAsia="宋体" w:cs="宋体"/>
          <w:spacing w:val="-3"/>
          <w:sz w:val="24"/>
          <w:highlight w:val="none"/>
        </w:rPr>
        <w:t>资格证明文件包括:</w:t>
      </w:r>
    </w:p>
    <w:p w14:paraId="4C854696">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加盖单位公章的营业执照</w:t>
      </w:r>
      <w:r>
        <w:rPr>
          <w:rFonts w:hint="eastAsia" w:cs="宋体"/>
          <w:highlight w:val="none"/>
          <w:lang w:val="en-US" w:eastAsia="zh-CN"/>
        </w:rPr>
        <w:t>正副本</w:t>
      </w:r>
      <w:r>
        <w:rPr>
          <w:rFonts w:hint="eastAsia" w:ascii="宋体" w:hAnsi="宋体" w:eastAsia="宋体" w:cs="宋体"/>
          <w:highlight w:val="none"/>
        </w:rPr>
        <w:t>复印件。</w:t>
      </w:r>
    </w:p>
    <w:p w14:paraId="626CF382">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法人授权委托书。</w:t>
      </w:r>
    </w:p>
    <w:p w14:paraId="181006CF">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授权代表身份证复印件。</w:t>
      </w:r>
    </w:p>
    <w:p w14:paraId="569ED147">
      <w:pPr>
        <w:pStyle w:val="6"/>
        <w:adjustRightInd w:val="0"/>
        <w:snapToGrid w:val="0"/>
        <w:spacing w:line="360" w:lineRule="auto"/>
        <w:ind w:firstLine="480" w:firstLineChars="200"/>
        <w:rPr>
          <w:rFonts w:hint="eastAsia" w:ascii="宋体" w:hAnsi="宋体" w:eastAsia="宋体" w:cs="宋体"/>
          <w:sz w:val="28"/>
          <w:highlight w:val="none"/>
        </w:rPr>
      </w:pPr>
      <w:r>
        <w:rPr>
          <w:rFonts w:hint="eastAsia" w:ascii="宋体" w:hAnsi="宋体" w:eastAsia="宋体" w:cs="宋体"/>
          <w:highlight w:val="none"/>
        </w:rPr>
        <w:t>其他有关证明复印件</w:t>
      </w:r>
      <w:r>
        <w:rPr>
          <w:rFonts w:hint="eastAsia" w:ascii="宋体" w:hAnsi="宋体" w:eastAsia="宋体" w:cs="宋体"/>
          <w:sz w:val="28"/>
          <w:highlight w:val="none"/>
        </w:rPr>
        <w:t>。</w:t>
      </w:r>
    </w:p>
    <w:p w14:paraId="4A78992C">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10、谈判文件格式</w:t>
      </w:r>
    </w:p>
    <w:p w14:paraId="630EE06B">
      <w:pPr>
        <w:pStyle w:val="25"/>
        <w:tabs>
          <w:tab w:val="left" w:pos="580"/>
        </w:tabs>
        <w:adjustRightInd w:val="0"/>
        <w:snapToGrid w:val="0"/>
        <w:spacing w:line="360" w:lineRule="auto"/>
        <w:rPr>
          <w:rFonts w:hint="eastAsia" w:ascii="宋体" w:hAnsi="宋体" w:eastAsia="宋体" w:cs="宋体"/>
          <w:spacing w:val="-3"/>
          <w:sz w:val="24"/>
          <w:highlight w:val="none"/>
          <w:lang w:val="en-US"/>
        </w:rPr>
      </w:pPr>
      <w:r>
        <w:rPr>
          <w:rFonts w:hint="eastAsia" w:ascii="宋体" w:hAnsi="宋体" w:eastAsia="宋体" w:cs="宋体"/>
          <w:spacing w:val="-3"/>
          <w:sz w:val="24"/>
          <w:highlight w:val="none"/>
          <w:lang w:val="en-US"/>
        </w:rPr>
        <w:t>10.1谈判人应按谈判文件中第五部分谈判文件格式填写，谈判供应商认为需加以说明的其它内容可列备注栏。不按谈判文件内容填写或填写不完整视为无效响应。</w:t>
      </w:r>
    </w:p>
    <w:p w14:paraId="79293C3C">
      <w:pPr>
        <w:pStyle w:val="25"/>
        <w:tabs>
          <w:tab w:val="left" w:pos="580"/>
        </w:tabs>
        <w:adjustRightInd w:val="0"/>
        <w:snapToGrid w:val="0"/>
        <w:spacing w:line="360" w:lineRule="auto"/>
        <w:rPr>
          <w:rFonts w:hint="eastAsia" w:ascii="宋体" w:hAnsi="宋体" w:eastAsia="宋体" w:cs="宋体"/>
          <w:spacing w:val="-3"/>
          <w:sz w:val="24"/>
          <w:highlight w:val="none"/>
          <w:lang w:val="en-US" w:eastAsia="zh-CN"/>
        </w:rPr>
      </w:pPr>
      <w:r>
        <w:rPr>
          <w:rFonts w:hint="eastAsia" w:ascii="宋体" w:hAnsi="宋体" w:eastAsia="宋体" w:cs="宋体"/>
          <w:spacing w:val="-3"/>
          <w:sz w:val="24"/>
          <w:highlight w:val="none"/>
          <w:lang w:val="en-US" w:eastAsia="zh-CN"/>
        </w:rPr>
        <w:t>10.2</w:t>
      </w:r>
      <w:r>
        <w:rPr>
          <w:rFonts w:hint="eastAsia" w:ascii="宋体" w:hAnsi="宋体" w:eastAsia="宋体" w:cs="宋体"/>
          <w:spacing w:val="-3"/>
          <w:sz w:val="24"/>
          <w:highlight w:val="none"/>
          <w:lang w:val="zh-CN" w:eastAsia="zh-CN"/>
        </w:rPr>
        <w:t>响应</w:t>
      </w:r>
      <w:r>
        <w:rPr>
          <w:rFonts w:hint="eastAsia" w:ascii="宋体" w:hAnsi="宋体" w:eastAsia="宋体" w:cs="宋体"/>
          <w:spacing w:val="-3"/>
          <w:sz w:val="24"/>
          <w:highlight w:val="none"/>
          <w:lang w:val="en-US" w:eastAsia="zh-CN"/>
        </w:rPr>
        <w:t>文件封面要求:列明项目名称、包号、采购编号、谈判供应商名称和地址等信息。响应文件应编制目录及</w:t>
      </w:r>
      <w:r>
        <w:rPr>
          <w:rFonts w:hint="eastAsia" w:cs="宋体"/>
          <w:spacing w:val="-3"/>
          <w:sz w:val="24"/>
          <w:highlight w:val="none"/>
          <w:lang w:val="en-US" w:eastAsia="zh-CN"/>
        </w:rPr>
        <w:t>总</w:t>
      </w:r>
      <w:r>
        <w:rPr>
          <w:rFonts w:hint="eastAsia" w:ascii="宋体" w:hAnsi="宋体" w:eastAsia="宋体" w:cs="宋体"/>
          <w:spacing w:val="-3"/>
          <w:sz w:val="24"/>
          <w:highlight w:val="none"/>
          <w:lang w:val="en-US" w:eastAsia="zh-CN"/>
        </w:rPr>
        <w:t>页码，除特殊规格的图纸或方案、图片资料等外，均应按A4规格制作。</w:t>
      </w:r>
    </w:p>
    <w:p w14:paraId="2AE26E5B">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11、谈判报价</w:t>
      </w:r>
    </w:p>
    <w:p w14:paraId="37F83F3F">
      <w:pPr>
        <w:pStyle w:val="25"/>
        <w:numPr>
          <w:ilvl w:val="1"/>
          <w:numId w:val="7"/>
        </w:numPr>
        <w:tabs>
          <w:tab w:val="left" w:pos="939"/>
        </w:tabs>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谈判报价应按照</w:t>
      </w:r>
      <w:r>
        <w:rPr>
          <w:rFonts w:hint="eastAsia" w:ascii="宋体" w:hAnsi="宋体" w:eastAsia="宋体" w:cs="宋体"/>
          <w:sz w:val="24"/>
          <w:szCs w:val="24"/>
          <w:highlight w:val="none"/>
          <w:lang w:val="en-US"/>
        </w:rPr>
        <w:t>谈判</w:t>
      </w:r>
      <w:r>
        <w:rPr>
          <w:rFonts w:hint="eastAsia" w:ascii="宋体" w:hAnsi="宋体" w:eastAsia="宋体" w:cs="宋体"/>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sz w:val="24"/>
          <w:szCs w:val="24"/>
          <w:highlight w:val="none"/>
          <w:lang w:val="en-US"/>
        </w:rPr>
        <w:t>投标报价应为</w:t>
      </w:r>
      <w:r>
        <w:rPr>
          <w:rFonts w:hint="eastAsia" w:ascii="宋体" w:hAnsi="宋体" w:eastAsia="宋体" w:cs="宋体"/>
          <w:sz w:val="24"/>
          <w:szCs w:val="24"/>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08010ACA">
      <w:pPr>
        <w:pStyle w:val="25"/>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谈判供应商应填写谈判价格一览表，如果分项报价与单价不符，则以单价为准；其它表格与谈判报价一览表不符，以谈判报价一览表为准；小写与大写不符，以大写为准；</w:t>
      </w:r>
    </w:p>
    <w:p w14:paraId="7303A8A2">
      <w:pPr>
        <w:pStyle w:val="25"/>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谈判报价执行政府采购政策，被认定为小微企业最终报价按扣除</w:t>
      </w:r>
      <w:r>
        <w:rPr>
          <w:rFonts w:hint="eastAsia" w:cs="宋体"/>
          <w:sz w:val="24"/>
          <w:highlight w:val="none"/>
          <w:lang w:val="en-US" w:eastAsia="zh-CN"/>
        </w:rPr>
        <w:t>2</w:t>
      </w:r>
      <w:r>
        <w:rPr>
          <w:rFonts w:hint="eastAsia" w:ascii="宋体" w:hAnsi="宋体" w:eastAsia="宋体" w:cs="宋体"/>
          <w:sz w:val="24"/>
          <w:highlight w:val="none"/>
          <w:lang w:val="en-US" w:eastAsia="zh-CN"/>
        </w:rPr>
        <w:t>0</w:t>
      </w:r>
      <w:r>
        <w:rPr>
          <w:rFonts w:hint="eastAsia" w:ascii="宋体" w:hAnsi="宋体" w:eastAsia="宋体" w:cs="宋体"/>
          <w:sz w:val="24"/>
          <w:highlight w:val="none"/>
        </w:rPr>
        <w:t>%作为评审报价。</w:t>
      </w:r>
    </w:p>
    <w:p w14:paraId="4A9C56B3">
      <w:pPr>
        <w:pStyle w:val="25"/>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小微企业认定：投标人提供小微企业声明函。</w:t>
      </w:r>
    </w:p>
    <w:p w14:paraId="0A8F5229">
      <w:pPr>
        <w:pStyle w:val="25"/>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网上报价</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rPr>
        <w:t>《投标单位-电子投标文件视频制作手册》</w:t>
      </w:r>
      <w:r>
        <w:rPr>
          <w:rFonts w:hint="eastAsia" w:ascii="宋体" w:hAnsi="宋体" w:eastAsia="宋体" w:cs="宋体"/>
          <w:sz w:val="24"/>
          <w:highlight w:val="none"/>
          <w:lang w:val="en-US" w:eastAsia="zh-CN"/>
        </w:rPr>
        <w:t>中的《周口市公共资源交易系统政府采购供应商操作手册》相关规定。</w:t>
      </w:r>
    </w:p>
    <w:p w14:paraId="0469C280">
      <w:pPr>
        <w:pStyle w:val="25"/>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000000"/>
          <w:sz w:val="24"/>
          <w:highlight w:val="none"/>
        </w:rPr>
      </w:pPr>
      <w:r>
        <w:rPr>
          <w:rFonts w:hint="eastAsia" w:ascii="宋体" w:hAnsi="宋体" w:eastAsia="宋体" w:cs="宋体"/>
          <w:sz w:val="24"/>
          <w:highlight w:val="none"/>
        </w:rPr>
        <w:t>供应商须书面声明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投标报价中必须包括合法获取该知识产权的一切相关费用。如因此导致采购人损失的，供应商须承担全部赔偿责任。</w:t>
      </w:r>
    </w:p>
    <w:p w14:paraId="7026A428">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12、谈判供应商资格证明文件</w:t>
      </w:r>
    </w:p>
    <w:p w14:paraId="7134BCDA">
      <w:pPr>
        <w:pStyle w:val="25"/>
        <w:numPr>
          <w:ilvl w:val="1"/>
          <w:numId w:val="8"/>
        </w:numPr>
        <w:tabs>
          <w:tab w:val="left" w:pos="934"/>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谈判供应商资格证明文件，证明谈判供应商是合格的，且一旦其响应被接受，谈判供应商有能力履行合同。</w:t>
      </w:r>
    </w:p>
    <w:p w14:paraId="5F8043AA">
      <w:pPr>
        <w:pStyle w:val="25"/>
        <w:numPr>
          <w:ilvl w:val="1"/>
          <w:numId w:val="8"/>
        </w:numPr>
        <w:tabs>
          <w:tab w:val="left" w:pos="934"/>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及谈判供应商认为需加以说明的其它内容。</w:t>
      </w:r>
    </w:p>
    <w:p w14:paraId="434EF2F3">
      <w:pPr>
        <w:pStyle w:val="25"/>
        <w:numPr>
          <w:ilvl w:val="1"/>
          <w:numId w:val="8"/>
        </w:numPr>
        <w:tabs>
          <w:tab w:val="left" w:pos="932"/>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w:t>
      </w:r>
      <w:r>
        <w:rPr>
          <w:rFonts w:hint="eastAsia" w:ascii="宋体" w:hAnsi="宋体" w:eastAsia="宋体" w:cs="宋体"/>
          <w:sz w:val="24"/>
          <w:highlight w:val="none"/>
          <w:lang w:val="en-US"/>
        </w:rPr>
        <w:t>应</w:t>
      </w:r>
      <w:r>
        <w:rPr>
          <w:rFonts w:hint="eastAsia" w:ascii="宋体" w:hAnsi="宋体" w:eastAsia="宋体" w:cs="宋体"/>
          <w:sz w:val="24"/>
          <w:highlight w:val="none"/>
        </w:rPr>
        <w:t>有履行合同所需的财务、技术、施工能力。</w:t>
      </w:r>
    </w:p>
    <w:p w14:paraId="345AF4F4">
      <w:pPr>
        <w:pStyle w:val="25"/>
        <w:numPr>
          <w:ilvl w:val="1"/>
          <w:numId w:val="8"/>
        </w:numPr>
        <w:tabs>
          <w:tab w:val="left" w:pos="934"/>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谈判供应商有能力履行谈判文件中合同条款和</w:t>
      </w:r>
      <w:r>
        <w:rPr>
          <w:rFonts w:hint="eastAsia" w:ascii="宋体" w:hAnsi="宋体" w:eastAsia="宋体" w:cs="宋体"/>
          <w:sz w:val="24"/>
          <w:highlight w:val="none"/>
          <w:lang w:val="en-US"/>
        </w:rPr>
        <w:t>采购</w:t>
      </w:r>
      <w:r>
        <w:rPr>
          <w:rFonts w:hint="eastAsia" w:ascii="宋体" w:hAnsi="宋体" w:eastAsia="宋体" w:cs="宋体"/>
          <w:sz w:val="24"/>
          <w:highlight w:val="none"/>
        </w:rPr>
        <w:t>要求规定的由谈判供应商履行的服务义务。</w:t>
      </w:r>
    </w:p>
    <w:p w14:paraId="1CBEFC15">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13、谈判保证金</w:t>
      </w:r>
    </w:p>
    <w:p w14:paraId="0F063F96">
      <w:pPr>
        <w:pStyle w:val="5"/>
        <w:adjustRightInd w:val="0"/>
        <w:snapToGrid w:val="0"/>
        <w:spacing w:line="360" w:lineRule="auto"/>
        <w:ind w:left="0" w:firstLine="480" w:firstLineChars="200"/>
        <w:rPr>
          <w:rFonts w:hint="eastAsia" w:ascii="宋体" w:hAnsi="宋体" w:eastAsia="宋体" w:cs="宋体"/>
          <w:b w:val="0"/>
          <w:bCs w:val="0"/>
          <w:szCs w:val="22"/>
          <w:highlight w:val="none"/>
          <w:lang w:val="en-US"/>
        </w:rPr>
      </w:pPr>
      <w:r>
        <w:rPr>
          <w:rFonts w:hint="eastAsia" w:ascii="宋体" w:hAnsi="宋体" w:eastAsia="宋体" w:cs="宋体"/>
          <w:b w:val="0"/>
          <w:bCs w:val="0"/>
          <w:szCs w:val="22"/>
          <w:highlight w:val="none"/>
          <w:lang w:val="en-US"/>
        </w:rPr>
        <w:t>不需要缴纳谈判保证金</w:t>
      </w:r>
    </w:p>
    <w:p w14:paraId="30999314">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14、投标有效期</w:t>
      </w:r>
    </w:p>
    <w:p w14:paraId="1D80CB77">
      <w:pPr>
        <w:pStyle w:val="25"/>
        <w:numPr>
          <w:ilvl w:val="1"/>
          <w:numId w:val="9"/>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谈判响应文件有效期为自谈判之日起60天内，成交的谈判文件其有效期应延续至合同执行结束，有效期短于这个规定期限的谈判供应商将被拒绝。</w:t>
      </w:r>
    </w:p>
    <w:p w14:paraId="7D9A3861">
      <w:pPr>
        <w:pStyle w:val="25"/>
        <w:numPr>
          <w:ilvl w:val="1"/>
          <w:numId w:val="9"/>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特殊情况下，</w:t>
      </w:r>
      <w:r>
        <w:rPr>
          <w:rFonts w:hint="eastAsia" w:ascii="宋体" w:hAnsi="宋体" w:eastAsia="宋体" w:cs="宋体"/>
          <w:sz w:val="24"/>
          <w:highlight w:val="none"/>
          <w:lang w:val="en-US"/>
        </w:rPr>
        <w:t>采购人</w:t>
      </w:r>
      <w:r>
        <w:rPr>
          <w:rFonts w:hint="eastAsia" w:ascii="宋体" w:hAnsi="宋体" w:eastAsia="宋体" w:cs="宋体"/>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E0207B0">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15、谈判响应文件的签署及规定</w:t>
      </w:r>
    </w:p>
    <w:p w14:paraId="47CA627C">
      <w:pPr>
        <w:pStyle w:val="25"/>
        <w:numPr>
          <w:ilvl w:val="0"/>
          <w:numId w:val="0"/>
        </w:numPr>
        <w:tabs>
          <w:tab w:val="left" w:pos="941"/>
        </w:tabs>
        <w:adjustRightInd w:val="0"/>
        <w:snapToGrid w:val="0"/>
        <w:spacing w:line="360" w:lineRule="auto"/>
        <w:ind w:firstLine="480" w:firstLineChars="200"/>
        <w:rPr>
          <w:rFonts w:hint="eastAsia" w:ascii="宋体" w:hAnsi="宋体" w:eastAsia="宋体" w:cs="宋体"/>
          <w:bCs/>
          <w:sz w:val="24"/>
          <w:szCs w:val="22"/>
          <w:highlight w:val="none"/>
          <w:lang w:val="zh-CN" w:eastAsia="zh-CN" w:bidi="zh-CN"/>
        </w:rPr>
      </w:pPr>
      <w:r>
        <w:rPr>
          <w:rFonts w:hint="eastAsia" w:ascii="宋体" w:hAnsi="宋体" w:eastAsia="宋体" w:cs="宋体"/>
          <w:sz w:val="24"/>
          <w:highlight w:val="none"/>
          <w:lang w:val="en-US" w:eastAsia="zh-CN"/>
        </w:rPr>
        <w:t>15.1</w:t>
      </w:r>
      <w:r>
        <w:rPr>
          <w:rFonts w:hint="eastAsia" w:ascii="宋体" w:hAnsi="宋体" w:eastAsia="宋体" w:cs="宋体"/>
          <w:sz w:val="24"/>
          <w:highlight w:val="none"/>
        </w:rPr>
        <w:t>谈判响应文件中不应有加行、</w:t>
      </w:r>
      <w:r>
        <w:rPr>
          <w:rFonts w:hint="eastAsia" w:ascii="宋体" w:hAnsi="宋体" w:eastAsia="宋体" w:cs="宋体"/>
          <w:bCs/>
          <w:sz w:val="24"/>
          <w:szCs w:val="22"/>
          <w:highlight w:val="none"/>
          <w:lang w:val="zh-CN" w:eastAsia="zh-CN" w:bidi="zh-CN"/>
        </w:rPr>
        <w:t>涂抹或改写。如有修改错漏处，必须由谈判供应商法定代表人或其委托代理人签字并加盖公章。生成后的电子响应文件需要加盖供应商骑缝章、法定代表人或委托代理人逐页签字盖章。</w:t>
      </w:r>
    </w:p>
    <w:p w14:paraId="1EAF0D8D">
      <w:pPr>
        <w:pStyle w:val="25"/>
        <w:numPr>
          <w:ilvl w:val="0"/>
          <w:numId w:val="0"/>
        </w:numPr>
        <w:tabs>
          <w:tab w:val="left" w:pos="939"/>
        </w:tabs>
        <w:adjustRightInd w:val="0"/>
        <w:snapToGrid w:val="0"/>
        <w:spacing w:line="360" w:lineRule="auto"/>
        <w:ind w:firstLine="480" w:firstLineChars="200"/>
        <w:rPr>
          <w:rFonts w:hint="eastAsia" w:ascii="宋体" w:hAnsi="宋体" w:eastAsia="宋体" w:cs="宋体"/>
          <w:sz w:val="24"/>
          <w:highlight w:val="none"/>
        </w:rPr>
      </w:pPr>
      <w:r>
        <w:rPr>
          <w:rFonts w:hint="eastAsia" w:cs="宋体"/>
          <w:sz w:val="24"/>
          <w:highlight w:val="none"/>
          <w:lang w:val="en-US" w:eastAsia="zh-CN"/>
        </w:rPr>
        <w:t>15.2</w:t>
      </w:r>
      <w:r>
        <w:rPr>
          <w:rFonts w:hint="eastAsia" w:ascii="宋体" w:hAnsi="宋体" w:eastAsia="宋体" w:cs="宋体"/>
          <w:sz w:val="24"/>
          <w:highlight w:val="none"/>
        </w:rPr>
        <w:t>电报、电话、传真、电子邮件形式的投标概不接受。</w:t>
      </w:r>
    </w:p>
    <w:p w14:paraId="12CB6C14">
      <w:pPr>
        <w:spacing w:line="360" w:lineRule="auto"/>
        <w:ind w:firstLine="480" w:firstLineChars="200"/>
        <w:rPr>
          <w:rFonts w:hint="eastAsia" w:ascii="宋体" w:hAnsi="宋体" w:eastAsia="宋体" w:cs="宋体"/>
          <w:b w:val="0"/>
          <w:bCs/>
          <w:color w:val="000000" w:themeColor="text1"/>
          <w:sz w:val="24"/>
          <w:highlight w:val="none"/>
          <w:lang w:eastAsia="zh-CN"/>
          <w14:textFill>
            <w14:solidFill>
              <w14:schemeClr w14:val="tx1"/>
            </w14:solidFill>
          </w14:textFill>
        </w:rPr>
      </w:pPr>
      <w:r>
        <w:rPr>
          <w:rFonts w:hint="eastAsia" w:ascii="宋体" w:hAnsi="宋体" w:eastAsia="宋体" w:cs="宋体"/>
          <w:bCs/>
          <w:sz w:val="24"/>
          <w:highlight w:val="none"/>
          <w:lang w:val="en-US"/>
        </w:rPr>
        <w:t>15.3按照谈判文件规定签署、签章（</w:t>
      </w:r>
      <w:r>
        <w:rPr>
          <w:rFonts w:hint="eastAsia" w:ascii="宋体" w:hAnsi="宋体" w:eastAsia="宋体" w:cs="宋体"/>
          <w:bCs/>
          <w:sz w:val="24"/>
          <w:highlight w:val="none"/>
        </w:rPr>
        <w:t>目前，周口市公共资源电子交易平台为每个投标单位只办理了两个CA证书，一个用于单位投标和签章，一个用于法定代表人签章。所以，在投标文件需</w:t>
      </w:r>
      <w:r>
        <w:rPr>
          <w:rFonts w:hint="eastAsia" w:ascii="宋体" w:hAnsi="宋体" w:eastAsia="宋体" w:cs="宋体"/>
          <w:b w:val="0"/>
          <w:bCs/>
          <w:color w:val="000000" w:themeColor="text1"/>
          <w:sz w:val="24"/>
          <w:highlight w:val="none"/>
          <w14:textFill>
            <w14:solidFill>
              <w14:schemeClr w14:val="tx1"/>
            </w14:solidFill>
          </w14:textFill>
        </w:rPr>
        <w:t>要电子签章时，投标单位签投标单位电子章，法定代表人签法定代表人电子章；法定代表人有授权代表投标时，出具授权委托书。</w:t>
      </w:r>
      <w:r>
        <w:rPr>
          <w:rFonts w:hint="eastAsia" w:ascii="宋体" w:hAnsi="宋体" w:eastAsia="宋体" w:cs="宋体"/>
          <w:b w:val="0"/>
          <w:bCs/>
          <w:color w:val="000000" w:themeColor="text1"/>
          <w:sz w:val="24"/>
          <w:highlight w:val="none"/>
          <w:lang w:val="en-US"/>
          <w14:textFill>
            <w14:solidFill>
              <w14:schemeClr w14:val="tx1"/>
            </w14:solidFill>
          </w14:textFill>
        </w:rPr>
        <w:t>谈判文件所有要求授权代表签字的位置，</w:t>
      </w:r>
      <w:r>
        <w:rPr>
          <w:rFonts w:hint="eastAsia" w:ascii="宋体" w:hAnsi="宋体" w:cs="宋体"/>
          <w:b w:val="0"/>
          <w:bCs/>
          <w:color w:val="000000" w:themeColor="text1"/>
          <w:sz w:val="24"/>
          <w14:textFill>
            <w14:solidFill>
              <w14:schemeClr w14:val="tx1"/>
            </w14:solidFill>
          </w14:textFill>
        </w:rPr>
        <w:t>名字手写签署在签章处即可</w:t>
      </w:r>
      <w:r>
        <w:rPr>
          <w:rFonts w:hint="eastAsia" w:ascii="宋体" w:hAnsi="宋体" w:cs="宋体"/>
          <w:b w:val="0"/>
          <w:bCs/>
          <w:color w:val="000000" w:themeColor="text1"/>
          <w:sz w:val="24"/>
          <w:lang w:val="en-US" w:eastAsia="zh-CN"/>
          <w14:textFill>
            <w14:solidFill>
              <w14:schemeClr w14:val="tx1"/>
            </w14:solidFill>
          </w14:textFill>
        </w:rPr>
        <w:t>。</w:t>
      </w:r>
      <w:r>
        <w:rPr>
          <w:rFonts w:hint="eastAsia" w:ascii="宋体" w:hAnsi="宋体" w:cs="宋体"/>
          <w:b w:val="0"/>
          <w:bCs/>
          <w:color w:val="000000" w:themeColor="text1"/>
          <w:sz w:val="24"/>
          <w:lang w:eastAsia="zh-CN"/>
          <w14:textFill>
            <w14:solidFill>
              <w14:schemeClr w14:val="tx1"/>
            </w14:solidFill>
          </w14:textFill>
        </w:rPr>
        <w:t>）</w:t>
      </w:r>
    </w:p>
    <w:p w14:paraId="2F00401D">
      <w:pPr>
        <w:pStyle w:val="4"/>
        <w:adjustRightInd w:val="0"/>
        <w:snapToGrid w:val="0"/>
        <w:spacing w:line="360" w:lineRule="auto"/>
        <w:ind w:left="0" w:firstLine="602" w:firstLineChars="200"/>
        <w:rPr>
          <w:rFonts w:hint="eastAsia" w:ascii="宋体" w:hAnsi="宋体" w:eastAsia="宋体" w:cs="宋体"/>
          <w:b/>
          <w:bCs w:val="0"/>
          <w:color w:val="000000" w:themeColor="text1"/>
          <w:highlight w:val="none"/>
          <w14:textFill>
            <w14:solidFill>
              <w14:schemeClr w14:val="tx1"/>
            </w14:solidFill>
          </w14:textFill>
        </w:rPr>
      </w:pPr>
      <w:r>
        <w:rPr>
          <w:rFonts w:hint="eastAsia" w:ascii="宋体" w:hAnsi="宋体" w:eastAsia="宋体" w:cs="宋体"/>
          <w:b/>
          <w:bCs w:val="0"/>
          <w:color w:val="000000" w:themeColor="text1"/>
          <w:highlight w:val="none"/>
          <w14:textFill>
            <w14:solidFill>
              <w14:schemeClr w14:val="tx1"/>
            </w14:solidFill>
          </w14:textFill>
        </w:rPr>
        <w:t>D、谈判响应文件的递交</w:t>
      </w:r>
    </w:p>
    <w:p w14:paraId="775186AA">
      <w:pPr>
        <w:pStyle w:val="6"/>
        <w:adjustRightInd w:val="0"/>
        <w:snapToGrid w:val="0"/>
        <w:spacing w:line="360" w:lineRule="auto"/>
        <w:ind w:firstLine="492" w:firstLineChars="200"/>
        <w:jc w:val="both"/>
        <w:rPr>
          <w:rFonts w:hint="eastAsia" w:ascii="宋体" w:hAnsi="宋体" w:eastAsia="宋体" w:cs="宋体"/>
          <w:b w:val="0"/>
          <w:bCs/>
          <w:color w:val="000000" w:themeColor="text1"/>
          <w:highlight w:val="none"/>
          <w:lang w:val="en-US"/>
          <w14:textFill>
            <w14:solidFill>
              <w14:schemeClr w14:val="tx1"/>
            </w14:solidFill>
          </w14:textFill>
        </w:rPr>
      </w:pPr>
      <w:r>
        <w:rPr>
          <w:rFonts w:hint="eastAsia" w:ascii="宋体" w:hAnsi="宋体" w:eastAsia="宋体" w:cs="宋体"/>
          <w:b w:val="0"/>
          <w:bCs/>
          <w:color w:val="000000" w:themeColor="text1"/>
          <w:spacing w:val="3"/>
          <w:highlight w:val="none"/>
          <w14:textFill>
            <w14:solidFill>
              <w14:schemeClr w14:val="tx1"/>
            </w14:solidFill>
          </w14:textFill>
        </w:rPr>
        <w:t>16</w:t>
      </w:r>
      <w:r>
        <w:rPr>
          <w:rFonts w:hint="eastAsia" w:ascii="宋体" w:hAnsi="宋体" w:eastAsia="宋体" w:cs="宋体"/>
          <w:b w:val="0"/>
          <w:bCs/>
          <w:color w:val="000000" w:themeColor="text1"/>
          <w:spacing w:val="4"/>
          <w:highlight w:val="none"/>
          <w14:textFill>
            <w14:solidFill>
              <w14:schemeClr w14:val="tx1"/>
            </w14:solidFill>
          </w14:textFill>
        </w:rPr>
        <w:t>、</w:t>
      </w:r>
      <w:r>
        <w:rPr>
          <w:rFonts w:hint="eastAsia" w:ascii="宋体" w:hAnsi="宋体" w:eastAsia="宋体" w:cs="宋体"/>
          <w:b w:val="0"/>
          <w:bCs/>
          <w:color w:val="000000" w:themeColor="text1"/>
          <w:sz w:val="24"/>
          <w:highlight w:val="none"/>
          <w14:textFill>
            <w14:solidFill>
              <w14:schemeClr w14:val="tx1"/>
            </w14:solidFill>
          </w14:textFill>
        </w:rPr>
        <w:t>加密的电子投标文件的递交</w:t>
      </w:r>
      <w:r>
        <w:rPr>
          <w:rFonts w:hint="eastAsia" w:ascii="宋体" w:hAnsi="宋体" w:eastAsia="宋体" w:cs="宋体"/>
          <w:b w:val="0"/>
          <w:bCs/>
          <w:color w:val="000000" w:themeColor="text1"/>
          <w:sz w:val="24"/>
          <w:highlight w:val="none"/>
          <w:lang w:eastAsia="zh-CN"/>
          <w14:textFill>
            <w14:solidFill>
              <w14:schemeClr w14:val="tx1"/>
            </w14:solidFill>
          </w14:textFill>
        </w:rPr>
        <w:t>，</w:t>
      </w:r>
      <w:r>
        <w:rPr>
          <w:rFonts w:hint="eastAsia" w:ascii="宋体" w:hAnsi="宋体" w:eastAsia="宋体" w:cs="宋体"/>
          <w:b w:val="0"/>
          <w:bCs/>
          <w:color w:val="000000" w:themeColor="text1"/>
          <w:sz w:val="24"/>
          <w:highlight w:val="none"/>
          <w14:textFill>
            <w14:solidFill>
              <w14:schemeClr w14:val="tx1"/>
            </w14:solidFill>
          </w14:textFill>
        </w:rPr>
        <w:t>见周口市公共资源交易中心</w:t>
      </w:r>
      <w:r>
        <w:rPr>
          <w:rFonts w:hint="eastAsia" w:ascii="宋体" w:hAnsi="宋体" w:eastAsia="宋体" w:cs="宋体"/>
          <w:b w:val="0"/>
          <w:bCs/>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b w:val="0"/>
          <w:bCs/>
          <w:color w:val="000000" w:themeColor="text1"/>
          <w:sz w:val="24"/>
          <w:highlight w:val="none"/>
          <w14:textFill>
            <w14:solidFill>
              <w14:schemeClr w14:val="tx1"/>
            </w14:solidFill>
          </w14:textFill>
        </w:rPr>
        <w:t>《投标单位-电子投标文件视频制作手册》</w:t>
      </w:r>
      <w:r>
        <w:rPr>
          <w:rFonts w:hint="eastAsia" w:ascii="宋体" w:hAnsi="宋体" w:eastAsia="宋体" w:cs="宋体"/>
          <w:b w:val="0"/>
          <w:bCs/>
          <w:color w:val="000000" w:themeColor="text1"/>
          <w:sz w:val="24"/>
          <w:highlight w:val="none"/>
          <w:lang w:val="en-US" w:eastAsia="zh-CN"/>
          <w14:textFill>
            <w14:solidFill>
              <w14:schemeClr w14:val="tx1"/>
            </w14:solidFill>
          </w14:textFill>
        </w:rPr>
        <w:t>中的《周口市公共资源交易系统政府采购供应商操作手册》相关规定</w:t>
      </w:r>
      <w:r>
        <w:rPr>
          <w:rFonts w:hint="eastAsia" w:ascii="宋体" w:hAnsi="宋体" w:eastAsia="宋体" w:cs="宋体"/>
          <w:b w:val="0"/>
          <w:bCs/>
          <w:color w:val="000000" w:themeColor="text1"/>
          <w:sz w:val="24"/>
          <w:highlight w:val="none"/>
          <w14:textFill>
            <w14:solidFill>
              <w14:schemeClr w14:val="tx1"/>
            </w14:solidFill>
          </w14:textFill>
        </w:rPr>
        <w:t>。如未在招标文件规定的投标时间截止前上传网上</w:t>
      </w:r>
      <w:r>
        <w:rPr>
          <w:rFonts w:hint="eastAsia" w:ascii="宋体" w:hAnsi="宋体" w:eastAsia="宋体" w:cs="宋体"/>
          <w:b w:val="0"/>
          <w:bCs/>
          <w:color w:val="000000" w:themeColor="text1"/>
          <w:sz w:val="24"/>
          <w:highlight w:val="none"/>
          <w:lang w:val="en-US" w:eastAsia="zh-CN"/>
          <w14:textFill>
            <w14:solidFill>
              <w14:schemeClr w14:val="tx1"/>
            </w14:solidFill>
          </w14:textFill>
        </w:rPr>
        <w:t>响应</w:t>
      </w:r>
      <w:r>
        <w:rPr>
          <w:rFonts w:hint="eastAsia" w:ascii="宋体" w:hAnsi="宋体" w:eastAsia="宋体" w:cs="宋体"/>
          <w:b w:val="0"/>
          <w:bCs/>
          <w:color w:val="000000" w:themeColor="text1"/>
          <w:sz w:val="24"/>
          <w:highlight w:val="none"/>
          <w14:textFill>
            <w14:solidFill>
              <w14:schemeClr w14:val="tx1"/>
            </w14:solidFill>
          </w14:textFill>
        </w:rPr>
        <w:t>文件，投标无效。</w:t>
      </w:r>
    </w:p>
    <w:p w14:paraId="6E43E1C5">
      <w:pPr>
        <w:pStyle w:val="6"/>
        <w:adjustRightInd w:val="0"/>
        <w:snapToGrid w:val="0"/>
        <w:spacing w:line="360" w:lineRule="auto"/>
        <w:ind w:firstLine="480" w:firstLineChars="200"/>
        <w:jc w:val="both"/>
        <w:rPr>
          <w:rFonts w:hint="eastAsia" w:ascii="宋体" w:hAnsi="宋体" w:eastAsia="宋体" w:cs="宋体"/>
          <w:b w:val="0"/>
          <w:bCs/>
          <w:color w:val="000000" w:themeColor="text1"/>
          <w:highlight w:val="none"/>
          <w14:textFill>
            <w14:solidFill>
              <w14:schemeClr w14:val="tx1"/>
            </w14:solidFill>
          </w14:textFill>
        </w:rPr>
      </w:pPr>
      <w:r>
        <w:rPr>
          <w:rFonts w:hint="eastAsia" w:ascii="宋体" w:hAnsi="宋体" w:eastAsia="宋体" w:cs="宋体"/>
          <w:b w:val="0"/>
          <w:bCs/>
          <w:color w:val="000000" w:themeColor="text1"/>
          <w:highlight w:val="none"/>
          <w14:textFill>
            <w14:solidFill>
              <w14:schemeClr w14:val="tx1"/>
            </w14:solidFill>
          </w14:textFill>
        </w:rPr>
        <w:t>本项目施行网上远程开标无须到现场提交响应文件（未加密的电子投标文件和纸质文件均不再提交）</w:t>
      </w:r>
    </w:p>
    <w:p w14:paraId="199FBCD5">
      <w:pPr>
        <w:adjustRightInd w:val="0"/>
        <w:snapToGri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17、递交谈判响应文件的截止时间</w:t>
      </w:r>
    </w:p>
    <w:p w14:paraId="12482AB0">
      <w:pPr>
        <w:pStyle w:val="25"/>
        <w:numPr>
          <w:ilvl w:val="1"/>
          <w:numId w:val="10"/>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谈判响应文件须按谈判邀请函中规定的</w:t>
      </w:r>
      <w:r>
        <w:rPr>
          <w:rFonts w:hint="eastAsia" w:ascii="宋体" w:hAnsi="宋体" w:eastAsia="宋体" w:cs="宋体"/>
          <w:sz w:val="24"/>
          <w:highlight w:val="none"/>
          <w:lang w:val="en-US"/>
        </w:rPr>
        <w:t>在</w:t>
      </w:r>
      <w:r>
        <w:rPr>
          <w:rFonts w:hint="eastAsia" w:ascii="宋体" w:hAnsi="宋体" w:eastAsia="宋体" w:cs="宋体"/>
          <w:sz w:val="24"/>
          <w:highlight w:val="none"/>
        </w:rPr>
        <w:t>谈判截止时间之前</w:t>
      </w:r>
      <w:r>
        <w:rPr>
          <w:rFonts w:hint="eastAsia" w:ascii="宋体" w:hAnsi="宋体" w:eastAsia="宋体" w:cs="宋体"/>
          <w:sz w:val="24"/>
          <w:highlight w:val="none"/>
          <w:lang w:val="en-US"/>
        </w:rPr>
        <w:t>成功上传到指定位置</w:t>
      </w:r>
      <w:r>
        <w:rPr>
          <w:rFonts w:hint="eastAsia" w:ascii="宋体" w:hAnsi="宋体" w:eastAsia="宋体" w:cs="宋体"/>
          <w:sz w:val="24"/>
          <w:highlight w:val="none"/>
        </w:rPr>
        <w:t>。</w:t>
      </w:r>
    </w:p>
    <w:p w14:paraId="2A0C8C8B">
      <w:pPr>
        <w:pStyle w:val="25"/>
        <w:numPr>
          <w:ilvl w:val="1"/>
          <w:numId w:val="10"/>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rPr>
        <w:t>采购人</w:t>
      </w:r>
      <w:r>
        <w:rPr>
          <w:rFonts w:hint="eastAsia" w:ascii="宋体" w:hAnsi="宋体" w:eastAsia="宋体" w:cs="宋体"/>
          <w:sz w:val="24"/>
          <w:highlight w:val="none"/>
        </w:rPr>
        <w:t>推迟谈判截止时间时，应以</w:t>
      </w:r>
      <w:r>
        <w:rPr>
          <w:rFonts w:hint="eastAsia" w:ascii="宋体" w:hAnsi="宋体" w:eastAsia="宋体" w:cs="宋体"/>
          <w:sz w:val="24"/>
          <w:highlight w:val="none"/>
          <w:lang w:val="en-US"/>
        </w:rPr>
        <w:t>网上</w:t>
      </w:r>
      <w:r>
        <w:rPr>
          <w:rFonts w:hint="eastAsia" w:ascii="宋体" w:hAnsi="宋体" w:eastAsia="宋体" w:cs="宋体"/>
          <w:sz w:val="24"/>
          <w:highlight w:val="none"/>
        </w:rPr>
        <w:t>公告的形式，通知所有潜在的谈判供应商，在这种情况下，谈判组织人和谈判供应商的权利和义务将受到新的截止期的约束。</w:t>
      </w:r>
    </w:p>
    <w:p w14:paraId="393A318D">
      <w:pPr>
        <w:pStyle w:val="25"/>
        <w:numPr>
          <w:ilvl w:val="1"/>
          <w:numId w:val="10"/>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179DC479">
      <w:pPr>
        <w:pStyle w:val="25"/>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lang w:val="en-US"/>
        </w:rPr>
      </w:pPr>
      <w:r>
        <w:rPr>
          <w:rFonts w:hint="eastAsia" w:ascii="宋体" w:hAnsi="宋体" w:eastAsia="宋体" w:cs="宋体"/>
          <w:sz w:val="24"/>
          <w:highlight w:val="none"/>
          <w:lang w:val="en-US"/>
        </w:rPr>
        <w:t>补充、修改后的谈判响应文件须</w:t>
      </w:r>
      <w:r>
        <w:rPr>
          <w:rFonts w:hint="eastAsia" w:ascii="宋体" w:hAnsi="宋体" w:eastAsia="宋体" w:cs="宋体"/>
          <w:sz w:val="24"/>
          <w:highlight w:val="none"/>
        </w:rPr>
        <w:t>在投标截止时间前</w:t>
      </w:r>
      <w:r>
        <w:rPr>
          <w:rFonts w:hint="eastAsia" w:ascii="宋体" w:hAnsi="宋体" w:eastAsia="宋体" w:cs="宋体"/>
          <w:sz w:val="24"/>
          <w:highlight w:val="none"/>
          <w:lang w:val="en-US"/>
        </w:rPr>
        <w:t>再</w:t>
      </w:r>
      <w:r>
        <w:rPr>
          <w:rFonts w:hint="eastAsia" w:ascii="宋体" w:hAnsi="宋体" w:eastAsia="宋体" w:cs="宋体"/>
          <w:sz w:val="24"/>
          <w:highlight w:val="none"/>
        </w:rPr>
        <w:t>次成功上传</w:t>
      </w:r>
      <w:r>
        <w:rPr>
          <w:rFonts w:hint="eastAsia" w:ascii="宋体" w:hAnsi="宋体" w:eastAsia="宋体" w:cs="宋体"/>
          <w:sz w:val="24"/>
          <w:highlight w:val="none"/>
          <w:lang w:val="en-US"/>
        </w:rPr>
        <w:t>到网上指定位置</w:t>
      </w:r>
    </w:p>
    <w:p w14:paraId="100E3DF3">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18、迟交的谈判响应文件</w:t>
      </w:r>
    </w:p>
    <w:p w14:paraId="3D2E42A5">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18.1在</w:t>
      </w:r>
      <w:r>
        <w:rPr>
          <w:rFonts w:hint="eastAsia" w:ascii="宋体" w:hAnsi="宋体" w:eastAsia="宋体" w:cs="宋体"/>
          <w:highlight w:val="none"/>
          <w:lang w:val="en-US"/>
        </w:rPr>
        <w:t>谈判</w:t>
      </w:r>
      <w:r>
        <w:rPr>
          <w:rFonts w:hint="eastAsia" w:ascii="宋体" w:hAnsi="宋体" w:eastAsia="宋体" w:cs="宋体"/>
          <w:highlight w:val="none"/>
        </w:rPr>
        <w:t>文件要求提交</w:t>
      </w:r>
      <w:r>
        <w:rPr>
          <w:rFonts w:hint="eastAsia" w:ascii="宋体" w:hAnsi="宋体" w:eastAsia="宋体" w:cs="宋体"/>
          <w:highlight w:val="none"/>
          <w:lang w:val="en-US"/>
        </w:rPr>
        <w:t>响应</w:t>
      </w:r>
      <w:r>
        <w:rPr>
          <w:rFonts w:hint="eastAsia" w:ascii="宋体" w:hAnsi="宋体" w:eastAsia="宋体" w:cs="宋体"/>
          <w:highlight w:val="none"/>
        </w:rPr>
        <w:t>文件的截止时间之后制作上传的投标文件为无效投标文件，</w:t>
      </w:r>
      <w:r>
        <w:rPr>
          <w:rFonts w:hint="eastAsia" w:ascii="宋体" w:hAnsi="宋体" w:eastAsia="宋体" w:cs="宋体"/>
          <w:bCs/>
          <w:highlight w:val="none"/>
        </w:rPr>
        <w:t>采购人</w:t>
      </w:r>
      <w:r>
        <w:rPr>
          <w:rFonts w:hint="eastAsia" w:ascii="宋体" w:hAnsi="宋体" w:eastAsia="宋体" w:cs="宋体"/>
          <w:bCs/>
          <w:highlight w:val="none"/>
          <w:lang w:val="en-US"/>
        </w:rPr>
        <w:t>和网上开评标系统</w:t>
      </w:r>
      <w:r>
        <w:rPr>
          <w:rFonts w:hint="eastAsia" w:ascii="宋体" w:hAnsi="宋体" w:eastAsia="宋体" w:cs="宋体"/>
          <w:highlight w:val="none"/>
        </w:rPr>
        <w:t>将拒绝接收。</w:t>
      </w:r>
    </w:p>
    <w:p w14:paraId="64A7B8E4">
      <w:pPr>
        <w:pStyle w:val="4"/>
        <w:adjustRightInd w:val="0"/>
        <w:snapToGrid w:val="0"/>
        <w:spacing w:line="360" w:lineRule="auto"/>
        <w:ind w:left="0" w:firstLine="602" w:firstLineChars="200"/>
        <w:rPr>
          <w:rFonts w:hint="eastAsia" w:ascii="宋体" w:hAnsi="宋体" w:eastAsia="宋体" w:cs="宋体"/>
          <w:highlight w:val="none"/>
        </w:rPr>
      </w:pPr>
      <w:r>
        <w:rPr>
          <w:rFonts w:hint="eastAsia" w:ascii="宋体" w:hAnsi="宋体" w:eastAsia="宋体" w:cs="宋体"/>
          <w:highlight w:val="none"/>
        </w:rPr>
        <w:t>E、开始和谈判</w:t>
      </w:r>
    </w:p>
    <w:p w14:paraId="1070F5AB">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19、开始</w:t>
      </w:r>
    </w:p>
    <w:p w14:paraId="4616C1FA">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rPr>
        <w:t>19.1</w:t>
      </w:r>
      <w:r>
        <w:rPr>
          <w:rFonts w:hint="eastAsia" w:ascii="宋体" w:hAnsi="宋体" w:eastAsia="宋体" w:cs="宋体"/>
          <w:highlight w:val="none"/>
        </w:rPr>
        <w:t>本项目施行网上远程开标</w:t>
      </w:r>
      <w:r>
        <w:rPr>
          <w:rFonts w:hint="eastAsia" w:ascii="宋体" w:hAnsi="宋体" w:eastAsia="宋体" w:cs="宋体"/>
          <w:highlight w:val="none"/>
          <w:lang w:val="en-US"/>
        </w:rPr>
        <w:t>并依法</w:t>
      </w:r>
      <w:r>
        <w:rPr>
          <w:rFonts w:hint="eastAsia" w:ascii="宋体" w:hAnsi="宋体" w:eastAsia="宋体" w:cs="宋体"/>
          <w:highlight w:val="none"/>
        </w:rPr>
        <w:t>按照相关程序进行开标。</w:t>
      </w:r>
    </w:p>
    <w:p w14:paraId="5C84C27C">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rPr>
        <w:t>19.2</w:t>
      </w:r>
      <w:r>
        <w:rPr>
          <w:rFonts w:hint="eastAsia" w:ascii="宋体" w:hAnsi="宋体" w:eastAsia="宋体" w:cs="宋体"/>
          <w:highlight w:val="none"/>
        </w:rPr>
        <w:t>请各投标人在开标规定时间内进行网上远程响应文件解密，远程响应文件解密程序见“周口市公共资</w:t>
      </w:r>
      <w:r>
        <w:rPr>
          <w:rFonts w:hint="eastAsia" w:ascii="宋体" w:hAnsi="宋体" w:eastAsia="宋体" w:cs="宋体"/>
          <w:spacing w:val="-4"/>
          <w:highlight w:val="none"/>
        </w:rPr>
        <w:t>源电子交易服务平台</w:t>
      </w:r>
      <w:r>
        <w:rPr>
          <w:rFonts w:hint="eastAsia" w:ascii="宋体" w:hAnsi="宋体" w:eastAsia="宋体" w:cs="宋体"/>
          <w:highlight w:val="none"/>
        </w:rPr>
        <w:t>（</w:t>
      </w:r>
      <w:r>
        <w:rPr>
          <w:rFonts w:hint="eastAsia" w:ascii="宋体" w:hAnsi="宋体" w:eastAsia="宋体" w:cs="宋体"/>
          <w:spacing w:val="-20"/>
          <w:highlight w:val="none"/>
        </w:rPr>
        <w:t xml:space="preserve">网址 </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"http://jyzx.zhoukou.gov.cn/" </w:instrText>
      </w:r>
      <w:r>
        <w:rPr>
          <w:rFonts w:hint="eastAsia" w:ascii="宋体" w:hAnsi="宋体" w:eastAsia="宋体" w:cs="宋体"/>
          <w:highlight w:val="none"/>
        </w:rPr>
        <w:fldChar w:fldCharType="separate"/>
      </w:r>
      <w:r>
        <w:rPr>
          <w:rFonts w:hint="eastAsia" w:ascii="宋体" w:hAnsi="宋体" w:eastAsia="宋体" w:cs="宋体"/>
          <w:highlight w:val="none"/>
        </w:rPr>
        <w:t>http://jyzx.zhoukou.gov.cn</w:t>
      </w:r>
      <w:r>
        <w:rPr>
          <w:rFonts w:hint="eastAsia" w:ascii="宋体" w:hAnsi="宋体" w:eastAsia="宋体" w:cs="宋体"/>
          <w:highlight w:val="none"/>
        </w:rPr>
        <w:fldChar w:fldCharType="end"/>
      </w:r>
      <w:r>
        <w:rPr>
          <w:rFonts w:hint="eastAsia" w:ascii="宋体" w:hAnsi="宋体" w:eastAsia="宋体" w:cs="宋体"/>
          <w:highlight w:val="none"/>
        </w:rPr>
        <w:t>）下载</w:t>
      </w:r>
      <w:r>
        <w:rPr>
          <w:rFonts w:hint="eastAsia" w:ascii="宋体" w:hAnsi="宋体" w:eastAsia="宋体" w:cs="宋体"/>
          <w:spacing w:val="-8"/>
          <w:highlight w:val="none"/>
        </w:rPr>
        <w:t>中心</w:t>
      </w:r>
      <w:r>
        <w:rPr>
          <w:rFonts w:hint="eastAsia" w:ascii="宋体" w:hAnsi="宋体" w:eastAsia="宋体" w:cs="宋体"/>
          <w:spacing w:val="3"/>
          <w:highlight w:val="none"/>
        </w:rPr>
        <w:t>（</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"http://www.zkggzyjy.gov.cn/TPFront/infodetail/?infoid=47eea74d-b982-411d-875f-1b63772b7810&amp;amp;categoryNum=010" \h </w:instrText>
      </w:r>
      <w:r>
        <w:rPr>
          <w:rFonts w:hint="eastAsia" w:ascii="宋体" w:hAnsi="宋体" w:eastAsia="宋体" w:cs="宋体"/>
          <w:highlight w:val="none"/>
        </w:rPr>
        <w:fldChar w:fldCharType="separate"/>
      </w:r>
      <w:r>
        <w:rPr>
          <w:rFonts w:hint="eastAsia" w:ascii="宋体" w:hAnsi="宋体" w:eastAsia="宋体" w:cs="宋体"/>
          <w:highlight w:val="none"/>
        </w:rPr>
        <w:t>远程在线解</w:t>
      </w:r>
      <w:r>
        <w:rPr>
          <w:rFonts w:hint="eastAsia" w:ascii="宋体" w:hAnsi="宋体" w:eastAsia="宋体" w:cs="宋体"/>
          <w:highlight w:val="none"/>
        </w:rPr>
        <w:fldChar w:fldCharType="end"/>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"http://www.zkggzyjy.gov.cn/TPFront/infodetail/?infoid=47eea74d-b982-411d-875f-1b63772b7810&amp;amp;categoryNum=010" \h </w:instrText>
      </w:r>
      <w:r>
        <w:rPr>
          <w:rFonts w:hint="eastAsia" w:ascii="宋体" w:hAnsi="宋体" w:eastAsia="宋体" w:cs="宋体"/>
          <w:highlight w:val="none"/>
        </w:rPr>
        <w:fldChar w:fldCharType="separate"/>
      </w:r>
      <w:r>
        <w:rPr>
          <w:rFonts w:hint="eastAsia" w:ascii="宋体" w:hAnsi="宋体" w:eastAsia="宋体" w:cs="宋体"/>
          <w:highlight w:val="none"/>
        </w:rPr>
        <w:t>密操作手册</w:t>
      </w:r>
      <w:r>
        <w:rPr>
          <w:rFonts w:hint="eastAsia" w:ascii="宋体" w:hAnsi="宋体" w:eastAsia="宋体" w:cs="宋体"/>
          <w:highlight w:val="none"/>
        </w:rPr>
        <w:fldChar w:fldCharType="end"/>
      </w:r>
      <w:r>
        <w:rPr>
          <w:rFonts w:hint="eastAsia" w:ascii="宋体" w:hAnsi="宋体" w:eastAsia="宋体" w:cs="宋体"/>
          <w:highlight w:val="none"/>
        </w:rPr>
        <w:t>）”。在规定时间内（</w:t>
      </w:r>
      <w:r>
        <w:rPr>
          <w:rFonts w:hint="eastAsia" w:ascii="宋体" w:hAnsi="宋体" w:eastAsia="宋体" w:cs="宋体"/>
          <w:highlight w:val="none"/>
          <w:lang w:val="en-US"/>
        </w:rPr>
        <w:t>半个小时</w:t>
      </w:r>
      <w:r>
        <w:rPr>
          <w:rFonts w:hint="eastAsia" w:ascii="宋体" w:hAnsi="宋体" w:eastAsia="宋体" w:cs="宋体"/>
          <w:highlight w:val="none"/>
        </w:rPr>
        <w:t>）不进行解密的视为不提交响应文件。</w:t>
      </w:r>
    </w:p>
    <w:p w14:paraId="496C9DE5">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19.3采购中心</w:t>
      </w:r>
      <w:r>
        <w:rPr>
          <w:rFonts w:hint="eastAsia" w:ascii="宋体" w:hAnsi="宋体" w:eastAsia="宋体" w:cs="宋体"/>
          <w:sz w:val="24"/>
          <w:szCs w:val="24"/>
          <w:highlight w:val="none"/>
        </w:rPr>
        <w:t>项目负责人在</w:t>
      </w:r>
      <w:r>
        <w:rPr>
          <w:rFonts w:hint="eastAsia" w:ascii="宋体" w:hAnsi="宋体" w:eastAsia="宋体" w:cs="宋体"/>
          <w:sz w:val="24"/>
          <w:szCs w:val="24"/>
          <w:highlight w:val="none"/>
          <w:lang w:val="en-US"/>
        </w:rPr>
        <w:t>采购人和财政监督</w:t>
      </w:r>
      <w:r>
        <w:rPr>
          <w:rFonts w:hint="eastAsia" w:ascii="宋体" w:hAnsi="宋体" w:eastAsia="宋体" w:cs="宋体"/>
          <w:sz w:val="24"/>
          <w:szCs w:val="24"/>
          <w:highlight w:val="none"/>
        </w:rPr>
        <w:t>下解密所有投标文件。</w:t>
      </w:r>
      <w:r>
        <w:rPr>
          <w:rFonts w:hint="eastAsia" w:ascii="宋体" w:hAnsi="宋体" w:eastAsia="宋体" w:cs="宋体"/>
          <w:sz w:val="24"/>
          <w:szCs w:val="24"/>
          <w:highlight w:val="none"/>
          <w:lang w:val="en-US"/>
        </w:rPr>
        <w:t>并</w:t>
      </w:r>
      <w:r>
        <w:rPr>
          <w:rFonts w:hint="eastAsia" w:ascii="宋体" w:hAnsi="宋体" w:eastAsia="宋体" w:cs="宋体"/>
          <w:sz w:val="24"/>
          <w:szCs w:val="24"/>
          <w:highlight w:val="none"/>
        </w:rPr>
        <w:t>通过网上开标系统公布投标人名称、投标价格，以及采购中心认为合适的其它详细内容。</w:t>
      </w:r>
    </w:p>
    <w:p w14:paraId="61580D9B">
      <w:pPr>
        <w:pStyle w:val="5"/>
        <w:adjustRightInd w:val="0"/>
        <w:snapToGrid w:val="0"/>
        <w:spacing w:line="360" w:lineRule="auto"/>
        <w:ind w:left="0" w:firstLine="458" w:firstLineChars="200"/>
        <w:rPr>
          <w:rFonts w:hint="eastAsia" w:ascii="宋体" w:hAnsi="宋体" w:eastAsia="宋体" w:cs="宋体"/>
          <w:highlight w:val="none"/>
        </w:rPr>
      </w:pPr>
      <w:r>
        <w:rPr>
          <w:rFonts w:hint="eastAsia" w:ascii="宋体" w:hAnsi="宋体" w:eastAsia="宋体" w:cs="宋体"/>
          <w:w w:val="95"/>
          <w:highlight w:val="none"/>
        </w:rPr>
        <w:t>20、谈判小组</w:t>
      </w:r>
    </w:p>
    <w:p w14:paraId="7811A1D5">
      <w:pPr>
        <w:spacing w:line="360" w:lineRule="auto"/>
        <w:ind w:firstLine="549"/>
        <w:rPr>
          <w:rFonts w:hint="eastAsia" w:ascii="宋体" w:hAnsi="宋体" w:eastAsia="宋体" w:cs="宋体"/>
          <w:color w:val="000000"/>
          <w:sz w:val="24"/>
          <w:lang w:val="en-US" w:eastAsia="zh-CN"/>
        </w:rPr>
      </w:pPr>
      <w:r>
        <w:rPr>
          <w:rFonts w:hint="eastAsia" w:ascii="宋体" w:hAnsi="宋体" w:eastAsia="宋体" w:cs="宋体"/>
          <w:sz w:val="24"/>
          <w:szCs w:val="24"/>
          <w:highlight w:val="none"/>
        </w:rPr>
        <w:t>20.1</w:t>
      </w:r>
      <w:r>
        <w:rPr>
          <w:rFonts w:hint="eastAsia" w:ascii="宋体" w:hAnsi="宋体" w:eastAsia="宋体" w:cs="宋体"/>
          <w:sz w:val="24"/>
          <w:szCs w:val="24"/>
          <w:highlight w:val="none"/>
          <w:lang w:val="en-US"/>
        </w:rPr>
        <w:t>采购人</w:t>
      </w:r>
      <w:r>
        <w:rPr>
          <w:rFonts w:hint="eastAsia" w:ascii="宋体" w:hAnsi="宋体" w:eastAsia="宋体" w:cs="宋体"/>
          <w:sz w:val="24"/>
          <w:szCs w:val="24"/>
          <w:highlight w:val="none"/>
        </w:rPr>
        <w:t>将根据所</w:t>
      </w:r>
      <w:r>
        <w:rPr>
          <w:rFonts w:hint="eastAsia" w:ascii="宋体" w:hAnsi="宋体" w:eastAsia="宋体" w:cs="宋体"/>
          <w:color w:val="000000"/>
          <w:sz w:val="24"/>
          <w:lang w:val="en-US" w:eastAsia="zh-CN"/>
        </w:rPr>
        <w:t>采购工程的特点组建谈判小组，其成员由采购方代表和技术、经济等方面的专家组成。谈判小组对谈判响应文件进行审查、质疑、评估和比较。供应商不得以任何方式干扰、影响评标工作，供应商对上述需要做出书面保证。</w:t>
      </w:r>
    </w:p>
    <w:p w14:paraId="5A059AA5">
      <w:pPr>
        <w:spacing w:line="360" w:lineRule="auto"/>
        <w:ind w:firstLine="549"/>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20.2投标人不得相互串通投标报价，不得妨碍其他投标人的公平竞争，不得损害采购人或其他投标人的合法权益，投标人不得以向采购人、评委会成员行贿或者采取其他不正当手段谋取中标，对上述内容作出承诺并附于投标文件中，否则视为不响应招标文件要求。</w:t>
      </w:r>
    </w:p>
    <w:p w14:paraId="1B5A60DC">
      <w:pPr>
        <w:spacing w:line="360" w:lineRule="auto"/>
        <w:ind w:firstLine="549"/>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20.3在确定中标人之前，投标人不得与采购人就投标价格、投标方案等实质性内容进行谈判，也不得私下接触评委会成员，对上述内容作出书面承诺并附于投标文件中，否则视为不响应公开招标文件要求。</w:t>
      </w:r>
    </w:p>
    <w:p w14:paraId="0C8BA3C9">
      <w:pPr>
        <w:spacing w:line="360" w:lineRule="auto"/>
        <w:ind w:firstLine="549"/>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20.4投标人不得有串通投标、弄虚作假、行贿等违法行为，需提供供应商需自觉抵制政府采购领域商业贿赂行为保证书的。</w:t>
      </w:r>
    </w:p>
    <w:p w14:paraId="7D34694A">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21、谈判响应文件的审查</w:t>
      </w:r>
    </w:p>
    <w:p w14:paraId="21E55C80">
      <w:pPr>
        <w:pStyle w:val="25"/>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谈判开始后，谈判组织人将组织审查谈判响应文件是否完整，是否有计</w:t>
      </w:r>
      <w:r>
        <w:rPr>
          <w:rFonts w:hint="eastAsia" w:ascii="宋体" w:hAnsi="宋体" w:eastAsia="宋体" w:cs="宋体"/>
          <w:spacing w:val="-1"/>
          <w:sz w:val="24"/>
          <w:highlight w:val="none"/>
        </w:rPr>
        <w:t>算错误，文件是否已恰当地签署。不按谈判文件规定要求的响应为无效响应，</w:t>
      </w:r>
      <w:r>
        <w:rPr>
          <w:rFonts w:hint="eastAsia" w:ascii="宋体" w:hAnsi="宋体" w:eastAsia="宋体" w:cs="宋体"/>
          <w:sz w:val="24"/>
          <w:highlight w:val="none"/>
        </w:rPr>
        <w:t>不同供应商在同一台计算上制作的响应文件，视为无效投标。</w:t>
      </w:r>
    </w:p>
    <w:p w14:paraId="4FCBE1AD">
      <w:pPr>
        <w:pStyle w:val="25"/>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在对谈判响应文件进行详细评估之前，谈判小组将依据谈判供应商提供</w:t>
      </w:r>
      <w:r>
        <w:rPr>
          <w:rFonts w:hint="eastAsia" w:ascii="宋体" w:hAnsi="宋体" w:eastAsia="宋体" w:cs="宋体"/>
          <w:spacing w:val="-3"/>
          <w:sz w:val="24"/>
          <w:highlight w:val="none"/>
        </w:rPr>
        <w:t>的证明文件进行资格审查。如果确定谈判供应商不符合谈判文件对资格的要求，</w:t>
      </w:r>
      <w:r>
        <w:rPr>
          <w:rFonts w:hint="eastAsia" w:ascii="宋体" w:hAnsi="宋体" w:eastAsia="宋体" w:cs="宋体"/>
          <w:sz w:val="24"/>
          <w:highlight w:val="none"/>
        </w:rPr>
        <w:t>其谈判将被拒绝。</w:t>
      </w:r>
    </w:p>
    <w:p w14:paraId="6FFD5CE4">
      <w:pPr>
        <w:pStyle w:val="25"/>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24F2686">
      <w:pPr>
        <w:pStyle w:val="25"/>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谈判小组判断谈判文件的响应性仅基于谈判响应文件本身内容而不靠外部证据。</w:t>
      </w:r>
    </w:p>
    <w:p w14:paraId="7D4A9439">
      <w:pPr>
        <w:pStyle w:val="25"/>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谈判小组将拒绝被确定为非实质性响应的谈判供应商，谈判供应商不能通过修正或撤消不符之处而使其成为实质性响应的谈判供应商。</w:t>
      </w:r>
    </w:p>
    <w:p w14:paraId="33F5FD05">
      <w:pPr>
        <w:pStyle w:val="25"/>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谈判小组允许修改谈判响应中不构成重大偏离的、微小的、非正规、不一致或不规则的地方。</w:t>
      </w:r>
    </w:p>
    <w:p w14:paraId="2458DBD7">
      <w:pPr>
        <w:pStyle w:val="25"/>
        <w:tabs>
          <w:tab w:val="left" w:pos="819"/>
        </w:tabs>
        <w:adjustRightInd w:val="0"/>
        <w:snapToGrid w:val="0"/>
        <w:spacing w:line="360" w:lineRule="auto"/>
        <w:ind w:left="440" w:leftChars="200" w:firstLine="0"/>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rPr>
        <w:t>21.7</w:t>
      </w:r>
      <w:r>
        <w:rPr>
          <w:rFonts w:hint="eastAsia" w:ascii="宋体" w:hAnsi="宋体" w:eastAsia="宋体" w:cs="宋体"/>
          <w:b/>
          <w:bCs/>
          <w:sz w:val="24"/>
          <w:szCs w:val="24"/>
          <w:highlight w:val="none"/>
        </w:rPr>
        <w:t>无效投标</w:t>
      </w:r>
    </w:p>
    <w:p w14:paraId="45216D9D">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遇到下列情况之一时,投标人的投标将被视为无效投标:</w:t>
      </w:r>
    </w:p>
    <w:p w14:paraId="33FC853D">
      <w:pPr>
        <w:pStyle w:val="25"/>
        <w:tabs>
          <w:tab w:val="left" w:pos="1179"/>
        </w:tabs>
        <w:adjustRightInd w:val="0"/>
        <w:snapToGrid w:val="0"/>
        <w:spacing w:line="360" w:lineRule="auto"/>
        <w:ind w:left="440" w:leftChars="200" w:firstLine="0"/>
        <w:rPr>
          <w:rFonts w:hint="eastAsia" w:ascii="宋体" w:hAnsi="宋体" w:eastAsia="宋体" w:cs="宋体"/>
          <w:sz w:val="24"/>
          <w:highlight w:val="none"/>
        </w:rPr>
      </w:pPr>
      <w:r>
        <w:rPr>
          <w:rFonts w:hint="eastAsia" w:ascii="宋体" w:hAnsi="宋体" w:eastAsia="宋体" w:cs="宋体"/>
          <w:sz w:val="24"/>
          <w:highlight w:val="none"/>
          <w:lang w:val="en-US"/>
        </w:rPr>
        <w:t>21.7.1</w:t>
      </w:r>
      <w:r>
        <w:rPr>
          <w:rFonts w:hint="eastAsia" w:ascii="宋体" w:hAnsi="宋体" w:eastAsia="宋体" w:cs="宋体"/>
          <w:sz w:val="24"/>
          <w:highlight w:val="none"/>
        </w:rPr>
        <w:t>投标文件无投标人公章和法人或者法人委托人的印章或签字的；</w:t>
      </w:r>
    </w:p>
    <w:p w14:paraId="3CD16951">
      <w:pPr>
        <w:pStyle w:val="25"/>
        <w:tabs>
          <w:tab w:val="left" w:pos="1190"/>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highlight w:val="none"/>
          <w:lang w:val="en-US"/>
        </w:rPr>
        <w:t>21.7</w:t>
      </w:r>
      <w:r>
        <w:rPr>
          <w:rFonts w:hint="eastAsia" w:ascii="宋体" w:hAnsi="宋体" w:eastAsia="宋体" w:cs="宋体"/>
          <w:sz w:val="24"/>
          <w:szCs w:val="24"/>
          <w:highlight w:val="none"/>
          <w:lang w:val="en-US"/>
        </w:rPr>
        <w:t>.2</w:t>
      </w:r>
      <w:r>
        <w:rPr>
          <w:rFonts w:hint="eastAsia" w:ascii="宋体" w:hAnsi="宋体" w:eastAsia="宋体" w:cs="宋体"/>
          <w:sz w:val="24"/>
          <w:szCs w:val="24"/>
          <w:highlight w:val="none"/>
        </w:rPr>
        <w:t>投标文件未按照招标文件规定的格式填写，或者填写的内容不全，或者涂改</w:t>
      </w:r>
    </w:p>
    <w:p w14:paraId="06FF4EC9">
      <w:pPr>
        <w:pStyle w:val="25"/>
        <w:tabs>
          <w:tab w:val="left" w:pos="1190"/>
        </w:tabs>
        <w:adjustRightInd w:val="0"/>
        <w:snapToGrid w:val="0"/>
        <w:spacing w:line="360" w:lineRule="auto"/>
        <w:ind w:left="0" w:firstLine="0"/>
        <w:rPr>
          <w:rFonts w:hint="eastAsia" w:ascii="宋体" w:hAnsi="宋体" w:eastAsia="宋体" w:cs="宋体"/>
          <w:sz w:val="24"/>
          <w:szCs w:val="24"/>
          <w:highlight w:val="none"/>
        </w:rPr>
      </w:pPr>
      <w:r>
        <w:rPr>
          <w:rFonts w:hint="eastAsia" w:ascii="宋体" w:hAnsi="宋体" w:eastAsia="宋体" w:cs="宋体"/>
          <w:sz w:val="24"/>
          <w:szCs w:val="24"/>
          <w:highlight w:val="none"/>
        </w:rPr>
        <w:t>处未加盖投标人公章及法人或法人授权的代理人的印章或签字的。</w:t>
      </w:r>
    </w:p>
    <w:p w14:paraId="446FB835">
      <w:pPr>
        <w:pStyle w:val="25"/>
        <w:tabs>
          <w:tab w:val="left" w:pos="1190"/>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rPr>
        <w:t>21</w:t>
      </w:r>
      <w:r>
        <w:rPr>
          <w:rFonts w:hint="eastAsia" w:ascii="宋体" w:hAnsi="宋体" w:eastAsia="宋体" w:cs="宋体"/>
          <w:sz w:val="24"/>
          <w:szCs w:val="24"/>
          <w:highlight w:val="none"/>
          <w:lang w:val="en-US"/>
        </w:rPr>
        <w:t>.7.3</w:t>
      </w:r>
      <w:r>
        <w:rPr>
          <w:rFonts w:hint="eastAsia" w:ascii="宋体" w:hAnsi="宋体" w:eastAsia="宋体" w:cs="宋体"/>
          <w:sz w:val="24"/>
          <w:szCs w:val="24"/>
          <w:highlight w:val="none"/>
        </w:rPr>
        <w:t>投标文件中有两个及两个以上的方案进行投标的（招标文件另有规定的除</w:t>
      </w:r>
    </w:p>
    <w:p w14:paraId="286A55B2">
      <w:pPr>
        <w:pStyle w:val="25"/>
        <w:tabs>
          <w:tab w:val="left" w:pos="1190"/>
        </w:tabs>
        <w:adjustRightInd w:val="0"/>
        <w:snapToGrid w:val="0"/>
        <w:spacing w:line="360" w:lineRule="auto"/>
        <w:ind w:left="0" w:firstLine="0"/>
        <w:rPr>
          <w:rFonts w:hint="eastAsia" w:ascii="宋体" w:hAnsi="宋体" w:eastAsia="宋体" w:cs="宋体"/>
          <w:sz w:val="24"/>
          <w:szCs w:val="24"/>
          <w:highlight w:val="none"/>
        </w:rPr>
      </w:pPr>
      <w:r>
        <w:rPr>
          <w:rFonts w:hint="eastAsia" w:ascii="宋体" w:hAnsi="宋体" w:eastAsia="宋体" w:cs="宋体"/>
          <w:sz w:val="24"/>
          <w:szCs w:val="24"/>
          <w:highlight w:val="none"/>
        </w:rPr>
        <w:t>外）；</w:t>
      </w:r>
    </w:p>
    <w:p w14:paraId="0B04A81C">
      <w:pPr>
        <w:pStyle w:val="25"/>
        <w:tabs>
          <w:tab w:val="left" w:pos="1190"/>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21.7.4</w:t>
      </w:r>
      <w:r>
        <w:rPr>
          <w:rFonts w:hint="eastAsia" w:ascii="宋体" w:hAnsi="宋体" w:eastAsia="宋体" w:cs="宋体"/>
          <w:sz w:val="24"/>
          <w:szCs w:val="24"/>
          <w:highlight w:val="none"/>
        </w:rPr>
        <w:t>投标人资格条件不符合国家有关规定和招标文件要求的，或者拒不按照要求</w:t>
      </w:r>
    </w:p>
    <w:p w14:paraId="3E056683">
      <w:pPr>
        <w:pStyle w:val="25"/>
        <w:tabs>
          <w:tab w:val="left" w:pos="1190"/>
        </w:tabs>
        <w:adjustRightInd w:val="0"/>
        <w:snapToGrid w:val="0"/>
        <w:spacing w:line="360" w:lineRule="auto"/>
        <w:ind w:left="0" w:firstLine="0"/>
        <w:rPr>
          <w:rFonts w:hint="eastAsia" w:ascii="宋体" w:hAnsi="宋体" w:eastAsia="宋体" w:cs="宋体"/>
          <w:sz w:val="24"/>
          <w:szCs w:val="24"/>
          <w:highlight w:val="none"/>
        </w:rPr>
      </w:pPr>
      <w:r>
        <w:rPr>
          <w:rFonts w:hint="eastAsia" w:ascii="宋体" w:hAnsi="宋体" w:eastAsia="宋体" w:cs="宋体"/>
          <w:sz w:val="24"/>
          <w:szCs w:val="24"/>
          <w:highlight w:val="none"/>
        </w:rPr>
        <w:t>对投标文件进行澄清、说明或者补正的；</w:t>
      </w:r>
    </w:p>
    <w:p w14:paraId="42B60F2C">
      <w:pPr>
        <w:pStyle w:val="25"/>
        <w:tabs>
          <w:tab w:val="left" w:pos="117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21.7.5</w:t>
      </w:r>
      <w:r>
        <w:rPr>
          <w:rFonts w:hint="eastAsia" w:ascii="宋体" w:hAnsi="宋体" w:eastAsia="宋体" w:cs="宋体"/>
          <w:sz w:val="24"/>
          <w:szCs w:val="24"/>
          <w:highlight w:val="none"/>
        </w:rPr>
        <w:t>投标文件附有招标人不能接受的条件的；</w:t>
      </w:r>
    </w:p>
    <w:p w14:paraId="2E3E3166">
      <w:pPr>
        <w:pStyle w:val="25"/>
        <w:tabs>
          <w:tab w:val="left" w:pos="1190"/>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21.7.6</w:t>
      </w:r>
      <w:r>
        <w:rPr>
          <w:rFonts w:hint="eastAsia" w:ascii="宋体" w:hAnsi="宋体" w:eastAsia="宋体" w:cs="宋体"/>
          <w:sz w:val="24"/>
          <w:szCs w:val="24"/>
          <w:highlight w:val="none"/>
        </w:rPr>
        <w:t>投标人以他人名义投标、串通投标、以行贿手段谋取中标或者以弄虚作假等</w:t>
      </w:r>
    </w:p>
    <w:p w14:paraId="03FA75CA">
      <w:pPr>
        <w:pStyle w:val="25"/>
        <w:tabs>
          <w:tab w:val="left" w:pos="1190"/>
        </w:tabs>
        <w:adjustRightInd w:val="0"/>
        <w:snapToGrid w:val="0"/>
        <w:spacing w:line="360" w:lineRule="auto"/>
        <w:ind w:left="0" w:firstLine="0"/>
        <w:rPr>
          <w:rFonts w:hint="eastAsia" w:ascii="宋体" w:hAnsi="宋体" w:eastAsia="宋体" w:cs="宋体"/>
          <w:sz w:val="24"/>
          <w:szCs w:val="24"/>
          <w:highlight w:val="none"/>
        </w:rPr>
      </w:pPr>
      <w:r>
        <w:rPr>
          <w:rFonts w:hint="eastAsia" w:ascii="宋体" w:hAnsi="宋体" w:eastAsia="宋体" w:cs="宋体"/>
          <w:sz w:val="24"/>
          <w:szCs w:val="24"/>
          <w:highlight w:val="none"/>
        </w:rPr>
        <w:t>方式投标的；</w:t>
      </w:r>
    </w:p>
    <w:p w14:paraId="493FAE48">
      <w:pPr>
        <w:pStyle w:val="25"/>
        <w:tabs>
          <w:tab w:val="left" w:pos="117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21.7.7</w:t>
      </w:r>
      <w:r>
        <w:rPr>
          <w:rFonts w:hint="eastAsia" w:ascii="宋体" w:hAnsi="宋体" w:eastAsia="宋体" w:cs="宋体"/>
          <w:sz w:val="24"/>
          <w:szCs w:val="24"/>
          <w:highlight w:val="none"/>
        </w:rPr>
        <w:t>经核实两个或两个以上投标人的投标文件有雷同或有抄袭行为的；</w:t>
      </w:r>
    </w:p>
    <w:p w14:paraId="56E99DFB">
      <w:pPr>
        <w:pStyle w:val="25"/>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21.7.8</w:t>
      </w:r>
      <w:r>
        <w:rPr>
          <w:rFonts w:hint="eastAsia" w:ascii="宋体" w:hAnsi="宋体" w:eastAsia="宋体" w:cs="宋体"/>
          <w:sz w:val="24"/>
          <w:szCs w:val="24"/>
          <w:highlight w:val="none"/>
        </w:rPr>
        <w:t>投标人出现技术</w:t>
      </w:r>
      <w:r>
        <w:rPr>
          <w:rFonts w:hint="eastAsia" w:ascii="宋体" w:hAnsi="宋体" w:eastAsia="宋体" w:cs="宋体"/>
          <w:sz w:val="24"/>
          <w:szCs w:val="24"/>
          <w:highlight w:val="none"/>
          <w:lang w:val="en-US"/>
        </w:rPr>
        <w:t>和</w:t>
      </w:r>
      <w:r>
        <w:rPr>
          <w:rFonts w:hint="eastAsia" w:ascii="宋体" w:hAnsi="宋体" w:eastAsia="宋体" w:cs="宋体"/>
          <w:sz w:val="24"/>
          <w:szCs w:val="24"/>
          <w:highlight w:val="none"/>
        </w:rPr>
        <w:t>参数不符合采购要求的及不响应</w:t>
      </w:r>
      <w:r>
        <w:rPr>
          <w:rFonts w:hint="eastAsia" w:ascii="宋体" w:hAnsi="宋体" w:eastAsia="宋体" w:cs="宋体"/>
          <w:sz w:val="24"/>
          <w:szCs w:val="24"/>
          <w:highlight w:val="none"/>
          <w:lang w:val="en-US"/>
        </w:rPr>
        <w:t>谈判</w:t>
      </w:r>
      <w:r>
        <w:rPr>
          <w:rFonts w:hint="eastAsia" w:ascii="宋体" w:hAnsi="宋体" w:eastAsia="宋体" w:cs="宋体"/>
          <w:sz w:val="24"/>
          <w:szCs w:val="24"/>
          <w:highlight w:val="none"/>
        </w:rPr>
        <w:t>文件的；</w:t>
      </w:r>
    </w:p>
    <w:p w14:paraId="4BF54E18">
      <w:pPr>
        <w:pStyle w:val="25"/>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21.7.9</w:t>
      </w:r>
      <w:r>
        <w:rPr>
          <w:rFonts w:hint="eastAsia" w:ascii="宋体" w:hAnsi="宋体" w:eastAsia="宋体" w:cs="宋体"/>
          <w:sz w:val="24"/>
          <w:szCs w:val="24"/>
          <w:highlight w:val="none"/>
        </w:rPr>
        <w:t>违反《中华人民共和国政府采购法》等法律的投标；</w:t>
      </w:r>
    </w:p>
    <w:p w14:paraId="30C861BA">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szCs w:val="24"/>
          <w:highlight w:val="none"/>
          <w:lang w:val="en-US"/>
        </w:rPr>
        <w:t>21.7.</w:t>
      </w:r>
      <w:r>
        <w:rPr>
          <w:rFonts w:hint="eastAsia" w:ascii="宋体" w:hAnsi="宋体" w:eastAsia="宋体" w:cs="宋体"/>
          <w:color w:val="000000"/>
          <w:sz w:val="24"/>
          <w:highlight w:val="none"/>
          <w:lang w:val="en-US" w:eastAsia="zh-CN"/>
        </w:rPr>
        <w:t>10</w:t>
      </w:r>
      <w:r>
        <w:rPr>
          <w:rFonts w:hint="eastAsia" w:ascii="宋体" w:hAnsi="宋体" w:eastAsia="宋体" w:cs="宋体"/>
          <w:color w:val="000000"/>
          <w:sz w:val="24"/>
          <w:highlight w:val="none"/>
        </w:rPr>
        <w:t>不同供应商的电子投标（响应）文件上传计算机的网卡 MAC 地址、CPU 序列号和硬盘序列号等硬件信息相同的;</w:t>
      </w:r>
    </w:p>
    <w:p w14:paraId="78A1C060">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szCs w:val="24"/>
          <w:highlight w:val="none"/>
          <w:lang w:val="en-US"/>
        </w:rPr>
        <w:t>21.7.</w:t>
      </w:r>
      <w:r>
        <w:rPr>
          <w:rFonts w:hint="eastAsia" w:ascii="宋体" w:hAnsi="宋体" w:eastAsia="宋体" w:cs="宋体"/>
          <w:color w:val="000000"/>
          <w:sz w:val="24"/>
          <w:highlight w:val="none"/>
          <w:lang w:val="en-US" w:eastAsia="zh-CN"/>
        </w:rPr>
        <w:t>11</w:t>
      </w:r>
      <w:r>
        <w:rPr>
          <w:rFonts w:hint="eastAsia" w:ascii="宋体" w:hAnsi="宋体" w:eastAsia="宋体" w:cs="宋体"/>
          <w:color w:val="000000"/>
          <w:sz w:val="24"/>
          <w:highlight w:val="none"/>
        </w:rPr>
        <w:t>不同供应商的投标（响应）文件由同一电子设备编制，打印</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lang w:val="en-US" w:eastAsia="zh-CN"/>
        </w:rPr>
        <w:t>复印、</w:t>
      </w:r>
      <w:r>
        <w:rPr>
          <w:rFonts w:hint="eastAsia" w:ascii="宋体" w:hAnsi="宋体" w:eastAsia="宋体" w:cs="宋体"/>
          <w:color w:val="000000"/>
          <w:sz w:val="24"/>
          <w:highlight w:val="none"/>
        </w:rPr>
        <w:t>加密或者上传</w:t>
      </w:r>
      <w:r>
        <w:rPr>
          <w:rFonts w:hint="eastAsia" w:ascii="宋体" w:hAnsi="宋体" w:eastAsia="宋体" w:cs="宋体"/>
          <w:color w:val="000000"/>
          <w:sz w:val="24"/>
          <w:highlight w:val="none"/>
          <w:lang w:val="en-US" w:eastAsia="zh-CN"/>
        </w:rPr>
        <w:t>的</w:t>
      </w:r>
      <w:r>
        <w:rPr>
          <w:rFonts w:hint="eastAsia" w:ascii="宋体" w:hAnsi="宋体" w:eastAsia="宋体" w:cs="宋体"/>
          <w:color w:val="000000"/>
          <w:sz w:val="24"/>
          <w:highlight w:val="none"/>
        </w:rPr>
        <w:t>；</w:t>
      </w:r>
    </w:p>
    <w:p w14:paraId="528E2B0F">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szCs w:val="24"/>
          <w:highlight w:val="none"/>
          <w:lang w:val="en-US"/>
        </w:rPr>
        <w:t>21.7.</w:t>
      </w:r>
      <w:r>
        <w:rPr>
          <w:rFonts w:hint="eastAsia" w:ascii="宋体" w:hAnsi="宋体" w:eastAsia="宋体" w:cs="宋体"/>
          <w:color w:val="000000"/>
          <w:sz w:val="24"/>
          <w:highlight w:val="none"/>
          <w:lang w:val="en-US" w:eastAsia="zh-CN"/>
        </w:rPr>
        <w:t>12</w:t>
      </w:r>
      <w:r>
        <w:rPr>
          <w:rFonts w:hint="eastAsia" w:ascii="宋体" w:hAnsi="宋体" w:eastAsia="宋体" w:cs="宋体"/>
          <w:color w:val="000000"/>
          <w:sz w:val="24"/>
          <w:highlight w:val="none"/>
        </w:rPr>
        <w:t>不同供应商的投标（响应）文件由同一人送达或者分发，或者不同供应商联系人为同一人或不同联系人的联系电话一致的；</w:t>
      </w:r>
    </w:p>
    <w:p w14:paraId="3A4CA38E">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szCs w:val="24"/>
          <w:highlight w:val="none"/>
          <w:lang w:val="en-US"/>
        </w:rPr>
        <w:t>21.7.</w:t>
      </w:r>
      <w:r>
        <w:rPr>
          <w:rFonts w:hint="eastAsia" w:ascii="宋体" w:hAnsi="宋体" w:eastAsia="宋体" w:cs="宋体"/>
          <w:color w:val="000000"/>
          <w:sz w:val="24"/>
          <w:highlight w:val="none"/>
          <w:lang w:val="en-US" w:eastAsia="zh-CN"/>
        </w:rPr>
        <w:t>13</w:t>
      </w:r>
      <w:r>
        <w:rPr>
          <w:rFonts w:hint="eastAsia" w:ascii="宋体" w:hAnsi="宋体" w:eastAsia="宋体" w:cs="宋体"/>
          <w:color w:val="000000"/>
          <w:sz w:val="24"/>
          <w:highlight w:val="none"/>
        </w:rPr>
        <w:t>不同供应商的投标（响应）文件的内容存在两处以上细节错误一致；</w:t>
      </w:r>
    </w:p>
    <w:p w14:paraId="665A23FA">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szCs w:val="24"/>
          <w:highlight w:val="none"/>
          <w:lang w:val="en-US"/>
        </w:rPr>
        <w:t>21.7.</w:t>
      </w:r>
      <w:r>
        <w:rPr>
          <w:rFonts w:hint="eastAsia" w:ascii="宋体" w:hAnsi="宋体" w:eastAsia="宋体" w:cs="宋体"/>
          <w:color w:val="000000"/>
          <w:sz w:val="24"/>
          <w:highlight w:val="none"/>
          <w:lang w:val="en-US" w:eastAsia="zh-CN"/>
        </w:rPr>
        <w:t>14</w:t>
      </w:r>
      <w:r>
        <w:rPr>
          <w:rFonts w:hint="eastAsia" w:ascii="宋体" w:hAnsi="宋体" w:eastAsia="宋体" w:cs="宋体"/>
          <w:color w:val="000000"/>
          <w:sz w:val="24"/>
          <w:highlight w:val="none"/>
        </w:rPr>
        <w:t>不同供应商的法定代表人、委托代理人、项目经理、项目负责人等由同一个单位缴纳社会保险或者领取报酬的；</w:t>
      </w:r>
    </w:p>
    <w:p w14:paraId="454398A8">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rPr>
        <w:t>21.7.</w:t>
      </w:r>
      <w:r>
        <w:rPr>
          <w:rFonts w:hint="eastAsia" w:ascii="宋体" w:hAnsi="宋体" w:eastAsia="宋体" w:cs="宋体"/>
          <w:color w:val="000000"/>
          <w:sz w:val="24"/>
          <w:highlight w:val="none"/>
          <w:lang w:val="en-US" w:eastAsia="zh-CN"/>
        </w:rPr>
        <w:t>15</w:t>
      </w:r>
      <w:r>
        <w:rPr>
          <w:rFonts w:hint="eastAsia" w:ascii="宋体" w:hAnsi="宋体" w:eastAsia="宋体" w:cs="宋体"/>
          <w:color w:val="000000"/>
          <w:sz w:val="24"/>
          <w:highlight w:val="none"/>
        </w:rPr>
        <w:t>不同供应商投标（响应）文件中法定代表人或者负责人签字出自同一人之手</w:t>
      </w:r>
      <w:r>
        <w:rPr>
          <w:rFonts w:hint="eastAsia" w:ascii="宋体" w:hAnsi="宋体" w:eastAsia="宋体" w:cs="宋体"/>
          <w:color w:val="000000"/>
          <w:sz w:val="24"/>
          <w:highlight w:val="none"/>
          <w:lang w:eastAsia="zh-CN"/>
        </w:rPr>
        <w:t>。</w:t>
      </w:r>
    </w:p>
    <w:p w14:paraId="2DA465E5">
      <w:pPr>
        <w:pStyle w:val="25"/>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其它未响应招标文件而可能导致废标；</w:t>
      </w:r>
    </w:p>
    <w:p w14:paraId="179AC671">
      <w:pPr>
        <w:pStyle w:val="25"/>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21.7.1</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所有投标人的投标报价均超出采购人预算的；</w:t>
      </w:r>
    </w:p>
    <w:p w14:paraId="07AD1031">
      <w:pPr>
        <w:spacing w:line="360" w:lineRule="auto"/>
        <w:ind w:firstLine="480" w:firstLineChars="200"/>
        <w:rPr>
          <w:rFonts w:hint="eastAsia" w:ascii="宋体" w:hAnsi="宋体" w:eastAsia="宋体" w:cs="宋体"/>
          <w:color w:val="000000"/>
          <w:sz w:val="24"/>
          <w:highlight w:val="none"/>
          <w:lang w:val="en-US"/>
        </w:rPr>
      </w:pPr>
      <w:r>
        <w:rPr>
          <w:rFonts w:hint="eastAsia" w:ascii="宋体" w:hAnsi="宋体" w:eastAsia="宋体" w:cs="宋体"/>
          <w:color w:val="000000"/>
          <w:sz w:val="24"/>
          <w:highlight w:val="none"/>
          <w:lang w:val="en-US"/>
        </w:rPr>
        <w:t>21.7.1</w:t>
      </w:r>
      <w:r>
        <w:rPr>
          <w:rFonts w:hint="eastAsia" w:ascii="宋体" w:hAnsi="宋体" w:eastAsia="宋体" w:cs="宋体"/>
          <w:color w:val="000000"/>
          <w:sz w:val="24"/>
          <w:highlight w:val="none"/>
          <w:lang w:val="en-US" w:eastAsia="zh-CN"/>
        </w:rPr>
        <w:t>8</w:t>
      </w:r>
      <w:r>
        <w:rPr>
          <w:rFonts w:hint="eastAsia" w:ascii="宋体" w:hAnsi="宋体" w:eastAsia="宋体" w:cs="宋体"/>
          <w:color w:val="000000"/>
          <w:sz w:val="24"/>
          <w:highlight w:val="none"/>
        </w:rPr>
        <w:t>具备合格投标人资格的公司不能将其资格授予下属公司使用参与投标</w:t>
      </w:r>
      <w:r>
        <w:rPr>
          <w:rFonts w:hint="eastAsia" w:ascii="宋体" w:hAnsi="宋体" w:eastAsia="宋体" w:cs="宋体"/>
          <w:color w:val="000000"/>
          <w:sz w:val="24"/>
          <w:highlight w:val="none"/>
          <w:lang w:val="en-US"/>
        </w:rPr>
        <w:t>的；</w:t>
      </w:r>
    </w:p>
    <w:p w14:paraId="4A95BD45">
      <w:pPr>
        <w:pStyle w:val="25"/>
        <w:tabs>
          <w:tab w:val="left" w:pos="1299"/>
        </w:tabs>
        <w:adjustRightInd w:val="0"/>
        <w:snapToGrid w:val="0"/>
        <w:spacing w:line="360" w:lineRule="auto"/>
        <w:ind w:left="440" w:leftChars="200" w:firstLine="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21.7.19投标人法定代表人未在信用中国网站查询截图签字的;</w:t>
      </w:r>
    </w:p>
    <w:p w14:paraId="706A7819">
      <w:pPr>
        <w:pStyle w:val="25"/>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投标文件未编制</w:t>
      </w:r>
      <w:r>
        <w:rPr>
          <w:rFonts w:hint="eastAsia" w:ascii="宋体" w:hAnsi="宋体" w:eastAsia="宋体" w:cs="宋体"/>
          <w:sz w:val="24"/>
          <w:szCs w:val="24"/>
          <w:highlight w:val="none"/>
          <w:lang w:eastAsia="zh-CN"/>
        </w:rPr>
        <w:t>详细</w:t>
      </w:r>
      <w:r>
        <w:rPr>
          <w:rFonts w:hint="eastAsia" w:ascii="宋体" w:hAnsi="宋体" w:eastAsia="宋体" w:cs="宋体"/>
          <w:sz w:val="24"/>
          <w:szCs w:val="24"/>
          <w:highlight w:val="none"/>
        </w:rPr>
        <w:t>目录及</w:t>
      </w:r>
      <w:r>
        <w:rPr>
          <w:rFonts w:hint="eastAsia" w:cs="宋体"/>
          <w:sz w:val="24"/>
          <w:szCs w:val="24"/>
          <w:highlight w:val="none"/>
          <w:lang w:val="en-US" w:eastAsia="zh-CN"/>
        </w:rPr>
        <w:t>总</w:t>
      </w:r>
      <w:r>
        <w:rPr>
          <w:rFonts w:hint="eastAsia" w:ascii="宋体" w:hAnsi="宋体" w:eastAsia="宋体" w:cs="宋体"/>
          <w:sz w:val="24"/>
          <w:szCs w:val="24"/>
          <w:highlight w:val="none"/>
          <w:lang w:eastAsia="zh-CN"/>
        </w:rPr>
        <w:t>页码</w:t>
      </w:r>
      <w:r>
        <w:rPr>
          <w:rFonts w:hint="eastAsia" w:ascii="宋体" w:hAnsi="宋体" w:eastAsia="宋体" w:cs="宋体"/>
          <w:sz w:val="24"/>
          <w:szCs w:val="24"/>
          <w:highlight w:val="none"/>
        </w:rPr>
        <w:t>的；</w:t>
      </w:r>
    </w:p>
    <w:p w14:paraId="63D049B1">
      <w:pPr>
        <w:pStyle w:val="25"/>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rPr>
        <w:t>授权委托书中法定代表人和委托代理人未在身份证扫描件正面和反面签字的；</w:t>
      </w:r>
    </w:p>
    <w:p w14:paraId="6CF00A0A">
      <w:pPr>
        <w:pStyle w:val="25"/>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21.7.22</w:t>
      </w:r>
      <w:r>
        <w:rPr>
          <w:rFonts w:hint="eastAsia" w:ascii="宋体" w:hAnsi="宋体" w:eastAsia="宋体" w:cs="宋体"/>
          <w:sz w:val="24"/>
          <w:szCs w:val="24"/>
          <w:highlight w:val="none"/>
        </w:rPr>
        <w:t>未提供2024年度经会计师事务所或审计机构审计的财务会计报表，包括资产负债表、损益表、现金流量表、利润表和财务情况说明书的复印件。</w:t>
      </w:r>
    </w:p>
    <w:p w14:paraId="24D22B4B">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22、谈判文响应件的澄清</w:t>
      </w:r>
    </w:p>
    <w:p w14:paraId="4A787087">
      <w:pPr>
        <w:pStyle w:val="25"/>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0102C314">
      <w:pPr>
        <w:pStyle w:val="25"/>
        <w:numPr>
          <w:ilvl w:val="1"/>
          <w:numId w:val="12"/>
        </w:numPr>
        <w:tabs>
          <w:tab w:val="left" w:pos="939"/>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重要澄清的答复应是书面的，并由法定代表人或其委托代理人签字。</w:t>
      </w:r>
    </w:p>
    <w:p w14:paraId="332FD55E">
      <w:pPr>
        <w:pStyle w:val="25"/>
        <w:numPr>
          <w:ilvl w:val="1"/>
          <w:numId w:val="12"/>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谈判供应商的澄清文件是其谈判响应文件的组成部分，并取代谈判响应文件中被澄清的部分。</w:t>
      </w:r>
    </w:p>
    <w:p w14:paraId="51ECA2A7">
      <w:pPr>
        <w:pStyle w:val="25"/>
        <w:numPr>
          <w:ilvl w:val="1"/>
          <w:numId w:val="12"/>
        </w:numPr>
        <w:tabs>
          <w:tab w:val="left" w:pos="939"/>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谈判响应文件的澄清不得对谈判响应内容进行实质性修改。</w:t>
      </w:r>
    </w:p>
    <w:p w14:paraId="3C65119F">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23、谈判原则和方法</w:t>
      </w:r>
    </w:p>
    <w:p w14:paraId="24382CEF">
      <w:pPr>
        <w:pStyle w:val="25"/>
        <w:numPr>
          <w:ilvl w:val="1"/>
          <w:numId w:val="13"/>
        </w:numPr>
        <w:tabs>
          <w:tab w:val="left" w:pos="939"/>
        </w:tabs>
        <w:adjustRightInd w:val="0"/>
        <w:snapToGrid w:val="0"/>
        <w:spacing w:line="360" w:lineRule="auto"/>
        <w:ind w:left="0" w:firstLine="480" w:firstLineChars="200"/>
        <w:rPr>
          <w:rFonts w:hint="eastAsia" w:ascii="宋体" w:hAnsi="宋体" w:eastAsia="宋体" w:cs="宋体"/>
          <w:highlight w:val="none"/>
        </w:rPr>
      </w:pPr>
      <w:r>
        <w:rPr>
          <w:rFonts w:hint="eastAsia" w:ascii="宋体" w:hAnsi="宋体" w:eastAsia="宋体" w:cs="宋体"/>
          <w:sz w:val="24"/>
          <w:highlight w:val="none"/>
        </w:rPr>
        <w:t>坚持公平、公正的原则。</w:t>
      </w:r>
    </w:p>
    <w:p w14:paraId="72B629E9">
      <w:pPr>
        <w:pStyle w:val="25"/>
        <w:numPr>
          <w:ilvl w:val="1"/>
          <w:numId w:val="13"/>
        </w:numPr>
        <w:tabs>
          <w:tab w:val="left" w:pos="941"/>
        </w:tabs>
        <w:adjustRightInd w:val="0"/>
        <w:snapToGrid w:val="0"/>
        <w:spacing w:line="360" w:lineRule="auto"/>
        <w:ind w:left="0" w:firstLine="480" w:firstLineChars="200"/>
        <w:rPr>
          <w:rFonts w:hint="eastAsia" w:ascii="宋体" w:hAnsi="宋体" w:eastAsia="宋体" w:cs="宋体"/>
          <w:highlight w:val="none"/>
        </w:rPr>
      </w:pPr>
      <w:r>
        <w:rPr>
          <w:rFonts w:hint="eastAsia" w:ascii="宋体" w:hAnsi="宋体" w:eastAsia="宋体" w:cs="宋体"/>
          <w:sz w:val="24"/>
          <w:highlight w:val="none"/>
        </w:rPr>
        <w:t>谈判工作在谈判小组内独立进行，遵照谈判原则，按照谈判程序及方法公正、平等地对待所有谈判响应人。</w:t>
      </w:r>
    </w:p>
    <w:p w14:paraId="127355F3">
      <w:pPr>
        <w:pStyle w:val="5"/>
        <w:tabs>
          <w:tab w:val="left" w:pos="944"/>
        </w:tabs>
        <w:adjustRightInd w:val="0"/>
        <w:snapToGrid w:val="0"/>
        <w:spacing w:line="360" w:lineRule="auto"/>
        <w:ind w:left="440" w:leftChars="200"/>
        <w:rPr>
          <w:rFonts w:hint="eastAsia" w:ascii="宋体" w:hAnsi="宋体" w:eastAsia="宋体" w:cs="宋体"/>
          <w:b w:val="0"/>
          <w:bCs w:val="0"/>
          <w:highlight w:val="none"/>
        </w:rPr>
      </w:pPr>
      <w:r>
        <w:rPr>
          <w:rFonts w:hint="eastAsia" w:ascii="宋体" w:hAnsi="宋体" w:eastAsia="宋体" w:cs="宋体"/>
          <w:b w:val="0"/>
          <w:bCs w:val="0"/>
          <w:highlight w:val="none"/>
          <w:lang w:val="en-US"/>
        </w:rPr>
        <w:t>23.3</w:t>
      </w:r>
      <w:r>
        <w:rPr>
          <w:rFonts w:hint="eastAsia" w:ascii="宋体" w:hAnsi="宋体" w:eastAsia="宋体" w:cs="宋体"/>
          <w:b w:val="0"/>
          <w:bCs w:val="0"/>
          <w:highlight w:val="none"/>
        </w:rPr>
        <w:t>谈判方法</w:t>
      </w:r>
    </w:p>
    <w:p w14:paraId="272A7B63">
      <w:pPr>
        <w:pStyle w:val="25"/>
        <w:adjustRightInd w:val="0"/>
        <w:snapToGrid w:val="0"/>
        <w:spacing w:line="360" w:lineRule="auto"/>
        <w:ind w:left="440" w:leftChars="200" w:firstLine="0"/>
        <w:rPr>
          <w:rFonts w:hint="eastAsia" w:ascii="宋体" w:hAnsi="宋体" w:eastAsia="宋体" w:cs="宋体"/>
          <w:sz w:val="24"/>
          <w:highlight w:val="none"/>
        </w:rPr>
      </w:pPr>
      <w:r>
        <w:rPr>
          <w:rFonts w:hint="eastAsia" w:ascii="宋体" w:hAnsi="宋体" w:eastAsia="宋体" w:cs="宋体"/>
          <w:sz w:val="24"/>
          <w:szCs w:val="24"/>
          <w:highlight w:val="none"/>
        </w:rPr>
        <w:t>采用最低价评审法。</w:t>
      </w:r>
      <w:r>
        <w:rPr>
          <w:rFonts w:hint="eastAsia" w:ascii="宋体" w:hAnsi="宋体" w:eastAsia="宋体" w:cs="宋体"/>
          <w:sz w:val="24"/>
          <w:highlight w:val="none"/>
        </w:rPr>
        <w:t>响应文件满足谈判文件全部实质性要求的且报价最低的谈判供</w:t>
      </w:r>
    </w:p>
    <w:p w14:paraId="0304D1C7">
      <w:pPr>
        <w:pStyle w:val="25"/>
        <w:adjustRightInd w:val="0"/>
        <w:snapToGrid w:val="0"/>
        <w:spacing w:line="360" w:lineRule="auto"/>
        <w:ind w:left="0" w:firstLine="0"/>
        <w:rPr>
          <w:rFonts w:hint="eastAsia" w:ascii="宋体" w:hAnsi="宋体" w:eastAsia="宋体" w:cs="宋体"/>
          <w:sz w:val="24"/>
          <w:highlight w:val="none"/>
        </w:rPr>
      </w:pPr>
      <w:r>
        <w:rPr>
          <w:rFonts w:hint="eastAsia" w:ascii="宋体" w:hAnsi="宋体" w:eastAsia="宋体" w:cs="宋体"/>
          <w:sz w:val="24"/>
          <w:highlight w:val="none"/>
        </w:rPr>
        <w:t>应商为中标人。</w:t>
      </w:r>
    </w:p>
    <w:p w14:paraId="79F02485">
      <w:pPr>
        <w:pStyle w:val="25"/>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谈判小组将分别与响应文件均能满足谈判文件实质性要求的供应商进行谈判，开标结束后请供应商在报名系统中等待二轮或多轮报价（</w:t>
      </w:r>
      <w:r>
        <w:rPr>
          <w:rFonts w:hint="eastAsia" w:ascii="宋体" w:hAnsi="宋体" w:eastAsia="宋体" w:cs="宋体"/>
          <w:sz w:val="24"/>
          <w:szCs w:val="24"/>
          <w:highlight w:val="none"/>
          <w:lang w:val="en-US"/>
        </w:rPr>
        <w:t>谈判响应函上为第一轮报价</w:t>
      </w:r>
      <w:r>
        <w:rPr>
          <w:rFonts w:hint="eastAsia" w:ascii="宋体" w:hAnsi="宋体" w:eastAsia="宋体" w:cs="宋体"/>
          <w:sz w:val="24"/>
          <w:szCs w:val="24"/>
          <w:highlight w:val="none"/>
        </w:rPr>
        <w:t>）；每</w:t>
      </w:r>
      <w:r>
        <w:rPr>
          <w:rFonts w:hint="eastAsia" w:ascii="宋体" w:hAnsi="宋体" w:eastAsia="宋体" w:cs="宋体"/>
          <w:sz w:val="24"/>
          <w:szCs w:val="24"/>
          <w:highlight w:val="none"/>
          <w:lang w:val="en-US"/>
        </w:rPr>
        <w:t>轮</w:t>
      </w:r>
      <w:r>
        <w:rPr>
          <w:rFonts w:hint="eastAsia" w:ascii="宋体" w:hAnsi="宋体" w:eastAsia="宋体" w:cs="宋体"/>
          <w:sz w:val="24"/>
          <w:szCs w:val="24"/>
          <w:highlight w:val="none"/>
        </w:rPr>
        <w:t>的报价由供应商自定，谈判小组不作限制，但每次的报价不得高于上次报价（可以等于或小于）；供应商最终报价最低者为成交供应商。</w:t>
      </w:r>
    </w:p>
    <w:p w14:paraId="5B3DC4A9">
      <w:pPr>
        <w:pStyle w:val="25"/>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23.3.1审查供应商资质；</w:t>
      </w:r>
    </w:p>
    <w:p w14:paraId="784F2E9F">
      <w:pPr>
        <w:pStyle w:val="25"/>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23.3.2审查供应商对货物技术参数、质保及售后等要求的响应情况；</w:t>
      </w:r>
    </w:p>
    <w:p w14:paraId="70580462">
      <w:pPr>
        <w:pStyle w:val="25"/>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23.3.3比较供应商的报价；</w:t>
      </w:r>
    </w:p>
    <w:p w14:paraId="1D45E1D7">
      <w:pPr>
        <w:pStyle w:val="25"/>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23.3.4对其它内容进行分析比较</w:t>
      </w:r>
    </w:p>
    <w:p w14:paraId="7454A96F">
      <w:pPr>
        <w:pStyle w:val="25"/>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通过资格性审查和符合性审查的供应商须在谈判小组设定的时间内使用本单位CA证书在网上进行二次（多次）报价。</w:t>
      </w:r>
    </w:p>
    <w:p w14:paraId="2F1ECF6E">
      <w:pPr>
        <w:pStyle w:val="25"/>
        <w:adjustRightInd w:val="0"/>
        <w:snapToGrid w:val="0"/>
        <w:spacing w:line="360" w:lineRule="auto"/>
        <w:ind w:left="0" w:firstLine="480" w:firstLineChars="200"/>
        <w:rPr>
          <w:rFonts w:hint="eastAsia" w:ascii="宋体" w:hAnsi="宋体" w:eastAsia="宋体" w:cs="宋体"/>
          <w:color w:val="000000"/>
          <w:highlight w:val="none"/>
        </w:rPr>
      </w:pPr>
      <w:r>
        <w:rPr>
          <w:rFonts w:hint="eastAsia" w:ascii="宋体" w:hAnsi="宋体" w:eastAsia="宋体" w:cs="宋体"/>
          <w:color w:val="000000"/>
          <w:sz w:val="24"/>
          <w:szCs w:val="24"/>
          <w:highlight w:val="none"/>
          <w:lang w:val="en-US" w:eastAsia="zh-CN"/>
        </w:rPr>
        <w:t>注：开标后请供应商在计算前等待报价。</w:t>
      </w:r>
    </w:p>
    <w:p w14:paraId="11C8615A">
      <w:pPr>
        <w:adjustRightInd w:val="0"/>
        <w:snapToGri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24、保密及其它注意事项</w:t>
      </w:r>
    </w:p>
    <w:p w14:paraId="38E2E584">
      <w:pPr>
        <w:pStyle w:val="25"/>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9BA37A9">
      <w:pPr>
        <w:pStyle w:val="25"/>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4965EDCC">
      <w:pPr>
        <w:pStyle w:val="25"/>
        <w:numPr>
          <w:ilvl w:val="1"/>
          <w:numId w:val="14"/>
        </w:numPr>
        <w:tabs>
          <w:tab w:val="left" w:pos="934"/>
        </w:tabs>
        <w:adjustRightInd w:val="0"/>
        <w:snapToGrid w:val="0"/>
        <w:spacing w:line="360" w:lineRule="auto"/>
        <w:ind w:left="0" w:firstLine="480" w:firstLineChars="200"/>
        <w:rPr>
          <w:rFonts w:hint="eastAsia" w:ascii="宋体" w:hAnsi="宋体" w:eastAsia="宋体" w:cs="宋体"/>
          <w:highlight w:val="none"/>
        </w:rPr>
      </w:pPr>
      <w:r>
        <w:rPr>
          <w:rFonts w:hint="eastAsia" w:ascii="宋体" w:hAnsi="宋体" w:eastAsia="宋体" w:cs="宋体"/>
          <w:sz w:val="24"/>
          <w:highlight w:val="none"/>
        </w:rPr>
        <w:t>为保证谈判的公正性，谈判后直至授予成交供应商合同，谈判小组成员不得与谈判供应商私下交换意见。</w:t>
      </w:r>
    </w:p>
    <w:p w14:paraId="06C6A1EE">
      <w:pPr>
        <w:pStyle w:val="25"/>
        <w:numPr>
          <w:ilvl w:val="1"/>
          <w:numId w:val="14"/>
        </w:numPr>
        <w:tabs>
          <w:tab w:val="left" w:pos="932"/>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在谈判过程中，如有谈判供应商联合故意抬高报价或其他不正当行为， 谈判组织人有权终止谈判。</w:t>
      </w:r>
    </w:p>
    <w:p w14:paraId="48520D35">
      <w:pPr>
        <w:pStyle w:val="4"/>
        <w:adjustRightInd w:val="0"/>
        <w:snapToGrid w:val="0"/>
        <w:spacing w:line="360" w:lineRule="auto"/>
        <w:ind w:left="0" w:firstLine="572" w:firstLineChars="200"/>
        <w:rPr>
          <w:rFonts w:hint="eastAsia" w:ascii="宋体" w:hAnsi="宋体" w:eastAsia="宋体" w:cs="宋体"/>
          <w:highlight w:val="none"/>
        </w:rPr>
      </w:pPr>
      <w:r>
        <w:rPr>
          <w:rFonts w:hint="eastAsia" w:ascii="宋体" w:hAnsi="宋体" w:eastAsia="宋体" w:cs="宋体"/>
          <w:w w:val="95"/>
          <w:highlight w:val="none"/>
        </w:rPr>
        <w:t>F、授予合同</w:t>
      </w:r>
    </w:p>
    <w:p w14:paraId="095EE246">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25、成交原则</w:t>
      </w:r>
    </w:p>
    <w:p w14:paraId="36CD209E">
      <w:pPr>
        <w:pStyle w:val="25"/>
        <w:numPr>
          <w:ilvl w:val="1"/>
          <w:numId w:val="15"/>
        </w:numPr>
        <w:tabs>
          <w:tab w:val="left" w:pos="939"/>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严格按照谈判文件的要求和条件进行谈判，择优确定成交供应商。</w:t>
      </w:r>
    </w:p>
    <w:p w14:paraId="09D9C231">
      <w:pPr>
        <w:pStyle w:val="25"/>
        <w:numPr>
          <w:ilvl w:val="1"/>
          <w:numId w:val="15"/>
        </w:numPr>
        <w:tabs>
          <w:tab w:val="left" w:pos="934"/>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本次谈判，合同将授予符合谈判文件要求，能提供最佳服务、综合评价最优且报价最低的谈判供应商。</w:t>
      </w:r>
    </w:p>
    <w:p w14:paraId="49EFF63B">
      <w:pPr>
        <w:pStyle w:val="5"/>
        <w:numPr>
          <w:ilvl w:val="0"/>
          <w:numId w:val="16"/>
        </w:numPr>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成交通知</w:t>
      </w:r>
    </w:p>
    <w:p w14:paraId="2F25F0EF">
      <w:pPr>
        <w:pStyle w:val="25"/>
        <w:numPr>
          <w:ilvl w:val="0"/>
          <w:numId w:val="0"/>
        </w:numPr>
        <w:tabs>
          <w:tab w:val="left" w:pos="939"/>
        </w:tabs>
        <w:adjustRightInd w:val="0"/>
        <w:snapToGrid w:val="0"/>
        <w:spacing w:line="360" w:lineRule="auto"/>
        <w:ind w:leftChars="200" w:firstLine="240" w:firstLineChars="100"/>
        <w:jc w:val="both"/>
        <w:rPr>
          <w:rFonts w:hint="eastAsia" w:ascii="宋体" w:hAnsi="宋体" w:eastAsia="宋体" w:cs="宋体"/>
          <w:highlight w:val="none"/>
        </w:rPr>
      </w:pPr>
      <w:r>
        <w:rPr>
          <w:rFonts w:hint="eastAsia" w:ascii="宋体" w:hAnsi="宋体" w:eastAsia="宋体" w:cs="宋体"/>
          <w:sz w:val="24"/>
          <w:highlight w:val="none"/>
        </w:rPr>
        <w:t>成交供应商确定后，</w:t>
      </w:r>
      <w:r>
        <w:rPr>
          <w:rFonts w:hint="eastAsia" w:ascii="宋体" w:hAnsi="宋体" w:eastAsia="宋体" w:cs="宋体"/>
          <w:sz w:val="24"/>
          <w:highlight w:val="none"/>
          <w:lang w:val="en-US"/>
        </w:rPr>
        <w:t>采购中心</w:t>
      </w:r>
      <w:r>
        <w:rPr>
          <w:rFonts w:hint="eastAsia" w:ascii="宋体" w:hAnsi="宋体" w:eastAsia="宋体" w:cs="宋体"/>
          <w:sz w:val="24"/>
          <w:highlight w:val="none"/>
        </w:rPr>
        <w:t>将</w:t>
      </w:r>
      <w:r>
        <w:rPr>
          <w:rFonts w:hint="eastAsia" w:ascii="宋体" w:hAnsi="宋体" w:eastAsia="宋体" w:cs="宋体"/>
          <w:sz w:val="24"/>
          <w:highlight w:val="none"/>
          <w:lang w:val="en-US"/>
        </w:rPr>
        <w:t>成交</w:t>
      </w:r>
      <w:r>
        <w:rPr>
          <w:rFonts w:hint="eastAsia" w:ascii="宋体" w:hAnsi="宋体" w:eastAsia="宋体" w:cs="宋体"/>
          <w:sz w:val="24"/>
          <w:highlight w:val="none"/>
        </w:rPr>
        <w:t>结果在河南省政府采购网进行公</w:t>
      </w:r>
      <w:r>
        <w:rPr>
          <w:rFonts w:hint="eastAsia" w:ascii="宋体" w:hAnsi="宋体" w:eastAsia="宋体" w:cs="宋体"/>
          <w:sz w:val="24"/>
          <w:highlight w:val="none"/>
          <w:lang w:val="en-US" w:eastAsia="zh-CN"/>
        </w:rPr>
        <w:t>告</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在发出成交公告后请采购人、中标人登录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ascii="宋体" w:hAnsi="宋体" w:eastAsia="宋体" w:cs="宋体"/>
          <w:sz w:val="24"/>
          <w:highlight w:val="none"/>
          <w:lang w:val="en-US" w:eastAsia="zh-CN"/>
        </w:rPr>
        <w:t>成交</w:t>
      </w:r>
      <w:r>
        <w:rPr>
          <w:rFonts w:hint="eastAsia" w:ascii="宋体" w:hAnsi="宋体" w:eastAsia="宋体" w:cs="宋体"/>
          <w:sz w:val="24"/>
          <w:highlight w:val="none"/>
        </w:rPr>
        <w:t>通知书。</w:t>
      </w:r>
    </w:p>
    <w:p w14:paraId="30A78B26">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27、质疑处理</w:t>
      </w:r>
    </w:p>
    <w:p w14:paraId="67945CA3">
      <w:pPr>
        <w:pStyle w:val="25"/>
        <w:numPr>
          <w:ilvl w:val="1"/>
          <w:numId w:val="17"/>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sz w:val="24"/>
          <w:highlight w:val="none"/>
          <w:lang w:val="en-US"/>
        </w:rPr>
        <w:t>等</w:t>
      </w:r>
      <w:r>
        <w:rPr>
          <w:rFonts w:hint="eastAsia" w:ascii="宋体" w:hAnsi="宋体" w:eastAsia="宋体" w:cs="宋体"/>
          <w:sz w:val="24"/>
          <w:highlight w:val="none"/>
        </w:rPr>
        <w:t>相关法律、法规的规定程序向采购人进行质疑，但须对质疑内容的真实性承担责任。</w:t>
      </w:r>
    </w:p>
    <w:p w14:paraId="6B8ECD89">
      <w:pPr>
        <w:pStyle w:val="25"/>
        <w:numPr>
          <w:ilvl w:val="1"/>
          <w:numId w:val="17"/>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6423CDF">
      <w:pPr>
        <w:pStyle w:val="5"/>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28、签订合同</w:t>
      </w:r>
    </w:p>
    <w:p w14:paraId="5F53AB5B">
      <w:pPr>
        <w:pStyle w:val="25"/>
        <w:numPr>
          <w:ilvl w:val="0"/>
          <w:numId w:val="0"/>
        </w:numPr>
        <w:tabs>
          <w:tab w:val="left" w:pos="941"/>
        </w:tabs>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28.1</w:t>
      </w:r>
      <w:r>
        <w:rPr>
          <w:rFonts w:hint="eastAsia" w:ascii="宋体" w:hAnsi="宋体" w:eastAsia="宋体" w:cs="宋体"/>
          <w:sz w:val="24"/>
          <w:highlight w:val="none"/>
        </w:rPr>
        <w:t>采购人、成交供应商按照竞争性磋商文件确定的合同文本签订政府采购合同。成交供应商应按照成交通知规定的时间、地点与采购人签订成交合同，供应商对此项内容做出书面保证，否则给采购人造成损失的，谈判供应商还应承担赔偿责任。</w:t>
      </w:r>
    </w:p>
    <w:p w14:paraId="6FCF6E5C">
      <w:pPr>
        <w:pStyle w:val="25"/>
        <w:numPr>
          <w:ilvl w:val="0"/>
          <w:numId w:val="0"/>
        </w:numPr>
        <w:tabs>
          <w:tab w:val="left" w:pos="941"/>
        </w:tabs>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28.2</w:t>
      </w:r>
      <w:r>
        <w:rPr>
          <w:rFonts w:hint="eastAsia" w:ascii="宋体" w:hAnsi="宋体" w:eastAsia="宋体" w:cs="宋体"/>
          <w:sz w:val="24"/>
          <w:highlight w:val="none"/>
        </w:rPr>
        <w:t>履约保证金</w:t>
      </w:r>
      <w:r>
        <w:rPr>
          <w:rFonts w:hint="eastAsia" w:ascii="宋体" w:hAnsi="宋体" w:eastAsia="宋体" w:cs="宋体"/>
          <w:sz w:val="24"/>
          <w:highlight w:val="none"/>
          <w:lang w:val="en-US"/>
        </w:rPr>
        <w:t>原则上不再缴纳</w:t>
      </w:r>
      <w:r>
        <w:rPr>
          <w:rFonts w:hint="eastAsia" w:ascii="宋体" w:hAnsi="宋体" w:eastAsia="宋体" w:cs="宋体"/>
          <w:sz w:val="24"/>
          <w:highlight w:val="none"/>
        </w:rPr>
        <w:t>，</w:t>
      </w:r>
      <w:r>
        <w:rPr>
          <w:rFonts w:hint="eastAsia" w:ascii="宋体" w:hAnsi="宋体" w:eastAsia="宋体" w:cs="宋体"/>
          <w:sz w:val="24"/>
          <w:highlight w:val="none"/>
          <w:lang w:val="en-US"/>
        </w:rPr>
        <w:t>具体项目由采购人和成交供应商在签订合同时约定（</w:t>
      </w:r>
      <w:r>
        <w:rPr>
          <w:rFonts w:hint="eastAsia" w:ascii="宋体" w:hAnsi="宋体" w:eastAsia="宋体" w:cs="宋体"/>
          <w:sz w:val="24"/>
          <w:highlight w:val="none"/>
        </w:rPr>
        <w:t>履约完成后履约保证金</w:t>
      </w:r>
      <w:r>
        <w:rPr>
          <w:rFonts w:hint="eastAsia" w:ascii="宋体" w:hAnsi="宋体" w:eastAsia="宋体" w:cs="宋体"/>
          <w:sz w:val="24"/>
          <w:highlight w:val="none"/>
          <w:lang w:val="en-US"/>
        </w:rPr>
        <w:t>将</w:t>
      </w:r>
      <w:r>
        <w:rPr>
          <w:rFonts w:hint="eastAsia" w:ascii="宋体" w:hAnsi="宋体" w:eastAsia="宋体" w:cs="宋体"/>
          <w:sz w:val="24"/>
          <w:highlight w:val="none"/>
        </w:rPr>
        <w:t>无息退还</w:t>
      </w:r>
      <w:r>
        <w:rPr>
          <w:rFonts w:hint="eastAsia" w:ascii="宋体" w:hAnsi="宋体" w:eastAsia="宋体" w:cs="宋体"/>
          <w:sz w:val="24"/>
          <w:highlight w:val="none"/>
          <w:lang w:val="en-US"/>
        </w:rPr>
        <w:t>）</w:t>
      </w:r>
      <w:r>
        <w:rPr>
          <w:rFonts w:hint="eastAsia" w:ascii="宋体" w:hAnsi="宋体" w:eastAsia="宋体" w:cs="宋体"/>
          <w:sz w:val="24"/>
          <w:highlight w:val="none"/>
        </w:rPr>
        <w:t>。</w:t>
      </w:r>
    </w:p>
    <w:p w14:paraId="13DD45CF">
      <w:pPr>
        <w:pStyle w:val="25"/>
        <w:numPr>
          <w:ilvl w:val="0"/>
          <w:numId w:val="0"/>
        </w:numPr>
        <w:tabs>
          <w:tab w:val="left" w:pos="941"/>
        </w:tabs>
        <w:adjustRightInd w:val="0"/>
        <w:snapToGrid w:val="0"/>
        <w:spacing w:line="360" w:lineRule="auto"/>
        <w:ind w:firstLine="480" w:firstLineChars="200"/>
        <w:rPr>
          <w:rFonts w:hint="eastAsia" w:ascii="宋体" w:hAnsi="宋体" w:eastAsia="宋体" w:cs="宋体"/>
          <w:sz w:val="24"/>
          <w:highlight w:val="none"/>
          <w:lang w:val="en-US"/>
        </w:rPr>
      </w:pPr>
      <w:r>
        <w:rPr>
          <w:rFonts w:hint="eastAsia" w:cs="宋体"/>
          <w:sz w:val="24"/>
          <w:highlight w:val="none"/>
          <w:lang w:val="en-US" w:eastAsia="zh-CN"/>
        </w:rPr>
        <w:t>28.3</w:t>
      </w:r>
      <w:r>
        <w:rPr>
          <w:rFonts w:hint="eastAsia" w:ascii="宋体" w:hAnsi="宋体" w:eastAsia="宋体" w:cs="宋体"/>
          <w:sz w:val="24"/>
          <w:highlight w:val="none"/>
        </w:rPr>
        <w:t>谈判组织人签发的成交通知书、谈判文件、成交供应商的谈判响</w:t>
      </w:r>
      <w:r>
        <w:rPr>
          <w:rFonts w:hint="eastAsia" w:ascii="宋体" w:hAnsi="宋体" w:eastAsia="宋体" w:cs="宋体"/>
          <w:sz w:val="24"/>
          <w:highlight w:val="none"/>
          <w:lang w:val="en-US"/>
        </w:rPr>
        <w:t>应文件</w:t>
      </w:r>
      <w:bookmarkStart w:id="63" w:name="_bookmark4"/>
      <w:bookmarkEnd w:id="63"/>
      <w:r>
        <w:rPr>
          <w:rFonts w:hint="eastAsia" w:ascii="宋体" w:hAnsi="宋体" w:eastAsia="宋体" w:cs="宋体"/>
          <w:sz w:val="24"/>
          <w:highlight w:val="none"/>
          <w:lang w:val="en-US"/>
        </w:rPr>
        <w:t>及其澄清文件等，均为签定合同的依据。</w:t>
      </w:r>
    </w:p>
    <w:p w14:paraId="38C778F7">
      <w:pPr>
        <w:pStyle w:val="25"/>
        <w:numPr>
          <w:ilvl w:val="0"/>
          <w:numId w:val="0"/>
        </w:numPr>
        <w:tabs>
          <w:tab w:val="left" w:pos="941"/>
        </w:tabs>
        <w:adjustRightInd w:val="0"/>
        <w:snapToGrid w:val="0"/>
        <w:spacing w:line="360" w:lineRule="auto"/>
        <w:ind w:firstLine="480" w:firstLineChars="200"/>
        <w:jc w:val="both"/>
        <w:rPr>
          <w:rFonts w:hint="eastAsia" w:ascii="宋体" w:hAnsi="宋体" w:eastAsia="宋体" w:cs="宋体"/>
          <w:sz w:val="24"/>
          <w:highlight w:val="none"/>
        </w:rPr>
      </w:pPr>
      <w:r>
        <w:rPr>
          <w:rFonts w:hint="eastAsia" w:cs="宋体"/>
          <w:sz w:val="24"/>
          <w:highlight w:val="none"/>
          <w:lang w:val="en-US" w:eastAsia="zh-CN"/>
        </w:rPr>
        <w:t>28.4</w:t>
      </w:r>
      <w:r>
        <w:rPr>
          <w:rFonts w:hint="eastAsia" w:ascii="宋体" w:hAnsi="宋体" w:eastAsia="宋体" w:cs="宋体"/>
          <w:sz w:val="24"/>
          <w:highlight w:val="none"/>
        </w:rPr>
        <w:t>签订合同后，成交供应商不得将本项目及其他相关服务进行转包</w:t>
      </w:r>
      <w:r>
        <w:rPr>
          <w:rFonts w:hint="eastAsia" w:ascii="宋体" w:hAnsi="宋体" w:eastAsia="宋体" w:cs="宋体"/>
          <w:sz w:val="24"/>
          <w:highlight w:val="none"/>
          <w:lang w:eastAsia="zh-CN"/>
        </w:rPr>
        <w:t>，并提供承诺</w:t>
      </w:r>
      <w:r>
        <w:rPr>
          <w:rFonts w:hint="eastAsia" w:ascii="宋体" w:hAnsi="宋体" w:eastAsia="宋体" w:cs="宋体"/>
          <w:sz w:val="24"/>
          <w:highlight w:val="none"/>
        </w:rPr>
        <w:t>。未经采购人同意，成交供应商不得采用分包的形式履行合同。否则采购人有权终止合同。转包或分包造成采购人损失的，成交供应商还应承担相应赔偿责任。</w:t>
      </w:r>
    </w:p>
    <w:p w14:paraId="7A018A82">
      <w:pPr>
        <w:pStyle w:val="25"/>
        <w:numPr>
          <w:ilvl w:val="0"/>
          <w:numId w:val="0"/>
        </w:numPr>
        <w:tabs>
          <w:tab w:val="left" w:pos="941"/>
        </w:tabs>
        <w:adjustRightInd w:val="0"/>
        <w:snapToGrid w:val="0"/>
        <w:spacing w:line="360" w:lineRule="auto"/>
        <w:ind w:firstLine="480" w:firstLineChars="200"/>
        <w:jc w:val="both"/>
        <w:rPr>
          <w:rFonts w:hint="eastAsia" w:ascii="宋体" w:hAnsi="宋体" w:eastAsia="宋体" w:cs="宋体"/>
          <w:sz w:val="24"/>
          <w:highlight w:val="none"/>
        </w:rPr>
      </w:pPr>
      <w:r>
        <w:rPr>
          <w:rFonts w:hint="eastAsia" w:cs="宋体"/>
          <w:sz w:val="24"/>
          <w:highlight w:val="none"/>
          <w:lang w:val="en-US" w:eastAsia="zh-CN"/>
        </w:rPr>
        <w:t>28.5</w:t>
      </w:r>
      <w:r>
        <w:rPr>
          <w:rFonts w:hint="eastAsia" w:ascii="宋体" w:hAnsi="宋体" w:eastAsia="宋体" w:cs="宋体"/>
          <w:sz w:val="24"/>
          <w:highlight w:val="none"/>
        </w:rPr>
        <w:t>如最终用户或成交供应商拒签合同，则按违约处理。</w:t>
      </w:r>
      <w:r>
        <w:rPr>
          <w:rFonts w:hint="eastAsia" w:ascii="宋体" w:hAnsi="宋体" w:eastAsia="宋体" w:cs="宋体"/>
          <w:sz w:val="24"/>
          <w:highlight w:val="none"/>
          <w:lang w:val="en-US"/>
        </w:rPr>
        <w:t>采购</w:t>
      </w:r>
      <w:r>
        <w:rPr>
          <w:rFonts w:hint="eastAsia" w:ascii="宋体" w:hAnsi="宋体" w:eastAsia="宋体" w:cs="宋体"/>
          <w:sz w:val="24"/>
          <w:highlight w:val="none"/>
        </w:rPr>
        <w:t>人对违约方收取成交金额</w:t>
      </w:r>
      <w:r>
        <w:rPr>
          <w:rFonts w:hint="eastAsia" w:ascii="宋体" w:hAnsi="宋体" w:eastAsia="宋体" w:cs="宋体"/>
          <w:spacing w:val="2"/>
          <w:sz w:val="24"/>
          <w:highlight w:val="none"/>
          <w:lang w:val="en-US"/>
        </w:rPr>
        <w:t>一定数额</w:t>
      </w:r>
      <w:r>
        <w:rPr>
          <w:rFonts w:hint="eastAsia" w:ascii="宋体" w:hAnsi="宋体" w:eastAsia="宋体" w:cs="宋体"/>
          <w:sz w:val="24"/>
          <w:highlight w:val="none"/>
        </w:rPr>
        <w:t>的违约金（</w:t>
      </w:r>
      <w:r>
        <w:rPr>
          <w:rFonts w:hint="eastAsia" w:ascii="宋体" w:hAnsi="宋体" w:eastAsia="宋体" w:cs="宋体"/>
          <w:sz w:val="24"/>
          <w:highlight w:val="none"/>
          <w:lang w:val="en-US"/>
        </w:rPr>
        <w:t>不超过成交金额的2%</w:t>
      </w:r>
      <w:r>
        <w:rPr>
          <w:rFonts w:hint="eastAsia" w:ascii="宋体" w:hAnsi="宋体" w:eastAsia="宋体" w:cs="宋体"/>
          <w:sz w:val="24"/>
          <w:highlight w:val="none"/>
        </w:rPr>
        <w:t>）。</w:t>
      </w:r>
    </w:p>
    <w:p w14:paraId="6E11070D">
      <w:pPr>
        <w:pStyle w:val="25"/>
        <w:numPr>
          <w:ilvl w:val="0"/>
          <w:numId w:val="0"/>
        </w:numPr>
        <w:tabs>
          <w:tab w:val="left" w:pos="941"/>
        </w:tabs>
        <w:adjustRightInd w:val="0"/>
        <w:snapToGrid w:val="0"/>
        <w:spacing w:line="360" w:lineRule="auto"/>
        <w:ind w:firstLine="480" w:firstLineChars="200"/>
        <w:jc w:val="both"/>
        <w:rPr>
          <w:rFonts w:hint="eastAsia" w:ascii="宋体" w:hAnsi="宋体" w:eastAsia="宋体" w:cs="宋体"/>
          <w:highlight w:val="none"/>
        </w:rPr>
      </w:pPr>
      <w:r>
        <w:rPr>
          <w:rFonts w:hint="eastAsia" w:cs="宋体"/>
          <w:sz w:val="24"/>
          <w:highlight w:val="none"/>
          <w:lang w:val="en-US" w:eastAsia="zh-CN"/>
        </w:rPr>
        <w:t>28.6</w:t>
      </w:r>
      <w:r>
        <w:rPr>
          <w:rFonts w:hint="eastAsia" w:ascii="宋体" w:hAnsi="宋体" w:eastAsia="宋体" w:cs="宋体"/>
          <w:sz w:val="24"/>
          <w:highlight w:val="none"/>
        </w:rPr>
        <w:t>如成交供应商拒签合同，</w:t>
      </w:r>
      <w:r>
        <w:rPr>
          <w:rFonts w:hint="eastAsia" w:ascii="宋体" w:hAnsi="宋体" w:eastAsia="宋体" w:cs="宋体"/>
          <w:sz w:val="24"/>
          <w:highlight w:val="none"/>
          <w:lang w:val="en-US"/>
        </w:rPr>
        <w:t>采购人</w:t>
      </w:r>
      <w:r>
        <w:rPr>
          <w:rFonts w:hint="eastAsia" w:ascii="宋体" w:hAnsi="宋体" w:eastAsia="宋体" w:cs="宋体"/>
          <w:sz w:val="24"/>
          <w:highlight w:val="none"/>
        </w:rPr>
        <w:t>可</w:t>
      </w:r>
      <w:r>
        <w:rPr>
          <w:rFonts w:hint="eastAsia" w:ascii="宋体" w:hAnsi="宋体" w:eastAsia="宋体" w:cs="宋体"/>
          <w:sz w:val="24"/>
          <w:highlight w:val="none"/>
          <w:lang w:val="en-US"/>
        </w:rPr>
        <w:t>依次递补下一名</w:t>
      </w:r>
      <w:r>
        <w:rPr>
          <w:rFonts w:hint="eastAsia" w:ascii="宋体" w:hAnsi="宋体" w:eastAsia="宋体" w:cs="宋体"/>
          <w:sz w:val="24"/>
          <w:highlight w:val="none"/>
        </w:rPr>
        <w:t>成交</w:t>
      </w:r>
      <w:r>
        <w:rPr>
          <w:rFonts w:hint="eastAsia" w:ascii="宋体" w:hAnsi="宋体" w:eastAsia="宋体" w:cs="宋体"/>
          <w:sz w:val="24"/>
          <w:highlight w:val="none"/>
          <w:lang w:val="en-US"/>
        </w:rPr>
        <w:t>候选人或依法进行二次邀请谈判</w:t>
      </w:r>
      <w:r>
        <w:rPr>
          <w:rFonts w:hint="eastAsia" w:ascii="宋体" w:hAnsi="宋体" w:eastAsia="宋体" w:cs="宋体"/>
          <w:sz w:val="24"/>
          <w:highlight w:val="none"/>
        </w:rPr>
        <w:t>。</w:t>
      </w:r>
    </w:p>
    <w:p w14:paraId="57145C12">
      <w:pPr>
        <w:pStyle w:val="25"/>
        <w:tabs>
          <w:tab w:val="left" w:pos="941"/>
        </w:tabs>
        <w:adjustRightInd w:val="0"/>
        <w:snapToGrid w:val="0"/>
        <w:spacing w:line="360" w:lineRule="auto"/>
        <w:ind w:left="480" w:firstLine="0"/>
        <w:jc w:val="both"/>
        <w:rPr>
          <w:rFonts w:hint="eastAsia" w:ascii="宋体" w:hAnsi="宋体" w:eastAsia="宋体" w:cs="宋体"/>
          <w:b/>
          <w:sz w:val="24"/>
          <w:highlight w:val="none"/>
        </w:rPr>
      </w:pPr>
      <w:r>
        <w:rPr>
          <w:rFonts w:hint="eastAsia" w:ascii="宋体" w:hAnsi="宋体" w:eastAsia="宋体" w:cs="宋体"/>
          <w:b/>
          <w:sz w:val="24"/>
          <w:highlight w:val="none"/>
        </w:rPr>
        <w:t>29.技术响应说明</w:t>
      </w:r>
    </w:p>
    <w:p w14:paraId="13AFC9D3">
      <w:pPr>
        <w:tabs>
          <w:tab w:val="left" w:pos="941"/>
        </w:tabs>
        <w:adjustRightInd w:val="0"/>
        <w:snapToGrid w:val="0"/>
        <w:spacing w:line="360" w:lineRule="auto"/>
        <w:ind w:firstLine="480" w:firstLineChars="200"/>
        <w:jc w:val="both"/>
        <w:rPr>
          <w:rFonts w:hint="eastAsia" w:ascii="宋体" w:hAnsi="宋体" w:eastAsia="宋体" w:cs="宋体"/>
          <w:highlight w:val="none"/>
        </w:rPr>
      </w:pPr>
      <w:r>
        <w:rPr>
          <w:rFonts w:hint="eastAsia" w:ascii="宋体" w:hAnsi="宋体" w:eastAsia="宋体" w:cs="宋体"/>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1F4C0EF9">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30未尽事宜</w:t>
      </w:r>
    </w:p>
    <w:p w14:paraId="1B317B14">
      <w:pPr>
        <w:spacing w:line="360" w:lineRule="auto"/>
        <w:ind w:firstLine="549"/>
        <w:rPr>
          <w:rFonts w:hint="eastAsia" w:ascii="宋体" w:hAnsi="宋体" w:eastAsia="宋体" w:cs="宋体"/>
          <w:sz w:val="24"/>
          <w:highlight w:val="none"/>
          <w:lang w:val="en-US"/>
        </w:rPr>
      </w:pPr>
      <w:r>
        <w:rPr>
          <w:rFonts w:hint="eastAsia" w:ascii="宋体" w:hAnsi="宋体" w:eastAsia="宋体" w:cs="宋体"/>
          <w:sz w:val="24"/>
          <w:highlight w:val="none"/>
          <w:lang w:val="en-US"/>
        </w:rPr>
        <w:t>30.1</w:t>
      </w:r>
      <w:r>
        <w:rPr>
          <w:rFonts w:hint="eastAsia" w:ascii="宋体" w:hAnsi="宋体" w:eastAsia="宋体" w:cs="宋体"/>
          <w:sz w:val="24"/>
          <w:highlight w:val="none"/>
        </w:rPr>
        <w:t>按《中华人民共和国政府采购法》、</w:t>
      </w:r>
      <w:r>
        <w:rPr>
          <w:rFonts w:hint="eastAsia" w:ascii="宋体" w:hAnsi="宋体" w:eastAsia="宋体" w:cs="宋体"/>
          <w:sz w:val="24"/>
          <w:highlight w:val="none"/>
          <w:lang w:val="en-US"/>
        </w:rPr>
        <w:t>《政府采购非招标采购方式管理办法》及其他有关法律法规的规定执行。</w:t>
      </w:r>
    </w:p>
    <w:p w14:paraId="705D77DE">
      <w:pPr>
        <w:spacing w:line="360" w:lineRule="auto"/>
        <w:ind w:firstLine="549"/>
        <w:rPr>
          <w:rFonts w:hint="eastAsia" w:ascii="宋体" w:hAnsi="宋体" w:eastAsia="宋体" w:cs="宋体"/>
          <w:bCs/>
          <w:sz w:val="24"/>
          <w:highlight w:val="none"/>
        </w:rPr>
      </w:pPr>
      <w:r>
        <w:rPr>
          <w:rFonts w:hint="eastAsia" w:ascii="宋体" w:hAnsi="宋体" w:eastAsia="宋体" w:cs="宋体"/>
          <w:b/>
          <w:sz w:val="24"/>
          <w:highlight w:val="none"/>
          <w:lang w:val="en-US"/>
        </w:rPr>
        <w:t>31</w:t>
      </w:r>
      <w:r>
        <w:rPr>
          <w:rFonts w:hint="eastAsia" w:ascii="宋体" w:hAnsi="宋体" w:eastAsia="宋体" w:cs="宋体"/>
          <w:b/>
          <w:sz w:val="24"/>
          <w:highlight w:val="none"/>
        </w:rPr>
        <w:t>.解释权</w:t>
      </w:r>
    </w:p>
    <w:p w14:paraId="66839E77">
      <w:pPr>
        <w:pStyle w:val="16"/>
        <w:ind w:firstLine="480" w:firstLineChars="200"/>
        <w:rPr>
          <w:rFonts w:hint="eastAsia" w:ascii="宋体" w:hAnsi="宋体" w:eastAsia="宋体" w:cs="宋体"/>
          <w:highlight w:val="none"/>
        </w:rPr>
      </w:pPr>
      <w:r>
        <w:rPr>
          <w:rFonts w:hint="eastAsia" w:ascii="宋体" w:hAnsi="宋体" w:eastAsia="宋体" w:cs="宋体"/>
          <w:bCs/>
          <w:sz w:val="24"/>
          <w:highlight w:val="none"/>
        </w:rPr>
        <w:t>本</w:t>
      </w:r>
      <w:r>
        <w:rPr>
          <w:rFonts w:hint="eastAsia" w:ascii="宋体" w:hAnsi="宋体" w:eastAsia="宋体" w:cs="宋体"/>
          <w:bCs/>
          <w:sz w:val="24"/>
          <w:highlight w:val="none"/>
          <w:lang w:val="en-US"/>
        </w:rPr>
        <w:t>谈判</w:t>
      </w:r>
      <w:r>
        <w:rPr>
          <w:rFonts w:hint="eastAsia" w:ascii="宋体" w:hAnsi="宋体" w:eastAsia="宋体" w:cs="宋体"/>
          <w:bCs/>
          <w:sz w:val="24"/>
          <w:highlight w:val="none"/>
        </w:rPr>
        <w:t>文件的解释权属于</w:t>
      </w:r>
      <w:r>
        <w:rPr>
          <w:rFonts w:hint="eastAsia" w:ascii="宋体" w:hAnsi="宋体" w:eastAsia="宋体" w:cs="宋体"/>
          <w:bCs/>
          <w:sz w:val="24"/>
          <w:highlight w:val="none"/>
          <w:lang w:val="en-US"/>
        </w:rPr>
        <w:t>采购人</w:t>
      </w:r>
      <w:r>
        <w:rPr>
          <w:rFonts w:hint="eastAsia" w:ascii="宋体" w:hAnsi="宋体" w:eastAsia="宋体" w:cs="宋体"/>
          <w:bCs/>
          <w:sz w:val="24"/>
          <w:highlight w:val="none"/>
        </w:rPr>
        <w:t>。</w:t>
      </w:r>
    </w:p>
    <w:p w14:paraId="087DE4F7">
      <w:pPr>
        <w:pStyle w:val="3"/>
        <w:tabs>
          <w:tab w:val="left" w:pos="1607"/>
        </w:tabs>
        <w:spacing w:before="41"/>
        <w:rPr>
          <w:rFonts w:hint="eastAsia" w:ascii="宋体" w:hAnsi="宋体" w:eastAsia="宋体" w:cs="宋体"/>
          <w:highlight w:val="none"/>
        </w:rPr>
      </w:pPr>
      <w:r>
        <w:rPr>
          <w:rFonts w:hint="eastAsia" w:ascii="宋体" w:hAnsi="宋体" w:eastAsia="宋体" w:cs="宋体"/>
          <w:highlight w:val="none"/>
        </w:rPr>
        <w:t>第三部分</w:t>
      </w:r>
      <w:r>
        <w:rPr>
          <w:rFonts w:hint="eastAsia" w:ascii="宋体" w:hAnsi="宋体" w:eastAsia="宋体" w:cs="宋体"/>
          <w:highlight w:val="none"/>
        </w:rPr>
        <w:tab/>
      </w:r>
      <w:r>
        <w:rPr>
          <w:rFonts w:hint="eastAsia" w:ascii="宋体" w:hAnsi="宋体" w:eastAsia="宋体" w:cs="宋体"/>
          <w:highlight w:val="none"/>
        </w:rPr>
        <w:t>谈判项目要求</w:t>
      </w:r>
    </w:p>
    <w:p w14:paraId="1F5D3869">
      <w:pPr>
        <w:pStyle w:val="6"/>
        <w:spacing w:before="4"/>
        <w:rPr>
          <w:rFonts w:hint="eastAsia" w:ascii="宋体" w:hAnsi="宋体" w:eastAsia="宋体" w:cs="宋体"/>
          <w:b/>
          <w:sz w:val="44"/>
          <w:highlight w:val="none"/>
        </w:rPr>
      </w:pPr>
    </w:p>
    <w:p w14:paraId="3DCFEB9D">
      <w:pPr>
        <w:pStyle w:val="6"/>
        <w:adjustRightInd w:val="0"/>
        <w:snapToGrid w:val="0"/>
        <w:spacing w:line="360" w:lineRule="auto"/>
        <w:ind w:firstLine="426" w:firstLineChars="200"/>
        <w:jc w:val="both"/>
        <w:rPr>
          <w:rFonts w:hint="eastAsia" w:ascii="宋体" w:hAnsi="宋体" w:eastAsia="宋体" w:cs="宋体"/>
          <w:b/>
          <w:spacing w:val="-14"/>
          <w:highlight w:val="none"/>
        </w:rPr>
      </w:pPr>
      <w:r>
        <w:rPr>
          <w:rFonts w:hint="eastAsia" w:ascii="宋体" w:hAnsi="宋体" w:eastAsia="宋体" w:cs="宋体"/>
          <w:b/>
          <w:spacing w:val="-14"/>
          <w:highlight w:val="none"/>
        </w:rPr>
        <w:t>一、供应商资格要求：（见部一部分）</w:t>
      </w:r>
    </w:p>
    <w:p w14:paraId="4F5CC878">
      <w:pPr>
        <w:pStyle w:val="6"/>
        <w:adjustRightInd w:val="0"/>
        <w:snapToGrid w:val="0"/>
        <w:spacing w:line="360" w:lineRule="auto"/>
        <w:ind w:firstLine="424" w:firstLineChars="200"/>
        <w:rPr>
          <w:rFonts w:hint="eastAsia" w:ascii="宋体" w:hAnsi="宋体" w:eastAsia="宋体" w:cs="宋体"/>
          <w:highlight w:val="none"/>
        </w:rPr>
      </w:pPr>
      <w:r>
        <w:rPr>
          <w:rFonts w:hint="eastAsia" w:ascii="宋体" w:hAnsi="宋体" w:eastAsia="宋体" w:cs="宋体"/>
          <w:spacing w:val="-14"/>
          <w:highlight w:val="none"/>
        </w:rPr>
        <w:t>二、</w:t>
      </w:r>
      <w:r>
        <w:rPr>
          <w:rFonts w:hint="eastAsia" w:ascii="宋体" w:hAnsi="宋体" w:eastAsia="宋体" w:cs="宋体"/>
          <w:highlight w:val="none"/>
        </w:rPr>
        <w:t>除谈判文件有规定外，谈判供应商对项目只允许有一个报价，谈判组织人和采购人不接受有任何选择的报价响应。</w:t>
      </w:r>
    </w:p>
    <w:p w14:paraId="07355F4B">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5806DD77">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四、</w:t>
      </w:r>
      <w:r>
        <w:rPr>
          <w:rFonts w:hint="eastAsia" w:ascii="宋体" w:hAnsi="宋体" w:eastAsia="宋体" w:cs="宋体"/>
          <w:highlight w:val="none"/>
          <w:lang w:val="en-US"/>
        </w:rPr>
        <w:t>供货</w:t>
      </w:r>
      <w:r>
        <w:rPr>
          <w:rFonts w:hint="eastAsia" w:ascii="宋体" w:hAnsi="宋体" w:eastAsia="宋体" w:cs="宋体"/>
          <w:highlight w:val="none"/>
        </w:rPr>
        <w:t>地点：采购人指定地点。</w:t>
      </w:r>
    </w:p>
    <w:p w14:paraId="64B688DB">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五、验收：由</w:t>
      </w:r>
      <w:r>
        <w:rPr>
          <w:rFonts w:hint="eastAsia" w:ascii="宋体" w:hAnsi="宋体" w:eastAsia="宋体" w:cs="宋体"/>
          <w:highlight w:val="none"/>
          <w:lang w:val="en-US"/>
        </w:rPr>
        <w:t>采购人</w:t>
      </w:r>
      <w:r>
        <w:rPr>
          <w:rFonts w:hint="eastAsia" w:ascii="宋体" w:hAnsi="宋体" w:eastAsia="宋体" w:cs="宋体"/>
          <w:highlight w:val="none"/>
        </w:rPr>
        <w:t>组织验收。</w:t>
      </w:r>
    </w:p>
    <w:p w14:paraId="0D8DDE1D">
      <w:pPr>
        <w:pStyle w:val="6"/>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六、供应商需按照谈判文件要求的供货期签订合同，并对供货期做出单独承诺，否则视为不响应。</w:t>
      </w:r>
    </w:p>
    <w:p w14:paraId="3420ABAC">
      <w:pPr>
        <w:pStyle w:val="6"/>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七、</w:t>
      </w:r>
      <w:r>
        <w:rPr>
          <w:rFonts w:hint="eastAsia" w:ascii="宋体" w:hAnsi="宋体" w:eastAsia="宋体" w:cs="宋体"/>
          <w:color w:val="auto"/>
          <w:highlight w:val="none"/>
        </w:rPr>
        <w:t>付款方式：</w:t>
      </w:r>
      <w:r>
        <w:rPr>
          <w:rFonts w:hint="eastAsia" w:asciiTheme="minorEastAsia" w:hAnsiTheme="minorEastAsia" w:eastAsiaTheme="minorEastAsia"/>
          <w:color w:val="auto"/>
          <w:highlight w:val="none"/>
          <w:lang w:val="en-US" w:eastAsia="zh-CN"/>
        </w:rPr>
        <w:t>种苗栽植完成验收合格后支付货款</w:t>
      </w:r>
      <w:r>
        <w:rPr>
          <w:rFonts w:hint="eastAsia" w:ascii="宋体" w:hAnsi="宋体" w:eastAsia="宋体" w:cs="宋体"/>
          <w:color w:val="auto"/>
          <w:sz w:val="24"/>
          <w:szCs w:val="24"/>
          <w:highlight w:val="none"/>
          <w:lang w:val="en-US" w:eastAsia="zh-CN"/>
        </w:rPr>
        <w:t>97％，余3％一年后一次性付清</w:t>
      </w:r>
      <w:r>
        <w:rPr>
          <w:rFonts w:hint="eastAsia" w:ascii="宋体" w:hAnsi="宋体" w:cs="宋体"/>
          <w:color w:val="auto"/>
          <w:sz w:val="24"/>
          <w:szCs w:val="24"/>
          <w:highlight w:val="none"/>
          <w:lang w:val="en-US" w:eastAsia="zh-CN"/>
        </w:rPr>
        <w:t>。</w:t>
      </w:r>
    </w:p>
    <w:p w14:paraId="487B7D7C">
      <w:pPr>
        <w:pStyle w:val="6"/>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eastAsia="zh-CN"/>
        </w:rPr>
        <w:t>八</w:t>
      </w:r>
      <w:r>
        <w:rPr>
          <w:rFonts w:hint="eastAsia" w:ascii="宋体" w:hAnsi="宋体" w:eastAsia="宋体" w:cs="宋体"/>
          <w:highlight w:val="none"/>
        </w:rPr>
        <w:t>、本项目不接受联合体参与。</w:t>
      </w:r>
    </w:p>
    <w:p w14:paraId="5AC4F29F">
      <w:pPr>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九</w:t>
      </w:r>
      <w:r>
        <w:rPr>
          <w:rFonts w:hint="eastAsia" w:ascii="宋体" w:hAnsi="宋体" w:eastAsia="宋体" w:cs="宋体"/>
          <w:sz w:val="24"/>
          <w:szCs w:val="24"/>
          <w:highlight w:val="none"/>
        </w:rPr>
        <w:t>、项目其他要求：</w:t>
      </w:r>
      <w:r>
        <w:rPr>
          <w:rFonts w:hint="eastAsia" w:ascii="宋体" w:hAnsi="宋体" w:eastAsia="宋体" w:cs="宋体"/>
          <w:sz w:val="24"/>
          <w:szCs w:val="24"/>
          <w:highlight w:val="none"/>
          <w:lang w:eastAsia="zh-CN"/>
        </w:rPr>
        <w:t>无</w:t>
      </w:r>
    </w:p>
    <w:p w14:paraId="49B0D04C">
      <w:pPr>
        <w:pStyle w:val="16"/>
        <w:ind w:firstLine="480" w:firstLineChars="200"/>
        <w:rPr>
          <w:rFonts w:hint="eastAsia" w:ascii="宋体" w:hAnsi="宋体" w:eastAsia="宋体" w:cs="宋体"/>
          <w:bCs/>
          <w:sz w:val="24"/>
          <w:highlight w:val="none"/>
        </w:rPr>
      </w:pPr>
    </w:p>
    <w:p w14:paraId="07205C26">
      <w:pPr>
        <w:pStyle w:val="16"/>
        <w:ind w:firstLine="2249" w:firstLineChars="700"/>
        <w:rPr>
          <w:rFonts w:hint="eastAsia" w:ascii="宋体" w:hAnsi="宋体" w:eastAsia="宋体" w:cs="宋体"/>
          <w:b/>
          <w:bCs/>
          <w:sz w:val="32"/>
          <w:szCs w:val="32"/>
          <w:highlight w:val="none"/>
          <w:lang w:val="en-US"/>
        </w:rPr>
      </w:pPr>
    </w:p>
    <w:p w14:paraId="69B8778B">
      <w:pPr>
        <w:pStyle w:val="16"/>
        <w:rPr>
          <w:rFonts w:hint="eastAsia" w:ascii="宋体" w:hAnsi="宋体" w:eastAsia="宋体" w:cs="宋体"/>
          <w:b/>
          <w:bCs/>
          <w:sz w:val="32"/>
          <w:szCs w:val="32"/>
          <w:highlight w:val="none"/>
          <w:lang w:val="en-US"/>
        </w:rPr>
      </w:pPr>
    </w:p>
    <w:p w14:paraId="686EF758">
      <w:pPr>
        <w:pStyle w:val="16"/>
        <w:rPr>
          <w:rFonts w:hint="eastAsia" w:ascii="宋体" w:hAnsi="宋体" w:eastAsia="宋体" w:cs="宋体"/>
          <w:b/>
          <w:bCs/>
          <w:sz w:val="32"/>
          <w:szCs w:val="32"/>
          <w:highlight w:val="none"/>
          <w:lang w:val="en-US"/>
        </w:rPr>
      </w:pPr>
    </w:p>
    <w:p w14:paraId="57CD189D">
      <w:pPr>
        <w:pStyle w:val="16"/>
        <w:rPr>
          <w:rFonts w:hint="eastAsia" w:ascii="宋体" w:hAnsi="宋体" w:eastAsia="宋体" w:cs="宋体"/>
          <w:b/>
          <w:bCs/>
          <w:sz w:val="32"/>
          <w:szCs w:val="32"/>
          <w:highlight w:val="none"/>
          <w:lang w:val="en-US"/>
        </w:rPr>
      </w:pPr>
    </w:p>
    <w:p w14:paraId="50B8A1F8">
      <w:pPr>
        <w:pStyle w:val="16"/>
        <w:ind w:firstLine="2249" w:firstLineChars="700"/>
        <w:rPr>
          <w:rFonts w:hint="eastAsia" w:ascii="宋体" w:hAnsi="宋体" w:eastAsia="宋体" w:cs="宋体"/>
          <w:b/>
          <w:bCs/>
          <w:sz w:val="32"/>
          <w:szCs w:val="32"/>
          <w:highlight w:val="none"/>
          <w:lang w:val="en-US"/>
        </w:rPr>
      </w:pPr>
    </w:p>
    <w:p w14:paraId="2A4E1AEC">
      <w:pPr>
        <w:pStyle w:val="16"/>
        <w:ind w:firstLine="2249" w:firstLineChars="700"/>
        <w:rPr>
          <w:rFonts w:hint="eastAsia" w:ascii="宋体" w:hAnsi="宋体" w:eastAsia="宋体" w:cs="宋体"/>
          <w:b/>
          <w:bCs/>
          <w:sz w:val="32"/>
          <w:szCs w:val="32"/>
          <w:highlight w:val="none"/>
          <w:lang w:val="en-US"/>
        </w:rPr>
      </w:pPr>
      <w:r>
        <w:rPr>
          <w:rFonts w:hint="eastAsia" w:ascii="宋体" w:hAnsi="宋体" w:eastAsia="宋体" w:cs="宋体"/>
          <w:b/>
          <w:bCs/>
          <w:sz w:val="32"/>
          <w:szCs w:val="32"/>
          <w:highlight w:val="none"/>
          <w:lang w:val="en-US"/>
        </w:rPr>
        <w:t xml:space="preserve">第四部分    </w:t>
      </w:r>
      <w:r>
        <w:rPr>
          <w:rFonts w:hint="eastAsia" w:ascii="宋体" w:hAnsi="宋体" w:eastAsia="宋体" w:cs="宋体"/>
          <w:b/>
          <w:bCs/>
          <w:sz w:val="32"/>
          <w:szCs w:val="32"/>
          <w:highlight w:val="none"/>
        </w:rPr>
        <w:t>项目内容及技术要求</w:t>
      </w:r>
    </w:p>
    <w:p w14:paraId="722C3556">
      <w:pPr>
        <w:numPr>
          <w:ilvl w:val="0"/>
          <w:numId w:val="0"/>
        </w:numPr>
        <w:spacing w:line="640" w:lineRule="exact"/>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一</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项目概况</w:t>
      </w:r>
    </w:p>
    <w:p w14:paraId="37E66753">
      <w:pPr>
        <w:numPr>
          <w:ilvl w:val="0"/>
          <w:numId w:val="18"/>
        </w:numPr>
        <w:spacing w:line="640" w:lineRule="exact"/>
        <w:ind w:firstLine="720" w:firstLineChars="300"/>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项目名称：</w:t>
      </w:r>
      <w:r>
        <w:rPr>
          <w:rFonts w:hint="eastAsia" w:cs="宋体"/>
          <w:sz w:val="24"/>
          <w:szCs w:val="24"/>
          <w:highlight w:val="none"/>
          <w:vertAlign w:val="baseline"/>
          <w:lang w:eastAsia="zh-CN"/>
        </w:rPr>
        <w:t>丁村乡政府乡簸箕柳种植项目</w:t>
      </w:r>
    </w:p>
    <w:p w14:paraId="23A83751">
      <w:pPr>
        <w:numPr>
          <w:ilvl w:val="0"/>
          <w:numId w:val="18"/>
        </w:numPr>
        <w:spacing w:line="640" w:lineRule="exact"/>
        <w:ind w:firstLine="720" w:firstLineChars="300"/>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采购人：</w:t>
      </w:r>
      <w:r>
        <w:rPr>
          <w:rFonts w:hint="eastAsia" w:cs="宋体"/>
          <w:b w:val="0"/>
          <w:bCs/>
          <w:sz w:val="24"/>
          <w:szCs w:val="24"/>
          <w:highlight w:val="none"/>
          <w:lang w:val="en-US" w:eastAsia="zh-CN"/>
        </w:rPr>
        <w:t>郸城县丁村乡人民政府</w:t>
      </w:r>
      <w:r>
        <w:rPr>
          <w:rFonts w:hint="eastAsia" w:ascii="宋体" w:hAnsi="宋体" w:eastAsia="宋体" w:cs="宋体"/>
          <w:b w:val="0"/>
          <w:bCs/>
          <w:sz w:val="24"/>
          <w:szCs w:val="24"/>
          <w:highlight w:val="none"/>
          <w:lang w:val="en-US" w:eastAsia="zh-CN"/>
        </w:rPr>
        <w:t xml:space="preserve"> </w:t>
      </w:r>
    </w:p>
    <w:p w14:paraId="1E9792C2">
      <w:pPr>
        <w:numPr>
          <w:ilvl w:val="0"/>
          <w:numId w:val="18"/>
        </w:numPr>
        <w:spacing w:line="640" w:lineRule="exact"/>
        <w:ind w:firstLine="720" w:firstLineChars="300"/>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项目概况：</w:t>
      </w:r>
      <w:r>
        <w:rPr>
          <w:rFonts w:hint="eastAsia" w:cs="宋体"/>
          <w:b w:val="0"/>
          <w:bCs/>
          <w:sz w:val="24"/>
          <w:szCs w:val="24"/>
          <w:highlight w:val="none"/>
          <w:lang w:val="en-US" w:eastAsia="zh-CN"/>
        </w:rPr>
        <w:t>依托</w:t>
      </w:r>
      <w:r>
        <w:rPr>
          <w:rFonts w:hint="eastAsia" w:cs="宋体"/>
          <w:sz w:val="24"/>
          <w:szCs w:val="24"/>
          <w:highlight w:val="none"/>
          <w:vertAlign w:val="baseline"/>
          <w:lang w:eastAsia="zh-CN"/>
        </w:rPr>
        <w:t>簸箕柳</w:t>
      </w:r>
      <w:r>
        <w:rPr>
          <w:rFonts w:hint="eastAsia" w:cs="宋体"/>
          <w:sz w:val="24"/>
          <w:szCs w:val="24"/>
          <w:highlight w:val="none"/>
          <w:vertAlign w:val="baseline"/>
          <w:lang w:val="en-US" w:eastAsia="zh-CN"/>
        </w:rPr>
        <w:t>产业，利用全乡25个行政村的以沟半坡、残次林、沟边、河沿、坑塘边等闲置地为种植主要区域，种植约5000亩的柳条。</w:t>
      </w:r>
    </w:p>
    <w:p w14:paraId="4FEB40B5">
      <w:pPr>
        <w:numPr>
          <w:ilvl w:val="0"/>
          <w:numId w:val="0"/>
        </w:numPr>
        <w:spacing w:line="640" w:lineRule="exact"/>
        <w:ind w:firstLine="480" w:firstLineChars="200"/>
        <w:rPr>
          <w:rFonts w:hint="eastAsia" w:ascii="宋体" w:hAnsi="宋体" w:eastAsia="宋体" w:cs="宋体"/>
          <w:b w:val="0"/>
          <w:bCs/>
          <w:sz w:val="24"/>
          <w:szCs w:val="24"/>
          <w:highlight w:val="none"/>
          <w:lang w:val="en-US" w:eastAsia="zh-CN"/>
        </w:rPr>
      </w:pPr>
      <w:r>
        <w:rPr>
          <w:rFonts w:hint="eastAsia" w:cs="宋体"/>
          <w:sz w:val="24"/>
          <w:szCs w:val="24"/>
          <w:highlight w:val="none"/>
          <w:vertAlign w:val="baseline"/>
          <w:lang w:eastAsia="zh-CN"/>
        </w:rPr>
        <w:t>丁村乡政府乡簸箕柳种植项目</w:t>
      </w:r>
      <w:r>
        <w:rPr>
          <w:rFonts w:hint="eastAsia" w:cs="宋体"/>
          <w:b w:val="0"/>
          <w:bCs/>
          <w:color w:val="auto"/>
          <w:sz w:val="24"/>
          <w:szCs w:val="24"/>
          <w:highlight w:val="none"/>
          <w:lang w:val="en-US" w:eastAsia="zh-CN"/>
        </w:rPr>
        <w:t>，具体参数详见下文：</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1470"/>
        <w:gridCol w:w="1470"/>
        <w:gridCol w:w="1470"/>
        <w:gridCol w:w="1470"/>
        <w:gridCol w:w="1470"/>
        <w:gridCol w:w="1470"/>
      </w:tblGrid>
      <w:tr w14:paraId="16F38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vAlign w:val="center"/>
          </w:tcPr>
          <w:p w14:paraId="26B00175">
            <w:pPr>
              <w:numPr>
                <w:ilvl w:val="0"/>
                <w:numId w:val="0"/>
              </w:numPr>
              <w:spacing w:line="640" w:lineRule="exact"/>
              <w:jc w:val="center"/>
              <w:rPr>
                <w:rFonts w:hint="default" w:ascii="宋体" w:hAnsi="宋体" w:eastAsia="宋体" w:cs="宋体"/>
                <w:b w:val="0"/>
                <w:bCs/>
                <w:sz w:val="24"/>
                <w:szCs w:val="24"/>
                <w:highlight w:val="none"/>
                <w:vertAlign w:val="baseline"/>
                <w:lang w:val="en-US" w:eastAsia="zh-CN"/>
              </w:rPr>
            </w:pPr>
            <w:r>
              <w:rPr>
                <w:rFonts w:hint="eastAsia" w:cs="宋体"/>
                <w:b w:val="0"/>
                <w:bCs/>
                <w:sz w:val="24"/>
                <w:szCs w:val="24"/>
                <w:highlight w:val="none"/>
                <w:vertAlign w:val="baseline"/>
                <w:lang w:val="en-US" w:eastAsia="zh-CN"/>
              </w:rPr>
              <w:t>序号</w:t>
            </w:r>
          </w:p>
        </w:tc>
        <w:tc>
          <w:tcPr>
            <w:tcW w:w="1470" w:type="dxa"/>
            <w:vAlign w:val="center"/>
          </w:tcPr>
          <w:p w14:paraId="040FE125">
            <w:pPr>
              <w:numPr>
                <w:ilvl w:val="0"/>
                <w:numId w:val="0"/>
              </w:numPr>
              <w:spacing w:line="640" w:lineRule="exact"/>
              <w:jc w:val="center"/>
              <w:rPr>
                <w:rFonts w:hint="default" w:ascii="宋体" w:hAnsi="宋体" w:eastAsia="宋体" w:cs="宋体"/>
                <w:b w:val="0"/>
                <w:bCs/>
                <w:sz w:val="24"/>
                <w:szCs w:val="24"/>
                <w:highlight w:val="none"/>
                <w:vertAlign w:val="baseline"/>
                <w:lang w:val="en-US" w:eastAsia="zh-CN"/>
              </w:rPr>
            </w:pPr>
            <w:r>
              <w:rPr>
                <w:rFonts w:hint="eastAsia" w:cs="宋体"/>
                <w:b w:val="0"/>
                <w:bCs/>
                <w:sz w:val="24"/>
                <w:szCs w:val="24"/>
                <w:highlight w:val="none"/>
                <w:vertAlign w:val="baseline"/>
                <w:lang w:val="en-US" w:eastAsia="zh-CN"/>
              </w:rPr>
              <w:t>名称</w:t>
            </w:r>
          </w:p>
        </w:tc>
        <w:tc>
          <w:tcPr>
            <w:tcW w:w="1470" w:type="dxa"/>
            <w:vAlign w:val="center"/>
          </w:tcPr>
          <w:p w14:paraId="5E8A8272">
            <w:pPr>
              <w:numPr>
                <w:ilvl w:val="0"/>
                <w:numId w:val="0"/>
              </w:numPr>
              <w:spacing w:line="640" w:lineRule="exact"/>
              <w:jc w:val="center"/>
              <w:rPr>
                <w:rFonts w:hint="default" w:ascii="宋体" w:hAnsi="宋体" w:eastAsia="宋体" w:cs="宋体"/>
                <w:b w:val="0"/>
                <w:bCs/>
                <w:sz w:val="24"/>
                <w:szCs w:val="24"/>
                <w:highlight w:val="none"/>
                <w:vertAlign w:val="baseline"/>
                <w:lang w:val="en-US" w:eastAsia="zh-CN"/>
              </w:rPr>
            </w:pPr>
            <w:r>
              <w:rPr>
                <w:rFonts w:hint="eastAsia" w:cs="宋体"/>
                <w:b w:val="0"/>
                <w:bCs/>
                <w:sz w:val="24"/>
                <w:szCs w:val="24"/>
                <w:highlight w:val="none"/>
                <w:vertAlign w:val="baseline"/>
                <w:lang w:val="en-US" w:eastAsia="zh-CN"/>
              </w:rPr>
              <w:t>规格</w:t>
            </w:r>
          </w:p>
        </w:tc>
        <w:tc>
          <w:tcPr>
            <w:tcW w:w="1470" w:type="dxa"/>
            <w:vAlign w:val="center"/>
          </w:tcPr>
          <w:p w14:paraId="15EC0EBA">
            <w:pPr>
              <w:numPr>
                <w:ilvl w:val="0"/>
                <w:numId w:val="0"/>
              </w:numPr>
              <w:spacing w:line="640" w:lineRule="exact"/>
              <w:jc w:val="center"/>
              <w:rPr>
                <w:rFonts w:hint="default" w:ascii="宋体" w:hAnsi="宋体" w:eastAsia="宋体" w:cs="宋体"/>
                <w:b w:val="0"/>
                <w:bCs/>
                <w:sz w:val="24"/>
                <w:szCs w:val="24"/>
                <w:highlight w:val="none"/>
                <w:vertAlign w:val="baseline"/>
                <w:lang w:val="en-US" w:eastAsia="zh-CN"/>
              </w:rPr>
            </w:pPr>
            <w:r>
              <w:rPr>
                <w:rFonts w:hint="eastAsia" w:cs="宋体"/>
                <w:b w:val="0"/>
                <w:bCs/>
                <w:sz w:val="24"/>
                <w:szCs w:val="24"/>
                <w:highlight w:val="none"/>
                <w:vertAlign w:val="baseline"/>
                <w:lang w:val="en-US" w:eastAsia="zh-CN"/>
              </w:rPr>
              <w:t>单位</w:t>
            </w:r>
          </w:p>
        </w:tc>
        <w:tc>
          <w:tcPr>
            <w:tcW w:w="1470" w:type="dxa"/>
            <w:vAlign w:val="center"/>
          </w:tcPr>
          <w:p w14:paraId="3DF03463">
            <w:pPr>
              <w:numPr>
                <w:ilvl w:val="0"/>
                <w:numId w:val="0"/>
              </w:numPr>
              <w:spacing w:line="640" w:lineRule="exact"/>
              <w:jc w:val="center"/>
              <w:rPr>
                <w:rFonts w:hint="default" w:ascii="宋体" w:hAnsi="宋体" w:eastAsia="宋体" w:cs="宋体"/>
                <w:b w:val="0"/>
                <w:bCs/>
                <w:sz w:val="24"/>
                <w:szCs w:val="24"/>
                <w:highlight w:val="none"/>
                <w:vertAlign w:val="baseline"/>
                <w:lang w:val="en-US" w:eastAsia="zh-CN"/>
              </w:rPr>
            </w:pPr>
            <w:r>
              <w:rPr>
                <w:rFonts w:hint="eastAsia" w:cs="宋体"/>
                <w:b w:val="0"/>
                <w:bCs/>
                <w:sz w:val="24"/>
                <w:szCs w:val="24"/>
                <w:highlight w:val="none"/>
                <w:vertAlign w:val="baseline"/>
                <w:lang w:val="en-US" w:eastAsia="zh-CN"/>
              </w:rPr>
              <w:t>数量</w:t>
            </w:r>
          </w:p>
        </w:tc>
        <w:tc>
          <w:tcPr>
            <w:tcW w:w="1470" w:type="dxa"/>
            <w:vAlign w:val="center"/>
          </w:tcPr>
          <w:p w14:paraId="428956E5">
            <w:pPr>
              <w:numPr>
                <w:ilvl w:val="0"/>
                <w:numId w:val="0"/>
              </w:numPr>
              <w:spacing w:line="640" w:lineRule="exact"/>
              <w:jc w:val="center"/>
              <w:rPr>
                <w:rFonts w:hint="default" w:ascii="宋体" w:hAnsi="宋体" w:eastAsia="宋体" w:cs="宋体"/>
                <w:b w:val="0"/>
                <w:bCs/>
                <w:sz w:val="24"/>
                <w:szCs w:val="24"/>
                <w:highlight w:val="none"/>
                <w:vertAlign w:val="baseline"/>
                <w:lang w:val="en-US" w:eastAsia="zh-CN"/>
              </w:rPr>
            </w:pPr>
            <w:r>
              <w:rPr>
                <w:rFonts w:hint="eastAsia" w:cs="宋体"/>
                <w:b w:val="0"/>
                <w:bCs/>
                <w:sz w:val="24"/>
                <w:szCs w:val="24"/>
                <w:highlight w:val="none"/>
                <w:vertAlign w:val="baseline"/>
                <w:lang w:val="en-US" w:eastAsia="zh-CN"/>
              </w:rPr>
              <w:t>总价</w:t>
            </w:r>
          </w:p>
        </w:tc>
        <w:tc>
          <w:tcPr>
            <w:tcW w:w="1470" w:type="dxa"/>
            <w:vAlign w:val="center"/>
          </w:tcPr>
          <w:p w14:paraId="2D0037B4">
            <w:pPr>
              <w:numPr>
                <w:ilvl w:val="0"/>
                <w:numId w:val="0"/>
              </w:numPr>
              <w:spacing w:line="640" w:lineRule="exact"/>
              <w:jc w:val="center"/>
              <w:rPr>
                <w:rFonts w:hint="default" w:cs="宋体"/>
                <w:b w:val="0"/>
                <w:bCs/>
                <w:sz w:val="24"/>
                <w:szCs w:val="24"/>
                <w:highlight w:val="none"/>
                <w:vertAlign w:val="baseline"/>
                <w:lang w:val="en-US" w:eastAsia="zh-CN"/>
              </w:rPr>
            </w:pPr>
            <w:r>
              <w:rPr>
                <w:rFonts w:hint="eastAsia" w:cs="宋体"/>
                <w:b w:val="0"/>
                <w:bCs/>
                <w:sz w:val="24"/>
                <w:szCs w:val="24"/>
                <w:highlight w:val="none"/>
                <w:vertAlign w:val="baseline"/>
                <w:lang w:val="en-US" w:eastAsia="zh-CN"/>
              </w:rPr>
              <w:t>备注</w:t>
            </w:r>
          </w:p>
        </w:tc>
      </w:tr>
      <w:tr w14:paraId="4DF1B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vAlign w:val="center"/>
          </w:tcPr>
          <w:p w14:paraId="70430E27">
            <w:pPr>
              <w:numPr>
                <w:ilvl w:val="0"/>
                <w:numId w:val="0"/>
              </w:numPr>
              <w:spacing w:line="640" w:lineRule="exact"/>
              <w:jc w:val="center"/>
              <w:rPr>
                <w:rFonts w:hint="default" w:ascii="宋体" w:hAnsi="宋体" w:eastAsia="宋体" w:cs="宋体"/>
                <w:b w:val="0"/>
                <w:bCs/>
                <w:sz w:val="24"/>
                <w:szCs w:val="24"/>
                <w:highlight w:val="none"/>
                <w:vertAlign w:val="baseline"/>
                <w:lang w:val="en-US" w:eastAsia="zh-CN"/>
              </w:rPr>
            </w:pPr>
            <w:r>
              <w:rPr>
                <w:rFonts w:hint="eastAsia" w:cs="宋体"/>
                <w:b w:val="0"/>
                <w:bCs/>
                <w:sz w:val="24"/>
                <w:szCs w:val="24"/>
                <w:highlight w:val="none"/>
                <w:vertAlign w:val="baseline"/>
                <w:lang w:val="en-US" w:eastAsia="zh-CN"/>
              </w:rPr>
              <w:t>1</w:t>
            </w:r>
          </w:p>
        </w:tc>
        <w:tc>
          <w:tcPr>
            <w:tcW w:w="1470" w:type="dxa"/>
            <w:vAlign w:val="center"/>
          </w:tcPr>
          <w:p w14:paraId="2B15A40B">
            <w:pPr>
              <w:numPr>
                <w:ilvl w:val="0"/>
                <w:numId w:val="0"/>
              </w:numPr>
              <w:spacing w:line="640" w:lineRule="exact"/>
              <w:jc w:val="center"/>
              <w:rPr>
                <w:rFonts w:hint="eastAsia" w:ascii="宋体" w:hAnsi="宋体" w:eastAsia="宋体" w:cs="宋体"/>
                <w:b w:val="0"/>
                <w:bCs/>
                <w:sz w:val="24"/>
                <w:szCs w:val="24"/>
                <w:highlight w:val="none"/>
                <w:vertAlign w:val="baseline"/>
                <w:lang w:val="en-US" w:eastAsia="zh-CN"/>
              </w:rPr>
            </w:pPr>
            <w:r>
              <w:rPr>
                <w:rFonts w:hint="eastAsia" w:cs="宋体"/>
                <w:sz w:val="24"/>
                <w:szCs w:val="24"/>
                <w:highlight w:val="none"/>
                <w:vertAlign w:val="baseline"/>
                <w:lang w:eastAsia="zh-CN"/>
              </w:rPr>
              <w:t>簸箕柳</w:t>
            </w:r>
          </w:p>
        </w:tc>
        <w:tc>
          <w:tcPr>
            <w:tcW w:w="1470" w:type="dxa"/>
            <w:vAlign w:val="center"/>
          </w:tcPr>
          <w:p w14:paraId="188A9C54">
            <w:pPr>
              <w:numPr>
                <w:ilvl w:val="0"/>
                <w:numId w:val="0"/>
              </w:numPr>
              <w:spacing w:line="640" w:lineRule="exact"/>
              <w:jc w:val="center"/>
              <w:rPr>
                <w:rFonts w:hint="default" w:ascii="宋体" w:hAnsi="宋体" w:eastAsia="宋体" w:cs="宋体"/>
                <w:b w:val="0"/>
                <w:bCs/>
                <w:sz w:val="24"/>
                <w:szCs w:val="24"/>
                <w:highlight w:val="none"/>
                <w:vertAlign w:val="baseline"/>
                <w:lang w:val="en-US" w:eastAsia="zh-CN"/>
              </w:rPr>
            </w:pPr>
            <w:r>
              <w:rPr>
                <w:rFonts w:hint="eastAsia" w:cs="宋体"/>
                <w:b w:val="0"/>
                <w:bCs/>
                <w:sz w:val="24"/>
                <w:szCs w:val="24"/>
                <w:highlight w:val="none"/>
                <w:vertAlign w:val="baseline"/>
                <w:lang w:val="en-US" w:eastAsia="zh-CN"/>
              </w:rPr>
              <w:t>种条φ1.2-1.5cm</w:t>
            </w:r>
          </w:p>
        </w:tc>
        <w:tc>
          <w:tcPr>
            <w:tcW w:w="1470" w:type="dxa"/>
            <w:vAlign w:val="center"/>
          </w:tcPr>
          <w:p w14:paraId="70EDDC11">
            <w:pPr>
              <w:numPr>
                <w:ilvl w:val="0"/>
                <w:numId w:val="0"/>
              </w:numPr>
              <w:spacing w:line="640" w:lineRule="exact"/>
              <w:jc w:val="center"/>
              <w:rPr>
                <w:rFonts w:hint="default" w:ascii="宋体" w:hAnsi="宋体" w:eastAsia="宋体" w:cs="宋体"/>
                <w:b w:val="0"/>
                <w:bCs/>
                <w:sz w:val="24"/>
                <w:szCs w:val="24"/>
                <w:highlight w:val="none"/>
                <w:vertAlign w:val="baseline"/>
                <w:lang w:val="en-US" w:eastAsia="zh-CN"/>
              </w:rPr>
            </w:pPr>
            <w:r>
              <w:rPr>
                <w:rFonts w:hint="eastAsia" w:cs="宋体"/>
                <w:b w:val="0"/>
                <w:bCs/>
                <w:sz w:val="24"/>
                <w:szCs w:val="24"/>
                <w:highlight w:val="none"/>
                <w:vertAlign w:val="baseline"/>
                <w:lang w:val="en-US" w:eastAsia="zh-CN"/>
              </w:rPr>
              <w:t>棵</w:t>
            </w:r>
          </w:p>
        </w:tc>
        <w:tc>
          <w:tcPr>
            <w:tcW w:w="1470" w:type="dxa"/>
            <w:vAlign w:val="center"/>
          </w:tcPr>
          <w:p w14:paraId="527BD798">
            <w:pPr>
              <w:numPr>
                <w:ilvl w:val="0"/>
                <w:numId w:val="0"/>
              </w:numPr>
              <w:spacing w:line="640" w:lineRule="exact"/>
              <w:jc w:val="center"/>
              <w:rPr>
                <w:rFonts w:hint="default" w:ascii="宋体" w:hAnsi="宋体" w:eastAsia="宋体" w:cs="宋体"/>
                <w:b w:val="0"/>
                <w:bCs/>
                <w:sz w:val="24"/>
                <w:szCs w:val="24"/>
                <w:highlight w:val="none"/>
                <w:vertAlign w:val="baseline"/>
                <w:lang w:val="en-US" w:eastAsia="zh-CN"/>
              </w:rPr>
            </w:pPr>
            <w:r>
              <w:rPr>
                <w:rFonts w:hint="eastAsia" w:cs="宋体"/>
                <w:b w:val="0"/>
                <w:bCs/>
                <w:sz w:val="24"/>
                <w:szCs w:val="24"/>
                <w:highlight w:val="none"/>
                <w:vertAlign w:val="baseline"/>
                <w:lang w:val="en-US" w:eastAsia="zh-CN"/>
              </w:rPr>
              <w:t>2316000.00</w:t>
            </w:r>
          </w:p>
        </w:tc>
        <w:tc>
          <w:tcPr>
            <w:tcW w:w="1470" w:type="dxa"/>
            <w:vAlign w:val="center"/>
          </w:tcPr>
          <w:p w14:paraId="79230096">
            <w:pPr>
              <w:numPr>
                <w:ilvl w:val="0"/>
                <w:numId w:val="0"/>
              </w:numPr>
              <w:spacing w:line="640" w:lineRule="exact"/>
              <w:jc w:val="center"/>
              <w:rPr>
                <w:rFonts w:hint="eastAsia" w:ascii="宋体" w:hAnsi="宋体" w:eastAsia="宋体" w:cs="宋体"/>
                <w:b w:val="0"/>
                <w:bCs/>
                <w:sz w:val="24"/>
                <w:szCs w:val="24"/>
                <w:highlight w:val="none"/>
                <w:vertAlign w:val="baseline"/>
                <w:lang w:val="en-US" w:eastAsia="zh-CN"/>
              </w:rPr>
            </w:pPr>
          </w:p>
        </w:tc>
        <w:tc>
          <w:tcPr>
            <w:tcW w:w="1470" w:type="dxa"/>
            <w:vAlign w:val="center"/>
          </w:tcPr>
          <w:p w14:paraId="6C7B9614">
            <w:pPr>
              <w:numPr>
                <w:ilvl w:val="0"/>
                <w:numId w:val="0"/>
              </w:numPr>
              <w:spacing w:line="640" w:lineRule="exact"/>
              <w:jc w:val="center"/>
              <w:rPr>
                <w:rFonts w:hint="default" w:ascii="宋体" w:hAnsi="宋体" w:eastAsia="宋体" w:cs="宋体"/>
                <w:b w:val="0"/>
                <w:bCs/>
                <w:sz w:val="24"/>
                <w:szCs w:val="24"/>
                <w:highlight w:val="none"/>
                <w:vertAlign w:val="baseline"/>
                <w:lang w:val="en-US" w:eastAsia="zh-CN"/>
              </w:rPr>
            </w:pPr>
          </w:p>
        </w:tc>
      </w:tr>
    </w:tbl>
    <w:p w14:paraId="16AD0B41">
      <w:pPr>
        <w:pStyle w:val="3"/>
        <w:tabs>
          <w:tab w:val="left" w:pos="1607"/>
        </w:tabs>
        <w:spacing w:before="41"/>
        <w:rPr>
          <w:rFonts w:hint="eastAsia" w:ascii="宋体" w:hAnsi="宋体" w:eastAsia="宋体" w:cs="宋体"/>
          <w:highlight w:val="none"/>
        </w:rPr>
      </w:pPr>
    </w:p>
    <w:p w14:paraId="0AF13600">
      <w:pPr>
        <w:pStyle w:val="3"/>
        <w:tabs>
          <w:tab w:val="left" w:pos="1607"/>
        </w:tabs>
        <w:spacing w:before="41"/>
        <w:rPr>
          <w:rFonts w:hint="eastAsia" w:ascii="宋体" w:hAnsi="宋体" w:eastAsia="宋体" w:cs="宋体"/>
          <w:highlight w:val="none"/>
        </w:rPr>
      </w:pPr>
    </w:p>
    <w:p w14:paraId="3C7BFD4C">
      <w:pPr>
        <w:pStyle w:val="3"/>
        <w:tabs>
          <w:tab w:val="left" w:pos="1607"/>
        </w:tabs>
        <w:spacing w:before="41"/>
        <w:rPr>
          <w:rFonts w:hint="eastAsia" w:ascii="宋体" w:hAnsi="宋体" w:eastAsia="宋体" w:cs="宋体"/>
          <w:highlight w:val="none"/>
        </w:rPr>
      </w:pPr>
    </w:p>
    <w:p w14:paraId="48FD1BB7">
      <w:pPr>
        <w:pStyle w:val="3"/>
        <w:tabs>
          <w:tab w:val="left" w:pos="1607"/>
        </w:tabs>
        <w:spacing w:before="41"/>
        <w:rPr>
          <w:rFonts w:hint="eastAsia" w:ascii="宋体" w:hAnsi="宋体" w:eastAsia="宋体" w:cs="宋体"/>
          <w:highlight w:val="none"/>
        </w:rPr>
      </w:pPr>
    </w:p>
    <w:p w14:paraId="0F1FBEC6">
      <w:pPr>
        <w:pStyle w:val="3"/>
        <w:tabs>
          <w:tab w:val="left" w:pos="1607"/>
        </w:tabs>
        <w:spacing w:before="41"/>
        <w:rPr>
          <w:rFonts w:hint="eastAsia" w:ascii="宋体" w:hAnsi="宋体" w:eastAsia="宋体" w:cs="宋体"/>
          <w:highlight w:val="none"/>
        </w:rPr>
      </w:pPr>
    </w:p>
    <w:p w14:paraId="086D1394">
      <w:pPr>
        <w:pStyle w:val="3"/>
        <w:tabs>
          <w:tab w:val="left" w:pos="1607"/>
        </w:tabs>
        <w:spacing w:before="41"/>
        <w:rPr>
          <w:rFonts w:hint="eastAsia" w:ascii="宋体" w:hAnsi="宋体" w:eastAsia="宋体" w:cs="宋体"/>
          <w:highlight w:val="none"/>
        </w:rPr>
      </w:pPr>
    </w:p>
    <w:p w14:paraId="363E5110">
      <w:pPr>
        <w:pStyle w:val="3"/>
        <w:tabs>
          <w:tab w:val="left" w:pos="1607"/>
        </w:tabs>
        <w:spacing w:before="41"/>
        <w:rPr>
          <w:rFonts w:hint="eastAsia" w:ascii="宋体" w:hAnsi="宋体" w:eastAsia="宋体" w:cs="宋体"/>
          <w:highlight w:val="none"/>
        </w:rPr>
      </w:pPr>
    </w:p>
    <w:p w14:paraId="5A09ACFD">
      <w:pPr>
        <w:pStyle w:val="3"/>
        <w:tabs>
          <w:tab w:val="left" w:pos="1607"/>
        </w:tabs>
        <w:spacing w:before="41"/>
        <w:rPr>
          <w:rFonts w:hint="eastAsia" w:ascii="宋体" w:hAnsi="宋体" w:eastAsia="宋体" w:cs="宋体"/>
          <w:highlight w:val="none"/>
        </w:rPr>
      </w:pPr>
    </w:p>
    <w:p w14:paraId="352C641C">
      <w:pPr>
        <w:pStyle w:val="3"/>
        <w:tabs>
          <w:tab w:val="left" w:pos="1607"/>
        </w:tabs>
        <w:spacing w:before="41"/>
        <w:rPr>
          <w:rFonts w:hint="eastAsia" w:ascii="宋体" w:hAnsi="宋体" w:eastAsia="宋体" w:cs="宋体"/>
          <w:highlight w:val="none"/>
        </w:rPr>
      </w:pPr>
    </w:p>
    <w:p w14:paraId="521D2C51">
      <w:pPr>
        <w:pStyle w:val="3"/>
        <w:tabs>
          <w:tab w:val="left" w:pos="1607"/>
        </w:tabs>
        <w:spacing w:before="41"/>
        <w:rPr>
          <w:rFonts w:hint="eastAsia" w:ascii="宋体" w:hAnsi="宋体" w:eastAsia="宋体" w:cs="宋体"/>
          <w:highlight w:val="none"/>
        </w:rPr>
      </w:pPr>
    </w:p>
    <w:p w14:paraId="72DCF5EA">
      <w:pPr>
        <w:pStyle w:val="3"/>
        <w:tabs>
          <w:tab w:val="left" w:pos="1607"/>
        </w:tabs>
        <w:spacing w:before="41"/>
        <w:rPr>
          <w:rFonts w:hint="eastAsia" w:ascii="宋体" w:hAnsi="宋体" w:eastAsia="宋体" w:cs="宋体"/>
          <w:highlight w:val="none"/>
        </w:rPr>
      </w:pPr>
    </w:p>
    <w:p w14:paraId="3F8AD2D9">
      <w:pPr>
        <w:pStyle w:val="3"/>
        <w:tabs>
          <w:tab w:val="left" w:pos="1607"/>
        </w:tabs>
        <w:spacing w:before="41"/>
        <w:rPr>
          <w:rFonts w:hint="eastAsia" w:ascii="宋体" w:hAnsi="宋体" w:eastAsia="宋体" w:cs="宋体"/>
          <w:highlight w:val="none"/>
        </w:rPr>
      </w:pPr>
    </w:p>
    <w:p w14:paraId="3726FA69">
      <w:pPr>
        <w:pStyle w:val="3"/>
        <w:tabs>
          <w:tab w:val="left" w:pos="1607"/>
        </w:tabs>
        <w:spacing w:before="41"/>
        <w:rPr>
          <w:rFonts w:hint="eastAsia" w:ascii="宋体" w:hAnsi="宋体" w:eastAsia="宋体" w:cs="宋体"/>
          <w:highlight w:val="none"/>
        </w:rPr>
      </w:pPr>
    </w:p>
    <w:p w14:paraId="6A46ABB1">
      <w:pPr>
        <w:pStyle w:val="3"/>
        <w:tabs>
          <w:tab w:val="left" w:pos="1607"/>
        </w:tabs>
        <w:spacing w:before="41"/>
        <w:rPr>
          <w:rFonts w:hint="eastAsia" w:ascii="宋体" w:hAnsi="宋体" w:eastAsia="宋体" w:cs="宋体"/>
          <w:highlight w:val="none"/>
        </w:rPr>
      </w:pPr>
    </w:p>
    <w:p w14:paraId="7D053EA2">
      <w:pPr>
        <w:rPr>
          <w:rFonts w:hint="eastAsia"/>
        </w:rPr>
      </w:pPr>
    </w:p>
    <w:p w14:paraId="4C1BF745">
      <w:pPr>
        <w:pStyle w:val="3"/>
        <w:tabs>
          <w:tab w:val="left" w:pos="1607"/>
        </w:tabs>
        <w:spacing w:before="41"/>
        <w:rPr>
          <w:rFonts w:hint="eastAsia" w:ascii="宋体" w:hAnsi="宋体" w:eastAsia="宋体" w:cs="宋体"/>
          <w:highlight w:val="none"/>
        </w:rPr>
      </w:pPr>
    </w:p>
    <w:p w14:paraId="5039079B">
      <w:pPr>
        <w:pStyle w:val="3"/>
        <w:tabs>
          <w:tab w:val="left" w:pos="1607"/>
        </w:tabs>
        <w:spacing w:before="41"/>
        <w:rPr>
          <w:rFonts w:hint="eastAsia" w:ascii="宋体" w:hAnsi="宋体" w:eastAsia="宋体" w:cs="宋体"/>
          <w:highlight w:val="none"/>
        </w:rPr>
      </w:pPr>
    </w:p>
    <w:p w14:paraId="2B00BCBD">
      <w:pPr>
        <w:pStyle w:val="3"/>
        <w:tabs>
          <w:tab w:val="left" w:pos="1607"/>
        </w:tabs>
        <w:spacing w:before="41"/>
        <w:rPr>
          <w:rFonts w:hint="eastAsia" w:ascii="宋体" w:hAnsi="宋体" w:eastAsia="宋体" w:cs="宋体"/>
          <w:highlight w:val="none"/>
        </w:rPr>
      </w:pPr>
      <w:r>
        <w:rPr>
          <w:rFonts w:hint="eastAsia" w:ascii="宋体" w:hAnsi="宋体" w:eastAsia="宋体" w:cs="宋体"/>
          <w:highlight w:val="none"/>
        </w:rPr>
        <w:t>第五部分</w:t>
      </w:r>
      <w:r>
        <w:rPr>
          <w:rFonts w:hint="eastAsia" w:ascii="宋体" w:hAnsi="宋体" w:eastAsia="宋体" w:cs="宋体"/>
          <w:highlight w:val="none"/>
        </w:rPr>
        <w:tab/>
      </w:r>
      <w:r>
        <w:rPr>
          <w:rFonts w:hint="eastAsia" w:ascii="宋体" w:hAnsi="宋体" w:eastAsia="宋体" w:cs="宋体"/>
          <w:highlight w:val="none"/>
        </w:rPr>
        <w:t>谈判文件格式</w:t>
      </w:r>
    </w:p>
    <w:p w14:paraId="230B78F2">
      <w:pPr>
        <w:pStyle w:val="6"/>
        <w:rPr>
          <w:rFonts w:hint="eastAsia" w:ascii="宋体" w:hAnsi="宋体" w:eastAsia="宋体" w:cs="宋体"/>
          <w:b/>
          <w:sz w:val="20"/>
          <w:highlight w:val="none"/>
        </w:rPr>
      </w:pPr>
    </w:p>
    <w:p w14:paraId="77774FC7">
      <w:pPr>
        <w:pStyle w:val="6"/>
        <w:spacing w:before="7"/>
        <w:rPr>
          <w:rFonts w:hint="eastAsia" w:ascii="宋体" w:hAnsi="宋体" w:eastAsia="宋体" w:cs="宋体"/>
          <w:b/>
          <w:sz w:val="19"/>
          <w:highlight w:val="none"/>
        </w:rPr>
      </w:pPr>
    </w:p>
    <w:p w14:paraId="71AFBE24">
      <w:pPr>
        <w:rPr>
          <w:rFonts w:hint="eastAsia" w:ascii="宋体" w:hAnsi="宋体" w:eastAsia="宋体" w:cs="宋体"/>
          <w:sz w:val="19"/>
          <w:highlight w:val="none"/>
        </w:rPr>
      </w:pPr>
    </w:p>
    <w:p w14:paraId="4A71E060">
      <w:pPr>
        <w:rPr>
          <w:rFonts w:hint="eastAsia"/>
          <w:sz w:val="24"/>
          <w:szCs w:val="24"/>
          <w:highlight w:val="none"/>
        </w:rPr>
      </w:pPr>
      <w:r>
        <w:rPr>
          <w:rFonts w:hint="eastAsia"/>
          <w:sz w:val="24"/>
          <w:szCs w:val="24"/>
          <w:highlight w:val="none"/>
        </w:rPr>
        <w:t>附件</w:t>
      </w:r>
      <w:r>
        <w:rPr>
          <w:rFonts w:hint="eastAsia"/>
          <w:sz w:val="24"/>
          <w:szCs w:val="24"/>
          <w:highlight w:val="none"/>
          <w:lang w:val="en-US" w:eastAsia="zh-CN"/>
        </w:rPr>
        <w:t>1</w:t>
      </w:r>
      <w:r>
        <w:rPr>
          <w:rFonts w:hint="eastAsia"/>
          <w:sz w:val="24"/>
          <w:szCs w:val="24"/>
          <w:highlight w:val="none"/>
        </w:rPr>
        <w:t>：</w:t>
      </w:r>
    </w:p>
    <w:p w14:paraId="0913E3A7">
      <w:pPr>
        <w:adjustRightInd w:val="0"/>
        <w:spacing w:after="269"/>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谈判响应函</w:t>
      </w:r>
    </w:p>
    <w:p w14:paraId="2295AF8F">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致：周口市公共资源交易中心（政府采购中心）</w:t>
      </w:r>
    </w:p>
    <w:p w14:paraId="1AC2828B">
      <w:pPr>
        <w:adjustRightInd w:val="0"/>
        <w:spacing w:line="360" w:lineRule="auto"/>
        <w:ind w:firstLine="560"/>
        <w:rPr>
          <w:rFonts w:hint="eastAsia" w:ascii="宋体" w:hAnsi="宋体" w:eastAsia="宋体" w:cs="宋体"/>
          <w:sz w:val="24"/>
          <w:szCs w:val="24"/>
          <w:highlight w:val="none"/>
        </w:rPr>
      </w:pPr>
      <w:r>
        <w:rPr>
          <w:rFonts w:hint="eastAsia" w:ascii="宋体" w:hAnsi="宋体" w:eastAsia="宋体" w:cs="宋体"/>
          <w:sz w:val="24"/>
          <w:szCs w:val="24"/>
          <w:highlight w:val="none"/>
        </w:rPr>
        <w:t>根据贵方谈判邀请函，签字代表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（全名、职务）经正式授权并代表谈判供应商（谈判供应商名称、地址）提交下述文件，并对之负法律责任。</w:t>
      </w:r>
    </w:p>
    <w:p w14:paraId="738944D8">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(1)谈判响应函</w:t>
      </w:r>
    </w:p>
    <w:p w14:paraId="6F1E7736">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(2)谈判价格一览表</w:t>
      </w:r>
    </w:p>
    <w:p w14:paraId="56FF17D4">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(3)谈判响应报价表</w:t>
      </w:r>
    </w:p>
    <w:p w14:paraId="76AA8E8E">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(4)技术偏差表</w:t>
      </w:r>
    </w:p>
    <w:p w14:paraId="396EB27A">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(5)服务承诺</w:t>
      </w:r>
    </w:p>
    <w:p w14:paraId="1545F0F1">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(6)关于资格的声明函</w:t>
      </w:r>
    </w:p>
    <w:p w14:paraId="477A904B">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(7)授权委托书</w:t>
      </w:r>
    </w:p>
    <w:p w14:paraId="00777D40">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（8）资格证明文件</w:t>
      </w:r>
    </w:p>
    <w:p w14:paraId="7F43A07A">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）其他资料</w:t>
      </w:r>
    </w:p>
    <w:p w14:paraId="4F4FA127">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据此函，签字代表宣布同意如下：</w:t>
      </w:r>
    </w:p>
    <w:p w14:paraId="20A0B1D7">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1、所附谈判响应报价表中规定的应提供和交付的货物总价为人民币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，即（大写）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5A8F2A49">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2、如果我们的谈判响应文件被接受，我们将履行谈判文件中规定的每一项要求，按期、按质、按量履行合同。</w:t>
      </w:r>
    </w:p>
    <w:p w14:paraId="35D9D833">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3、我方愿按《中华人民共和国</w:t>
      </w:r>
      <w:r>
        <w:rPr>
          <w:rFonts w:hint="eastAsia" w:cs="宋体"/>
          <w:sz w:val="24"/>
          <w:szCs w:val="24"/>
          <w:highlight w:val="none"/>
          <w:lang w:eastAsia="zh-CN"/>
        </w:rPr>
        <w:t>民法典</w:t>
      </w:r>
      <w:r>
        <w:rPr>
          <w:rFonts w:hint="eastAsia" w:ascii="宋体" w:hAnsi="宋体" w:eastAsia="宋体" w:cs="宋体"/>
          <w:sz w:val="24"/>
          <w:szCs w:val="24"/>
          <w:highlight w:val="none"/>
        </w:rPr>
        <w:t>》履行我方的全部责任。</w:t>
      </w:r>
    </w:p>
    <w:p w14:paraId="21716044">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4、谈判供应商已详细审查全部谈判文件，包括修改文件以及全部参考资料和有关附件。我们完全理解并同意放弃对这方面有不明及误解的权力。</w:t>
      </w:r>
    </w:p>
    <w:p w14:paraId="65476EB2">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5、本投标自谈判开始日起有效期为60天内。</w:t>
      </w:r>
    </w:p>
    <w:p w14:paraId="58F06926">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6、如果在规定的谈判时间后，我方在谈判响应有效期内撤回谈判响应文件，谈判保证金将被贵方没收。</w:t>
      </w:r>
    </w:p>
    <w:p w14:paraId="3B387F20">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7、谈判供应商同意提供按照贵方可能要求的与其谈判有关的一切数据或资料，理解贵方不一定要接受最低价的谈判。</w:t>
      </w:r>
      <w:r>
        <w:rPr>
          <w:rFonts w:hint="eastAsia" w:ascii="宋体" w:hAnsi="宋体" w:eastAsia="宋体" w:cs="宋体"/>
          <w:sz w:val="24"/>
          <w:szCs w:val="24"/>
          <w:highlight w:val="none"/>
          <w:lang w:eastAsia="zh-CN"/>
        </w:rPr>
        <w:t>投标函</w:t>
      </w:r>
      <w:r>
        <w:rPr>
          <w:rFonts w:hint="eastAsia" w:ascii="宋体" w:hAnsi="宋体" w:eastAsia="宋体" w:cs="宋体"/>
          <w:sz w:val="24"/>
          <w:szCs w:val="24"/>
          <w:highlight w:val="none"/>
        </w:rPr>
        <w:t>按统一格式填写，由供应商加盖公章，并由供应商法定代表人或其授权代表人签字</w:t>
      </w:r>
      <w:r>
        <w:rPr>
          <w:rFonts w:hint="eastAsia" w:ascii="宋体" w:hAnsi="宋体" w:eastAsia="宋体" w:cs="宋体"/>
          <w:sz w:val="24"/>
          <w:szCs w:val="24"/>
          <w:highlight w:val="none"/>
          <w:lang w:eastAsia="zh-CN"/>
        </w:rPr>
        <w:t>和盖章</w:t>
      </w:r>
      <w:r>
        <w:rPr>
          <w:rFonts w:hint="eastAsia" w:ascii="宋体" w:hAnsi="宋体" w:eastAsia="宋体" w:cs="宋体"/>
          <w:sz w:val="24"/>
          <w:szCs w:val="24"/>
          <w:highlight w:val="none"/>
        </w:rPr>
        <w:t>。</w:t>
      </w:r>
    </w:p>
    <w:p w14:paraId="498D4AEF">
      <w:pPr>
        <w:adjustRightIn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    8、我方保证谈判响应文件中的所有资料均为真实、有效的，如有虚假，我方承诺谈判响应文件无效并愿承担一切责任。</w:t>
      </w:r>
    </w:p>
    <w:p w14:paraId="05E84684">
      <w:pPr>
        <w:adjustRightInd w:val="0"/>
        <w:spacing w:line="360" w:lineRule="auto"/>
        <w:ind w:firstLine="565"/>
        <w:rPr>
          <w:rFonts w:hint="eastAsia" w:ascii="宋体" w:hAnsi="宋体" w:eastAsia="宋体" w:cs="宋体"/>
          <w:sz w:val="24"/>
          <w:szCs w:val="24"/>
          <w:highlight w:val="none"/>
        </w:rPr>
      </w:pPr>
      <w:r>
        <w:rPr>
          <w:rFonts w:hint="eastAsia" w:ascii="宋体" w:hAnsi="宋体" w:eastAsia="宋体" w:cs="宋体"/>
          <w:sz w:val="24"/>
          <w:szCs w:val="24"/>
          <w:highlight w:val="none"/>
        </w:rPr>
        <w:t>9、与本谈判有关的一切正式往来请寄：</w:t>
      </w:r>
    </w:p>
    <w:p w14:paraId="5DE01A21">
      <w:pPr>
        <w:adjustRightInd w:val="0"/>
        <w:spacing w:line="360" w:lineRule="auto"/>
        <w:rPr>
          <w:rFonts w:hint="eastAsia" w:ascii="宋体" w:hAnsi="宋体" w:eastAsia="宋体" w:cs="宋体"/>
          <w:sz w:val="24"/>
          <w:szCs w:val="24"/>
          <w:highlight w:val="none"/>
        </w:rPr>
      </w:pPr>
    </w:p>
    <w:p w14:paraId="256DA19D">
      <w:pPr>
        <w:adjustRightInd w:val="0"/>
        <w:spacing w:line="360" w:lineRule="auto"/>
        <w:ind w:firstLine="3780" w:firstLineChars="1575"/>
        <w:rPr>
          <w:rFonts w:hint="eastAsia" w:ascii="宋体" w:hAnsi="宋体" w:eastAsia="宋体" w:cs="宋体"/>
          <w:sz w:val="24"/>
          <w:szCs w:val="24"/>
          <w:highlight w:val="none"/>
        </w:rPr>
      </w:pPr>
      <w:r>
        <w:rPr>
          <w:rFonts w:hint="eastAsia" w:ascii="宋体" w:hAnsi="宋体" w:eastAsia="宋体" w:cs="宋体"/>
          <w:sz w:val="24"/>
          <w:szCs w:val="24"/>
          <w:highlight w:val="none"/>
        </w:rPr>
        <w:t>地址：邮政编码：</w:t>
      </w:r>
    </w:p>
    <w:p w14:paraId="7E313DEA">
      <w:pPr>
        <w:adjustRightInd w:val="0"/>
        <w:spacing w:line="360" w:lineRule="auto"/>
        <w:ind w:firstLine="3780" w:firstLineChars="1575"/>
        <w:rPr>
          <w:rFonts w:hint="eastAsia" w:ascii="宋体" w:hAnsi="宋体" w:eastAsia="宋体" w:cs="宋体"/>
          <w:sz w:val="24"/>
          <w:szCs w:val="24"/>
          <w:highlight w:val="none"/>
        </w:rPr>
      </w:pPr>
      <w:r>
        <w:rPr>
          <w:rFonts w:hint="eastAsia" w:ascii="宋体" w:hAnsi="宋体" w:eastAsia="宋体" w:cs="宋体"/>
          <w:sz w:val="24"/>
          <w:szCs w:val="24"/>
          <w:highlight w:val="none"/>
        </w:rPr>
        <w:t>电话：传真：</w:t>
      </w:r>
    </w:p>
    <w:p w14:paraId="1C2F20FB">
      <w:pPr>
        <w:adjustRightInd w:val="0"/>
        <w:spacing w:line="360" w:lineRule="auto"/>
        <w:ind w:firstLine="3780" w:firstLineChars="1575"/>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全权代表</w:t>
      </w:r>
      <w:r>
        <w:rPr>
          <w:rFonts w:hint="eastAsia" w:ascii="宋体" w:hAnsi="宋体" w:eastAsia="宋体" w:cs="宋体"/>
          <w:sz w:val="24"/>
          <w:szCs w:val="24"/>
          <w:highlight w:val="none"/>
        </w:rPr>
        <w:t>：</w:t>
      </w:r>
    </w:p>
    <w:p w14:paraId="4FB4869C">
      <w:pPr>
        <w:adjustRightInd w:val="0"/>
        <w:spacing w:line="360" w:lineRule="auto"/>
        <w:ind w:firstLine="3780" w:firstLineChars="1575"/>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谈判供应商名称（</w:t>
      </w:r>
      <w:r>
        <w:rPr>
          <w:rFonts w:hint="eastAsia" w:ascii="宋体" w:hAnsi="宋体" w:eastAsia="宋体" w:cs="宋体"/>
          <w:sz w:val="24"/>
          <w:szCs w:val="24"/>
          <w:highlight w:val="none"/>
          <w:lang w:val="en-US" w:eastAsia="zh-CN"/>
        </w:rPr>
        <w:t>电子</w:t>
      </w:r>
      <w:r>
        <w:rPr>
          <w:rFonts w:hint="eastAsia" w:ascii="宋体" w:hAnsi="宋体" w:eastAsia="宋体" w:cs="宋体"/>
          <w:sz w:val="24"/>
          <w:szCs w:val="24"/>
          <w:highlight w:val="none"/>
        </w:rPr>
        <w:t>签章）：</w:t>
      </w:r>
    </w:p>
    <w:p w14:paraId="5C3390C8">
      <w:pPr>
        <w:adjustRightInd w:val="0"/>
        <w:spacing w:line="360" w:lineRule="auto"/>
        <w:ind w:firstLine="3780" w:firstLineChars="1575"/>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p w14:paraId="77014482">
      <w:pPr>
        <w:adjustRightInd w:val="0"/>
        <w:rPr>
          <w:rFonts w:hint="eastAsia" w:ascii="宋体" w:hAnsi="宋体" w:eastAsia="宋体" w:cs="宋体"/>
          <w:sz w:val="28"/>
          <w:szCs w:val="28"/>
          <w:highlight w:val="none"/>
        </w:rPr>
      </w:pPr>
    </w:p>
    <w:p w14:paraId="344F7251">
      <w:pPr>
        <w:adjustRightInd w:val="0"/>
        <w:rPr>
          <w:rFonts w:hint="eastAsia" w:ascii="宋体" w:hAnsi="宋体" w:eastAsia="宋体" w:cs="宋体"/>
          <w:highlight w:val="none"/>
        </w:rPr>
        <w:sectPr>
          <w:pgSz w:w="12240" w:h="15840"/>
          <w:pgMar w:top="1440" w:right="1080" w:bottom="1440" w:left="1080" w:header="720" w:footer="720" w:gutter="0"/>
          <w:pgNumType w:fmt="decimal"/>
          <w:cols w:space="720" w:num="1"/>
        </w:sectPr>
      </w:pPr>
    </w:p>
    <w:p w14:paraId="6FDD969F">
      <w:pPr>
        <w:adjustRightInd w:val="0"/>
        <w:spacing w:after="269"/>
        <w:jc w:val="left"/>
        <w:rPr>
          <w:rFonts w:hint="eastAsia" w:ascii="宋体" w:hAnsi="宋体" w:eastAsia="宋体" w:cs="宋体"/>
          <w:b/>
          <w:bCs/>
          <w:sz w:val="32"/>
          <w:szCs w:val="32"/>
          <w:highlight w:val="none"/>
        </w:rPr>
      </w:pPr>
      <w:r>
        <w:rPr>
          <w:rFonts w:hint="eastAsia" w:ascii="宋体" w:hAnsi="宋体" w:eastAsia="宋体" w:cs="宋体"/>
          <w:sz w:val="28"/>
          <w:szCs w:val="28"/>
          <w:highlight w:val="none"/>
        </w:rPr>
        <w:t>附件2：</w:t>
      </w:r>
    </w:p>
    <w:p w14:paraId="468FBEAE">
      <w:pPr>
        <w:adjustRightInd w:val="0"/>
        <w:spacing w:after="269"/>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谈判价格一览表</w:t>
      </w:r>
    </w:p>
    <w:p w14:paraId="54FE8569">
      <w:pPr>
        <w:adjustRightInd w:val="0"/>
        <w:spacing w:line="240" w:lineRule="exact"/>
        <w:jc w:val="center"/>
        <w:rPr>
          <w:rFonts w:hint="eastAsia" w:ascii="宋体" w:hAnsi="宋体" w:eastAsia="宋体" w:cs="宋体"/>
          <w:sz w:val="36"/>
          <w:szCs w:val="36"/>
          <w:highlight w:val="none"/>
        </w:rPr>
      </w:pPr>
    </w:p>
    <w:p w14:paraId="05332317">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谈判供应商名称：</w:t>
      </w:r>
    </w:p>
    <w:p w14:paraId="47088957">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单位：元</w:t>
      </w:r>
    </w:p>
    <w:tbl>
      <w:tblPr>
        <w:tblStyle w:val="20"/>
        <w:tblW w:w="8905" w:type="dxa"/>
        <w:tblInd w:w="0" w:type="dxa"/>
        <w:tblLayout w:type="fixed"/>
        <w:tblCellMar>
          <w:top w:w="0" w:type="dxa"/>
          <w:left w:w="108" w:type="dxa"/>
          <w:bottom w:w="0" w:type="dxa"/>
          <w:right w:w="108" w:type="dxa"/>
        </w:tblCellMar>
      </w:tblPr>
      <w:tblGrid>
        <w:gridCol w:w="1557"/>
        <w:gridCol w:w="4367"/>
        <w:gridCol w:w="1620"/>
        <w:gridCol w:w="1361"/>
      </w:tblGrid>
      <w:tr w14:paraId="79834C48">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noWrap w:val="0"/>
            <w:vAlign w:val="center"/>
          </w:tcPr>
          <w:p w14:paraId="662BE8FF">
            <w:pPr>
              <w:adjustRightInd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noWrap w:val="0"/>
            <w:vAlign w:val="center"/>
          </w:tcPr>
          <w:p w14:paraId="45019085">
            <w:pPr>
              <w:adjustRightInd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noWrap w:val="0"/>
            <w:vAlign w:val="center"/>
          </w:tcPr>
          <w:p w14:paraId="19A5559F">
            <w:pPr>
              <w:adjustRightInd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投标</w:t>
            </w:r>
          </w:p>
          <w:p w14:paraId="2B25E00E">
            <w:pPr>
              <w:adjustRightInd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noWrap w:val="0"/>
            <w:vAlign w:val="center"/>
          </w:tcPr>
          <w:p w14:paraId="2BD3475D">
            <w:pPr>
              <w:adjustRightInd w:val="0"/>
              <w:jc w:val="center"/>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eastAsia="zh-CN"/>
              </w:rPr>
              <w:t>供货期</w:t>
            </w:r>
          </w:p>
        </w:tc>
      </w:tr>
      <w:tr w14:paraId="169D5FC9">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noWrap w:val="0"/>
            <w:vAlign w:val="center"/>
          </w:tcPr>
          <w:p w14:paraId="740ED09F">
            <w:pPr>
              <w:adjustRightInd w:val="0"/>
              <w:jc w:val="center"/>
              <w:rPr>
                <w:rFonts w:hint="eastAsia" w:ascii="宋体" w:hAnsi="宋体" w:eastAsia="宋体" w:cs="宋体"/>
                <w:b/>
                <w:bCs/>
                <w:sz w:val="28"/>
                <w:szCs w:val="28"/>
                <w:highlight w:val="none"/>
              </w:rPr>
            </w:pPr>
          </w:p>
        </w:tc>
        <w:tc>
          <w:tcPr>
            <w:tcW w:w="4367" w:type="dxa"/>
            <w:tcBorders>
              <w:top w:val="single" w:color="auto" w:sz="6" w:space="0"/>
              <w:left w:val="single" w:color="auto" w:sz="6" w:space="0"/>
              <w:right w:val="single" w:color="auto" w:sz="6" w:space="0"/>
            </w:tcBorders>
            <w:noWrap w:val="0"/>
            <w:vAlign w:val="top"/>
          </w:tcPr>
          <w:p w14:paraId="4A436E8F">
            <w:pPr>
              <w:adjustRightInd w:val="0"/>
              <w:jc w:val="center"/>
              <w:rPr>
                <w:rFonts w:hint="eastAsia" w:ascii="宋体" w:hAnsi="宋体" w:eastAsia="宋体" w:cs="宋体"/>
                <w:b/>
                <w:bCs/>
                <w:sz w:val="28"/>
                <w:szCs w:val="28"/>
                <w:highlight w:val="none"/>
              </w:rPr>
            </w:pPr>
          </w:p>
        </w:tc>
        <w:tc>
          <w:tcPr>
            <w:tcW w:w="1620" w:type="dxa"/>
            <w:tcBorders>
              <w:top w:val="single" w:color="auto" w:sz="6" w:space="0"/>
              <w:left w:val="single" w:color="auto" w:sz="6" w:space="0"/>
              <w:right w:val="single" w:color="auto" w:sz="6" w:space="0"/>
            </w:tcBorders>
            <w:noWrap w:val="0"/>
            <w:vAlign w:val="top"/>
          </w:tcPr>
          <w:p w14:paraId="4FFB938B">
            <w:pPr>
              <w:adjustRightInd w:val="0"/>
              <w:rPr>
                <w:rFonts w:hint="eastAsia" w:ascii="宋体" w:hAnsi="宋体" w:eastAsia="宋体" w:cs="宋体"/>
                <w:sz w:val="28"/>
                <w:szCs w:val="28"/>
                <w:highlight w:val="none"/>
              </w:rPr>
            </w:pPr>
          </w:p>
        </w:tc>
        <w:tc>
          <w:tcPr>
            <w:tcW w:w="1361" w:type="dxa"/>
            <w:tcBorders>
              <w:top w:val="single" w:color="auto" w:sz="6" w:space="0"/>
              <w:left w:val="single" w:color="auto" w:sz="6" w:space="0"/>
              <w:right w:val="single" w:color="auto" w:sz="6" w:space="0"/>
            </w:tcBorders>
            <w:noWrap w:val="0"/>
            <w:vAlign w:val="top"/>
          </w:tcPr>
          <w:p w14:paraId="4815BD15">
            <w:pPr>
              <w:adjustRightInd w:val="0"/>
              <w:rPr>
                <w:rFonts w:hint="eastAsia" w:ascii="宋体" w:hAnsi="宋体" w:eastAsia="宋体" w:cs="宋体"/>
                <w:sz w:val="28"/>
                <w:szCs w:val="28"/>
                <w:highlight w:val="none"/>
              </w:rPr>
            </w:pPr>
          </w:p>
        </w:tc>
      </w:tr>
      <w:tr w14:paraId="0EA739A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noWrap w:val="0"/>
            <w:vAlign w:val="center"/>
          </w:tcPr>
          <w:p w14:paraId="6ACA04B8">
            <w:pPr>
              <w:adjustRightInd w:val="0"/>
              <w:jc w:val="center"/>
              <w:rPr>
                <w:rFonts w:hint="eastAsia" w:ascii="宋体" w:hAnsi="宋体" w:eastAsia="宋体" w:cs="宋体"/>
                <w:b/>
                <w:bCs/>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noWrap w:val="0"/>
            <w:vAlign w:val="top"/>
          </w:tcPr>
          <w:p w14:paraId="6DA781E5">
            <w:pPr>
              <w:adjustRightInd w:val="0"/>
              <w:jc w:val="center"/>
              <w:rPr>
                <w:rFonts w:hint="eastAsia" w:ascii="宋体" w:hAnsi="宋体" w:eastAsia="宋体" w:cs="宋体"/>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65911DE0">
            <w:pPr>
              <w:adjustRightInd w:val="0"/>
              <w:rPr>
                <w:rFonts w:hint="eastAsia" w:ascii="宋体" w:hAnsi="宋体" w:eastAsia="宋体" w:cs="宋体"/>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noWrap w:val="0"/>
            <w:vAlign w:val="top"/>
          </w:tcPr>
          <w:p w14:paraId="0A491450">
            <w:pPr>
              <w:adjustRightInd w:val="0"/>
              <w:rPr>
                <w:rFonts w:hint="eastAsia" w:ascii="宋体" w:hAnsi="宋体" w:eastAsia="宋体" w:cs="宋体"/>
                <w:sz w:val="28"/>
                <w:szCs w:val="28"/>
                <w:highlight w:val="none"/>
              </w:rPr>
            </w:pPr>
          </w:p>
        </w:tc>
      </w:tr>
      <w:tr w14:paraId="169EF272">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noWrap w:val="0"/>
            <w:vAlign w:val="center"/>
          </w:tcPr>
          <w:p w14:paraId="7B6C5A82">
            <w:pPr>
              <w:adjustRightInd w:val="0"/>
              <w:jc w:val="center"/>
              <w:rPr>
                <w:rFonts w:hint="eastAsia" w:ascii="宋体" w:hAnsi="宋体" w:eastAsia="宋体" w:cs="宋体"/>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noWrap w:val="0"/>
            <w:vAlign w:val="top"/>
          </w:tcPr>
          <w:p w14:paraId="25600283">
            <w:pPr>
              <w:adjustRightInd w:val="0"/>
              <w:rPr>
                <w:rFonts w:hint="eastAsia" w:ascii="宋体" w:hAnsi="宋体" w:eastAsia="宋体" w:cs="宋体"/>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1B14F42B">
            <w:pPr>
              <w:adjustRightInd w:val="0"/>
              <w:rPr>
                <w:rFonts w:hint="eastAsia" w:ascii="宋体" w:hAnsi="宋体" w:eastAsia="宋体" w:cs="宋体"/>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noWrap w:val="0"/>
            <w:vAlign w:val="top"/>
          </w:tcPr>
          <w:p w14:paraId="68DAAC20">
            <w:pPr>
              <w:adjustRightInd w:val="0"/>
              <w:rPr>
                <w:rFonts w:hint="eastAsia" w:ascii="宋体" w:hAnsi="宋体" w:eastAsia="宋体" w:cs="宋体"/>
                <w:sz w:val="28"/>
                <w:szCs w:val="28"/>
                <w:highlight w:val="none"/>
              </w:rPr>
            </w:pPr>
          </w:p>
        </w:tc>
      </w:tr>
      <w:tr w14:paraId="4818E47F">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noWrap w:val="0"/>
            <w:vAlign w:val="center"/>
          </w:tcPr>
          <w:p w14:paraId="13018DDA">
            <w:pPr>
              <w:adjustRightInd w:val="0"/>
              <w:jc w:val="center"/>
              <w:rPr>
                <w:rFonts w:hint="eastAsia" w:ascii="宋体" w:hAnsi="宋体" w:eastAsia="宋体" w:cs="宋体"/>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noWrap w:val="0"/>
            <w:vAlign w:val="top"/>
          </w:tcPr>
          <w:p w14:paraId="435F4877">
            <w:pPr>
              <w:adjustRightInd w:val="0"/>
              <w:rPr>
                <w:rFonts w:hint="eastAsia" w:ascii="宋体" w:hAnsi="宋体" w:eastAsia="宋体" w:cs="宋体"/>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7B218886">
            <w:pPr>
              <w:adjustRightInd w:val="0"/>
              <w:rPr>
                <w:rFonts w:hint="eastAsia" w:ascii="宋体" w:hAnsi="宋体" w:eastAsia="宋体" w:cs="宋体"/>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noWrap w:val="0"/>
            <w:vAlign w:val="top"/>
          </w:tcPr>
          <w:p w14:paraId="7FD24AC8">
            <w:pPr>
              <w:adjustRightInd w:val="0"/>
              <w:rPr>
                <w:rFonts w:hint="eastAsia" w:ascii="宋体" w:hAnsi="宋体" w:eastAsia="宋体" w:cs="宋体"/>
                <w:sz w:val="28"/>
                <w:szCs w:val="28"/>
                <w:highlight w:val="none"/>
              </w:rPr>
            </w:pPr>
          </w:p>
        </w:tc>
      </w:tr>
      <w:tr w14:paraId="6C57AF29">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noWrap w:val="0"/>
            <w:vAlign w:val="center"/>
          </w:tcPr>
          <w:p w14:paraId="10257019">
            <w:pPr>
              <w:adjustRightInd w:val="0"/>
              <w:rPr>
                <w:rFonts w:hint="eastAsia" w:ascii="宋体" w:hAnsi="宋体" w:eastAsia="宋体" w:cs="宋体"/>
                <w:sz w:val="28"/>
                <w:szCs w:val="28"/>
                <w:highlight w:val="none"/>
              </w:rPr>
            </w:pPr>
            <w:r>
              <w:rPr>
                <w:rFonts w:hint="eastAsia" w:ascii="宋体" w:hAnsi="宋体" w:eastAsia="宋体" w:cs="宋体"/>
                <w:b/>
                <w:bCs/>
                <w:sz w:val="28"/>
                <w:szCs w:val="28"/>
                <w:highlight w:val="none"/>
              </w:rPr>
              <w:t>投标总价（人民币大写）：</w:t>
            </w:r>
            <w:r>
              <w:rPr>
                <w:rFonts w:hint="eastAsia" w:ascii="宋体" w:hAnsi="宋体" w:eastAsia="宋体" w:cs="宋体"/>
                <w:sz w:val="28"/>
                <w:szCs w:val="28"/>
                <w:highlight w:val="none"/>
              </w:rPr>
              <w:t>￥           元</w:t>
            </w:r>
          </w:p>
        </w:tc>
      </w:tr>
    </w:tbl>
    <w:p w14:paraId="2CE46D3D">
      <w:pPr>
        <w:adjustRightInd w:val="0"/>
        <w:rPr>
          <w:rFonts w:hint="eastAsia" w:ascii="宋体" w:hAnsi="宋体" w:eastAsia="宋体" w:cs="宋体"/>
          <w:b/>
          <w:bCs/>
          <w:sz w:val="24"/>
          <w:szCs w:val="24"/>
          <w:highlight w:val="none"/>
        </w:rPr>
      </w:pPr>
    </w:p>
    <w:p w14:paraId="3447D6C2">
      <w:pPr>
        <w:adjustRightInd w:val="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谈判供应商公章：</w:t>
      </w:r>
    </w:p>
    <w:p w14:paraId="4DC3BE97">
      <w:pPr>
        <w:spacing w:line="380" w:lineRule="exact"/>
        <w:ind w:right="64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授权委托人和法人：（签章）</w:t>
      </w:r>
    </w:p>
    <w:p w14:paraId="13873684">
      <w:pPr>
        <w:adjustRightInd w:val="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日期：</w:t>
      </w:r>
    </w:p>
    <w:p w14:paraId="662F3D98">
      <w:pPr>
        <w:adjustRightInd w:val="0"/>
        <w:rPr>
          <w:rFonts w:hint="eastAsia" w:ascii="宋体" w:hAnsi="宋体" w:eastAsia="宋体" w:cs="宋体"/>
          <w:b/>
          <w:bCs/>
          <w:color w:val="000000" w:themeColor="text1"/>
          <w:sz w:val="24"/>
          <w:szCs w:val="24"/>
          <w:highlight w:val="none"/>
          <w14:textFill>
            <w14:solidFill>
              <w14:schemeClr w14:val="tx1"/>
            </w14:solidFill>
          </w14:textFill>
        </w:rPr>
      </w:pPr>
    </w:p>
    <w:p w14:paraId="402C431F">
      <w:pPr>
        <w:adjustRightInd w:val="0"/>
        <w:rPr>
          <w:rFonts w:hint="eastAsia" w:ascii="宋体" w:hAnsi="宋体" w:eastAsia="宋体" w:cs="宋体"/>
          <w:b/>
          <w:bCs/>
          <w:sz w:val="24"/>
          <w:szCs w:val="24"/>
          <w:highlight w:val="none"/>
        </w:rPr>
      </w:pPr>
    </w:p>
    <w:p w14:paraId="2E47D3BF">
      <w:pPr>
        <w:adjustRightInd w:val="0"/>
        <w:rPr>
          <w:rFonts w:hint="eastAsia" w:ascii="宋体" w:hAnsi="宋体" w:eastAsia="宋体" w:cs="宋体"/>
          <w:b/>
          <w:bCs/>
          <w:sz w:val="24"/>
          <w:szCs w:val="24"/>
          <w:highlight w:val="none"/>
        </w:rPr>
      </w:pPr>
    </w:p>
    <w:p w14:paraId="068091DB">
      <w:pPr>
        <w:adjustRightInd w:val="0"/>
        <w:rPr>
          <w:rFonts w:hint="eastAsia" w:ascii="宋体" w:hAnsi="宋体" w:eastAsia="宋体" w:cs="宋体"/>
          <w:b/>
          <w:bCs/>
          <w:sz w:val="24"/>
          <w:szCs w:val="24"/>
          <w:highlight w:val="none"/>
        </w:rPr>
      </w:pPr>
    </w:p>
    <w:p w14:paraId="763B0B48">
      <w:pPr>
        <w:adjustRightInd w:val="0"/>
        <w:rPr>
          <w:rFonts w:hint="eastAsia" w:ascii="宋体" w:hAnsi="宋体" w:eastAsia="宋体" w:cs="宋体"/>
          <w:highlight w:val="none"/>
        </w:rPr>
        <w:sectPr>
          <w:pgSz w:w="11907" w:h="16840"/>
          <w:pgMar w:top="1440" w:right="1080" w:bottom="1440" w:left="1080" w:header="720" w:footer="720" w:gutter="0"/>
          <w:pgNumType w:fmt="decimal"/>
          <w:cols w:space="720" w:num="1"/>
        </w:sectPr>
      </w:pPr>
    </w:p>
    <w:p w14:paraId="688391C9">
      <w:pPr>
        <w:adjustRightInd w:val="0"/>
        <w:rPr>
          <w:rFonts w:hint="eastAsia" w:ascii="宋体" w:hAnsi="宋体" w:eastAsia="宋体" w:cs="宋体"/>
          <w:b/>
          <w:bCs/>
          <w:sz w:val="28"/>
          <w:szCs w:val="28"/>
          <w:highlight w:val="none"/>
        </w:rPr>
      </w:pPr>
    </w:p>
    <w:p w14:paraId="0F0D0356">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附件3：</w:t>
      </w:r>
    </w:p>
    <w:p w14:paraId="62FAFFB9">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谈判响应报价表</w:t>
      </w:r>
    </w:p>
    <w:p w14:paraId="73239121">
      <w:pPr>
        <w:adjustRightInd w:val="0"/>
        <w:jc w:val="center"/>
        <w:rPr>
          <w:rFonts w:hint="eastAsia" w:ascii="宋体" w:hAnsi="宋体" w:eastAsia="宋体" w:cs="宋体"/>
          <w:sz w:val="24"/>
          <w:szCs w:val="24"/>
          <w:highlight w:val="none"/>
        </w:rPr>
      </w:pPr>
    </w:p>
    <w:p w14:paraId="57D94D7A">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谈判供应商名称：</w:t>
      </w:r>
    </w:p>
    <w:p w14:paraId="6A1B51DE">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单位：元</w:t>
      </w:r>
    </w:p>
    <w:tbl>
      <w:tblPr>
        <w:tblStyle w:val="20"/>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2BB3DEC9">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noWrap w:val="0"/>
            <w:vAlign w:val="center"/>
          </w:tcPr>
          <w:p w14:paraId="14067F35">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noWrap w:val="0"/>
            <w:vAlign w:val="center"/>
          </w:tcPr>
          <w:p w14:paraId="535844E1">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noWrap w:val="0"/>
            <w:vAlign w:val="center"/>
          </w:tcPr>
          <w:p w14:paraId="07EB6A9A">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noWrap w:val="0"/>
            <w:vAlign w:val="center"/>
          </w:tcPr>
          <w:p w14:paraId="1BC8B0C3">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noWrap w:val="0"/>
            <w:vAlign w:val="center"/>
          </w:tcPr>
          <w:p w14:paraId="71286C23">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小计</w:t>
            </w:r>
          </w:p>
        </w:tc>
      </w:tr>
      <w:tr w14:paraId="1B988CC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36BC3749">
            <w:pPr>
              <w:adjustRightInd w:val="0"/>
              <w:jc w:val="center"/>
              <w:rPr>
                <w:rFonts w:hint="eastAsia" w:ascii="宋体" w:hAnsi="宋体" w:eastAsia="宋体" w:cs="宋体"/>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noWrap w:val="0"/>
            <w:vAlign w:val="top"/>
          </w:tcPr>
          <w:p w14:paraId="2BD3B2C8">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noWrap w:val="0"/>
            <w:vAlign w:val="center"/>
          </w:tcPr>
          <w:p w14:paraId="635DFF24">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noWrap w:val="0"/>
            <w:vAlign w:val="center"/>
          </w:tcPr>
          <w:p w14:paraId="3E76526A">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noWrap w:val="0"/>
            <w:vAlign w:val="center"/>
          </w:tcPr>
          <w:p w14:paraId="1A5FB89F">
            <w:pPr>
              <w:adjustRightInd w:val="0"/>
              <w:jc w:val="center"/>
              <w:rPr>
                <w:rFonts w:hint="eastAsia" w:ascii="宋体" w:hAnsi="宋体" w:eastAsia="宋体" w:cs="宋体"/>
                <w:sz w:val="24"/>
                <w:szCs w:val="24"/>
                <w:highlight w:val="none"/>
              </w:rPr>
            </w:pPr>
          </w:p>
        </w:tc>
      </w:tr>
      <w:tr w14:paraId="71BBF3E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758C00A9">
            <w:pPr>
              <w:adjustRightInd w:val="0"/>
              <w:jc w:val="center"/>
              <w:rPr>
                <w:rFonts w:hint="eastAsia" w:ascii="宋体" w:hAnsi="宋体" w:eastAsia="宋体" w:cs="宋体"/>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noWrap w:val="0"/>
            <w:vAlign w:val="top"/>
          </w:tcPr>
          <w:p w14:paraId="464FAFB5">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noWrap w:val="0"/>
            <w:vAlign w:val="center"/>
          </w:tcPr>
          <w:p w14:paraId="6C55D472">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noWrap w:val="0"/>
            <w:vAlign w:val="center"/>
          </w:tcPr>
          <w:p w14:paraId="4D7C138B">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noWrap w:val="0"/>
            <w:vAlign w:val="center"/>
          </w:tcPr>
          <w:p w14:paraId="3A3B89E6">
            <w:pPr>
              <w:adjustRightInd w:val="0"/>
              <w:jc w:val="center"/>
              <w:rPr>
                <w:rFonts w:hint="eastAsia" w:ascii="宋体" w:hAnsi="宋体" w:eastAsia="宋体" w:cs="宋体"/>
                <w:sz w:val="24"/>
                <w:szCs w:val="24"/>
                <w:highlight w:val="none"/>
              </w:rPr>
            </w:pPr>
          </w:p>
        </w:tc>
      </w:tr>
      <w:tr w14:paraId="5615111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63808302">
            <w:pPr>
              <w:adjustRightInd w:val="0"/>
              <w:jc w:val="center"/>
              <w:rPr>
                <w:rFonts w:hint="eastAsia" w:ascii="宋体" w:hAnsi="宋体" w:eastAsia="宋体" w:cs="宋体"/>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noWrap w:val="0"/>
            <w:vAlign w:val="top"/>
          </w:tcPr>
          <w:p w14:paraId="2CBB3DF0">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noWrap w:val="0"/>
            <w:vAlign w:val="center"/>
          </w:tcPr>
          <w:p w14:paraId="64F548D2">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noWrap w:val="0"/>
            <w:vAlign w:val="center"/>
          </w:tcPr>
          <w:p w14:paraId="23114D49">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noWrap w:val="0"/>
            <w:vAlign w:val="center"/>
          </w:tcPr>
          <w:p w14:paraId="39F01E92">
            <w:pPr>
              <w:adjustRightInd w:val="0"/>
              <w:jc w:val="center"/>
              <w:rPr>
                <w:rFonts w:hint="eastAsia" w:ascii="宋体" w:hAnsi="宋体" w:eastAsia="宋体" w:cs="宋体"/>
                <w:sz w:val="24"/>
                <w:szCs w:val="24"/>
                <w:highlight w:val="none"/>
              </w:rPr>
            </w:pPr>
          </w:p>
        </w:tc>
      </w:tr>
      <w:tr w14:paraId="2F1E2D7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2921768D">
            <w:pPr>
              <w:adjustRightInd w:val="0"/>
              <w:jc w:val="center"/>
              <w:rPr>
                <w:rFonts w:hint="eastAsia" w:ascii="宋体" w:hAnsi="宋体" w:eastAsia="宋体" w:cs="宋体"/>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noWrap w:val="0"/>
            <w:vAlign w:val="top"/>
          </w:tcPr>
          <w:p w14:paraId="1D846F66">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noWrap w:val="0"/>
            <w:vAlign w:val="center"/>
          </w:tcPr>
          <w:p w14:paraId="0F4DF067">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noWrap w:val="0"/>
            <w:vAlign w:val="center"/>
          </w:tcPr>
          <w:p w14:paraId="715DB67B">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noWrap w:val="0"/>
            <w:vAlign w:val="center"/>
          </w:tcPr>
          <w:p w14:paraId="43F67163">
            <w:pPr>
              <w:adjustRightInd w:val="0"/>
              <w:jc w:val="center"/>
              <w:rPr>
                <w:rFonts w:hint="eastAsia" w:ascii="宋体" w:hAnsi="宋体" w:eastAsia="宋体" w:cs="宋体"/>
                <w:sz w:val="24"/>
                <w:szCs w:val="24"/>
                <w:highlight w:val="none"/>
              </w:rPr>
            </w:pPr>
          </w:p>
        </w:tc>
      </w:tr>
      <w:tr w14:paraId="020E8EB6">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65B6CA75">
            <w:pPr>
              <w:adjustRightInd w:val="0"/>
              <w:jc w:val="center"/>
              <w:rPr>
                <w:rFonts w:hint="eastAsia" w:ascii="宋体" w:hAnsi="宋体" w:eastAsia="宋体" w:cs="宋体"/>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noWrap w:val="0"/>
            <w:vAlign w:val="top"/>
          </w:tcPr>
          <w:p w14:paraId="66D7A431">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noWrap w:val="0"/>
            <w:vAlign w:val="center"/>
          </w:tcPr>
          <w:p w14:paraId="487F0B40">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noWrap w:val="0"/>
            <w:vAlign w:val="center"/>
          </w:tcPr>
          <w:p w14:paraId="1C94D659">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noWrap w:val="0"/>
            <w:vAlign w:val="center"/>
          </w:tcPr>
          <w:p w14:paraId="6FDB1E93">
            <w:pPr>
              <w:adjustRightInd w:val="0"/>
              <w:jc w:val="center"/>
              <w:rPr>
                <w:rFonts w:hint="eastAsia" w:ascii="宋体" w:hAnsi="宋体" w:eastAsia="宋体" w:cs="宋体"/>
                <w:sz w:val="24"/>
                <w:szCs w:val="24"/>
                <w:highlight w:val="none"/>
              </w:rPr>
            </w:pPr>
          </w:p>
        </w:tc>
      </w:tr>
      <w:tr w14:paraId="421405AF">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5069A8D0">
            <w:pPr>
              <w:adjustRightInd w:val="0"/>
              <w:jc w:val="center"/>
              <w:rPr>
                <w:rFonts w:hint="eastAsia" w:ascii="宋体" w:hAnsi="宋体" w:eastAsia="宋体" w:cs="宋体"/>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noWrap w:val="0"/>
            <w:vAlign w:val="top"/>
          </w:tcPr>
          <w:p w14:paraId="1C497121">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noWrap w:val="0"/>
            <w:vAlign w:val="center"/>
          </w:tcPr>
          <w:p w14:paraId="39D8F924">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noWrap w:val="0"/>
            <w:vAlign w:val="center"/>
          </w:tcPr>
          <w:p w14:paraId="47CFD8FD">
            <w:pPr>
              <w:adjustRightInd w:val="0"/>
              <w:jc w:val="center"/>
              <w:rPr>
                <w:rFonts w:hint="eastAsia" w:ascii="宋体" w:hAnsi="宋体" w:eastAsia="宋体" w:cs="宋体"/>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noWrap w:val="0"/>
            <w:vAlign w:val="center"/>
          </w:tcPr>
          <w:p w14:paraId="1306A461">
            <w:pPr>
              <w:adjustRightInd w:val="0"/>
              <w:jc w:val="center"/>
              <w:rPr>
                <w:rFonts w:hint="eastAsia" w:ascii="宋体" w:hAnsi="宋体" w:eastAsia="宋体" w:cs="宋体"/>
                <w:sz w:val="24"/>
                <w:szCs w:val="24"/>
                <w:highlight w:val="none"/>
              </w:rPr>
            </w:pPr>
          </w:p>
        </w:tc>
      </w:tr>
      <w:tr w14:paraId="5393F1B9">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32DB4FB0">
            <w:pPr>
              <w:adjustRightInd w:val="0"/>
              <w:jc w:val="center"/>
              <w:rPr>
                <w:rFonts w:hint="eastAsia" w:ascii="宋体" w:hAnsi="宋体" w:eastAsia="宋体" w:cs="宋体"/>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noWrap w:val="0"/>
            <w:vAlign w:val="top"/>
          </w:tcPr>
          <w:p w14:paraId="7AA1AEBD">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noWrap w:val="0"/>
            <w:vAlign w:val="center"/>
          </w:tcPr>
          <w:p w14:paraId="0A19CE9F">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noWrap w:val="0"/>
            <w:vAlign w:val="center"/>
          </w:tcPr>
          <w:p w14:paraId="6C68533C">
            <w:pPr>
              <w:adjustRightInd w:val="0"/>
              <w:jc w:val="center"/>
              <w:rPr>
                <w:rFonts w:hint="eastAsia" w:ascii="宋体" w:hAnsi="宋体" w:eastAsia="宋体" w:cs="宋体"/>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noWrap w:val="0"/>
            <w:vAlign w:val="center"/>
          </w:tcPr>
          <w:p w14:paraId="36EB1CE9">
            <w:pPr>
              <w:adjustRightInd w:val="0"/>
              <w:jc w:val="center"/>
              <w:rPr>
                <w:rFonts w:hint="eastAsia" w:ascii="宋体" w:hAnsi="宋体" w:eastAsia="宋体" w:cs="宋体"/>
                <w:sz w:val="24"/>
                <w:szCs w:val="24"/>
                <w:highlight w:val="none"/>
              </w:rPr>
            </w:pPr>
          </w:p>
        </w:tc>
      </w:tr>
      <w:tr w14:paraId="49E1D7E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1C7C3C38">
            <w:pPr>
              <w:adjustRightInd w:val="0"/>
              <w:jc w:val="center"/>
              <w:rPr>
                <w:rFonts w:hint="eastAsia" w:ascii="宋体" w:hAnsi="宋体" w:eastAsia="宋体" w:cs="宋体"/>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noWrap w:val="0"/>
            <w:vAlign w:val="top"/>
          </w:tcPr>
          <w:p w14:paraId="4CF58041">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noWrap w:val="0"/>
            <w:vAlign w:val="center"/>
          </w:tcPr>
          <w:p w14:paraId="5501CB1A">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noWrap w:val="0"/>
            <w:vAlign w:val="center"/>
          </w:tcPr>
          <w:p w14:paraId="5DCD9038">
            <w:pPr>
              <w:adjustRightInd w:val="0"/>
              <w:jc w:val="center"/>
              <w:rPr>
                <w:rFonts w:hint="eastAsia" w:ascii="宋体" w:hAnsi="宋体" w:eastAsia="宋体" w:cs="宋体"/>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noWrap w:val="0"/>
            <w:vAlign w:val="center"/>
          </w:tcPr>
          <w:p w14:paraId="6993BE28">
            <w:pPr>
              <w:adjustRightInd w:val="0"/>
              <w:jc w:val="center"/>
              <w:rPr>
                <w:rFonts w:hint="eastAsia" w:ascii="宋体" w:hAnsi="宋体" w:eastAsia="宋体" w:cs="宋体"/>
                <w:sz w:val="24"/>
                <w:szCs w:val="24"/>
                <w:highlight w:val="none"/>
              </w:rPr>
            </w:pPr>
          </w:p>
        </w:tc>
      </w:tr>
      <w:tr w14:paraId="5C7935D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50838C24">
            <w:pPr>
              <w:adjustRightInd w:val="0"/>
              <w:jc w:val="center"/>
              <w:rPr>
                <w:rFonts w:hint="eastAsia" w:ascii="宋体" w:hAnsi="宋体" w:eastAsia="宋体" w:cs="宋体"/>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noWrap w:val="0"/>
            <w:vAlign w:val="top"/>
          </w:tcPr>
          <w:p w14:paraId="4D9411F3">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noWrap w:val="0"/>
            <w:vAlign w:val="center"/>
          </w:tcPr>
          <w:p w14:paraId="29774612">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noWrap w:val="0"/>
            <w:vAlign w:val="center"/>
          </w:tcPr>
          <w:p w14:paraId="0709CD82">
            <w:pPr>
              <w:adjustRightInd w:val="0"/>
              <w:jc w:val="center"/>
              <w:rPr>
                <w:rFonts w:hint="eastAsia" w:ascii="宋体" w:hAnsi="宋体" w:eastAsia="宋体" w:cs="宋体"/>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noWrap w:val="0"/>
            <w:vAlign w:val="center"/>
          </w:tcPr>
          <w:p w14:paraId="633425C1">
            <w:pPr>
              <w:adjustRightInd w:val="0"/>
              <w:jc w:val="center"/>
              <w:rPr>
                <w:rFonts w:hint="eastAsia" w:ascii="宋体" w:hAnsi="宋体" w:eastAsia="宋体" w:cs="宋体"/>
                <w:sz w:val="24"/>
                <w:szCs w:val="24"/>
                <w:highlight w:val="none"/>
              </w:rPr>
            </w:pPr>
          </w:p>
        </w:tc>
      </w:tr>
      <w:tr w14:paraId="6371B652">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noWrap w:val="0"/>
            <w:vAlign w:val="center"/>
          </w:tcPr>
          <w:p w14:paraId="223CEB2C">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总价（人民币大写）：￥     元</w:t>
            </w:r>
          </w:p>
        </w:tc>
      </w:tr>
    </w:tbl>
    <w:p w14:paraId="265506C4">
      <w:pPr>
        <w:adjustRightInd w:val="0"/>
        <w:jc w:val="center"/>
        <w:rPr>
          <w:rFonts w:hint="eastAsia" w:ascii="宋体" w:hAnsi="宋体" w:eastAsia="宋体" w:cs="宋体"/>
          <w:sz w:val="24"/>
          <w:szCs w:val="24"/>
          <w:highlight w:val="none"/>
        </w:rPr>
      </w:pPr>
    </w:p>
    <w:p w14:paraId="34679EB6">
      <w:pPr>
        <w:adjustRightInd w:val="0"/>
        <w:jc w:val="center"/>
        <w:rPr>
          <w:rFonts w:hint="eastAsia" w:ascii="宋体" w:hAnsi="宋体" w:eastAsia="宋体" w:cs="宋体"/>
          <w:sz w:val="24"/>
          <w:szCs w:val="24"/>
          <w:highlight w:val="none"/>
        </w:rPr>
      </w:pPr>
    </w:p>
    <w:p w14:paraId="3CCAD511">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谈判供应商代表签字：谈判供应商公章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日期：</w:t>
      </w:r>
    </w:p>
    <w:p w14:paraId="4BBB7BCA">
      <w:pPr>
        <w:adjustRightInd w:val="0"/>
        <w:jc w:val="center"/>
        <w:rPr>
          <w:rFonts w:hint="eastAsia" w:ascii="宋体" w:hAnsi="宋体" w:eastAsia="宋体" w:cs="宋体"/>
          <w:sz w:val="24"/>
          <w:szCs w:val="24"/>
          <w:highlight w:val="none"/>
        </w:rPr>
      </w:pPr>
    </w:p>
    <w:p w14:paraId="0078765B">
      <w:pPr>
        <w:adjustRightInd w:val="0"/>
        <w:rPr>
          <w:rFonts w:hint="eastAsia" w:ascii="宋体" w:hAnsi="宋体" w:eastAsia="宋体" w:cs="宋体"/>
          <w:b/>
          <w:bCs/>
          <w:sz w:val="24"/>
          <w:szCs w:val="24"/>
          <w:highlight w:val="none"/>
        </w:rPr>
      </w:pPr>
    </w:p>
    <w:p w14:paraId="7D06A32A">
      <w:pPr>
        <w:adjustRightInd w:val="0"/>
        <w:rPr>
          <w:rFonts w:hint="eastAsia" w:ascii="宋体" w:hAnsi="宋体" w:eastAsia="宋体" w:cs="宋体"/>
          <w:b/>
          <w:bCs/>
          <w:sz w:val="24"/>
          <w:szCs w:val="24"/>
          <w:highlight w:val="none"/>
        </w:rPr>
      </w:pPr>
    </w:p>
    <w:p w14:paraId="7071968C">
      <w:pPr>
        <w:adjustRightInd w:val="0"/>
        <w:rPr>
          <w:rFonts w:hint="eastAsia" w:ascii="宋体" w:hAnsi="宋体" w:eastAsia="宋体" w:cs="宋体"/>
          <w:b/>
          <w:bCs/>
          <w:sz w:val="24"/>
          <w:szCs w:val="24"/>
          <w:highlight w:val="none"/>
        </w:rPr>
      </w:pPr>
    </w:p>
    <w:p w14:paraId="2B37ECDA">
      <w:pPr>
        <w:adjustRightInd w:val="0"/>
        <w:rPr>
          <w:rFonts w:hint="eastAsia" w:ascii="宋体" w:hAnsi="宋体" w:eastAsia="宋体" w:cs="宋体"/>
          <w:b/>
          <w:bCs/>
          <w:sz w:val="24"/>
          <w:szCs w:val="24"/>
          <w:highlight w:val="none"/>
        </w:rPr>
      </w:pPr>
    </w:p>
    <w:p w14:paraId="280A93FD">
      <w:pPr>
        <w:adjustRightInd w:val="0"/>
        <w:rPr>
          <w:rFonts w:hint="eastAsia" w:ascii="宋体" w:hAnsi="宋体" w:eastAsia="宋体" w:cs="宋体"/>
          <w:b/>
          <w:bCs/>
          <w:sz w:val="28"/>
          <w:szCs w:val="28"/>
          <w:highlight w:val="none"/>
        </w:rPr>
      </w:pPr>
    </w:p>
    <w:p w14:paraId="3DC766A0">
      <w:pPr>
        <w:adjustRightInd w:val="0"/>
        <w:rPr>
          <w:rFonts w:hint="eastAsia" w:ascii="宋体" w:hAnsi="宋体" w:eastAsia="宋体" w:cs="宋体"/>
          <w:b/>
          <w:bCs/>
          <w:sz w:val="28"/>
          <w:szCs w:val="28"/>
          <w:highlight w:val="none"/>
        </w:rPr>
      </w:pPr>
    </w:p>
    <w:p w14:paraId="3071EBCE">
      <w:pPr>
        <w:adjustRightInd w:val="0"/>
        <w:rPr>
          <w:rFonts w:hint="eastAsia" w:ascii="宋体" w:hAnsi="宋体" w:eastAsia="宋体" w:cs="宋体"/>
          <w:b/>
          <w:bCs/>
          <w:sz w:val="28"/>
          <w:szCs w:val="28"/>
          <w:highlight w:val="none"/>
        </w:rPr>
      </w:pPr>
    </w:p>
    <w:p w14:paraId="53F3169C">
      <w:pPr>
        <w:adjustRightInd w:val="0"/>
        <w:rPr>
          <w:rFonts w:hint="eastAsia" w:ascii="宋体" w:hAnsi="宋体" w:eastAsia="宋体" w:cs="宋体"/>
          <w:b/>
          <w:bCs/>
          <w:sz w:val="28"/>
          <w:szCs w:val="28"/>
          <w:highlight w:val="none"/>
        </w:rPr>
      </w:pPr>
    </w:p>
    <w:p w14:paraId="469AD84A">
      <w:pPr>
        <w:adjustRightInd w:val="0"/>
        <w:rPr>
          <w:rFonts w:hint="eastAsia" w:ascii="宋体" w:hAnsi="宋体" w:eastAsia="宋体" w:cs="宋体"/>
          <w:b/>
          <w:bCs/>
          <w:sz w:val="28"/>
          <w:szCs w:val="28"/>
          <w:highlight w:val="none"/>
        </w:rPr>
      </w:pPr>
    </w:p>
    <w:p w14:paraId="3BE7C2F4">
      <w:pPr>
        <w:adjustRightInd w:val="0"/>
        <w:jc w:val="center"/>
        <w:rPr>
          <w:rFonts w:hint="eastAsia" w:ascii="宋体" w:hAnsi="宋体" w:eastAsia="宋体" w:cs="宋体"/>
          <w:b/>
          <w:bCs/>
          <w:sz w:val="32"/>
          <w:szCs w:val="32"/>
          <w:highlight w:val="none"/>
        </w:rPr>
      </w:pPr>
    </w:p>
    <w:p w14:paraId="182E7DA0">
      <w:pPr>
        <w:adjustRightInd w:val="0"/>
        <w:jc w:val="center"/>
        <w:rPr>
          <w:rFonts w:hint="eastAsia" w:ascii="宋体" w:hAnsi="宋体" w:eastAsia="宋体" w:cs="宋体"/>
          <w:b/>
          <w:bCs/>
          <w:sz w:val="32"/>
          <w:szCs w:val="32"/>
          <w:highlight w:val="none"/>
        </w:rPr>
      </w:pPr>
    </w:p>
    <w:p w14:paraId="2919699A">
      <w:pPr>
        <w:adjustRightInd w:val="0"/>
        <w:jc w:val="center"/>
        <w:rPr>
          <w:rFonts w:hint="eastAsia" w:ascii="宋体" w:hAnsi="宋体" w:eastAsia="宋体" w:cs="宋体"/>
          <w:b/>
          <w:bCs/>
          <w:sz w:val="32"/>
          <w:szCs w:val="32"/>
          <w:highlight w:val="none"/>
        </w:rPr>
      </w:pPr>
    </w:p>
    <w:p w14:paraId="489857F8">
      <w:pPr>
        <w:adjustRightInd w:val="0"/>
        <w:jc w:val="center"/>
        <w:rPr>
          <w:rFonts w:hint="eastAsia" w:ascii="宋体" w:hAnsi="宋体" w:eastAsia="宋体" w:cs="宋体"/>
          <w:b/>
          <w:bCs/>
          <w:sz w:val="32"/>
          <w:szCs w:val="32"/>
          <w:highlight w:val="none"/>
        </w:rPr>
      </w:pPr>
    </w:p>
    <w:p w14:paraId="11E6ED53">
      <w:pPr>
        <w:adjustRightInd w:val="0"/>
        <w:jc w:val="center"/>
        <w:rPr>
          <w:rFonts w:hint="eastAsia" w:ascii="宋体" w:hAnsi="宋体" w:eastAsia="宋体" w:cs="宋体"/>
          <w:b/>
          <w:bCs/>
          <w:sz w:val="32"/>
          <w:szCs w:val="32"/>
          <w:highlight w:val="none"/>
        </w:rPr>
      </w:pPr>
    </w:p>
    <w:p w14:paraId="0580DF73">
      <w:pPr>
        <w:adjustRightInd w:val="0"/>
        <w:jc w:val="center"/>
        <w:rPr>
          <w:rFonts w:hint="eastAsia" w:ascii="宋体" w:hAnsi="宋体" w:eastAsia="宋体" w:cs="宋体"/>
          <w:b/>
          <w:bCs/>
          <w:sz w:val="32"/>
          <w:szCs w:val="32"/>
          <w:highlight w:val="none"/>
        </w:rPr>
      </w:pPr>
    </w:p>
    <w:p w14:paraId="12BCBE45">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附件4：</w:t>
      </w:r>
    </w:p>
    <w:p w14:paraId="09AE8AC7">
      <w:pPr>
        <w:adjustRightInd w:val="0"/>
        <w:rPr>
          <w:rFonts w:hint="eastAsia" w:ascii="宋体" w:hAnsi="宋体" w:eastAsia="宋体" w:cs="宋体"/>
          <w:b/>
          <w:bCs/>
          <w:sz w:val="32"/>
          <w:szCs w:val="32"/>
          <w:highlight w:val="none"/>
        </w:rPr>
      </w:pPr>
    </w:p>
    <w:p w14:paraId="01844E13">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技术偏差表</w:t>
      </w:r>
    </w:p>
    <w:p w14:paraId="6240C6F2">
      <w:pPr>
        <w:adjustRightInd w:val="0"/>
        <w:rPr>
          <w:rFonts w:hint="eastAsia" w:ascii="宋体" w:hAnsi="宋体" w:eastAsia="宋体" w:cs="宋体"/>
          <w:highlight w:val="none"/>
        </w:rPr>
      </w:pPr>
    </w:p>
    <w:p w14:paraId="0B8A25C8">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谈判供应商名称： </w:t>
      </w:r>
    </w:p>
    <w:p w14:paraId="1AFFDA7F">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采购编号：号</w:t>
      </w:r>
    </w:p>
    <w:tbl>
      <w:tblPr>
        <w:tblStyle w:val="20"/>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4DBC9A88">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noWrap w:val="0"/>
            <w:vAlign w:val="center"/>
          </w:tcPr>
          <w:p w14:paraId="1B0CB9FE">
            <w:pPr>
              <w:jc w:val="center"/>
              <w:rPr>
                <w:rFonts w:hint="eastAsia" w:ascii="宋体" w:hAnsi="宋体" w:eastAsia="宋体" w:cs="宋体"/>
                <w:sz w:val="24"/>
                <w:szCs w:val="24"/>
                <w:highlight w:val="none"/>
              </w:rPr>
            </w:pPr>
            <w:r>
              <w:rPr>
                <w:rFonts w:hint="eastAsia" w:ascii="宋体" w:hAnsi="宋体" w:eastAsia="宋体" w:cs="宋体"/>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A58BC23">
            <w:pPr>
              <w:jc w:val="center"/>
              <w:rPr>
                <w:rFonts w:hint="eastAsia" w:ascii="宋体" w:hAnsi="宋体" w:eastAsia="宋体" w:cs="宋体"/>
                <w:sz w:val="24"/>
                <w:szCs w:val="24"/>
                <w:highlight w:val="none"/>
              </w:rPr>
            </w:pPr>
            <w:r>
              <w:rPr>
                <w:rFonts w:hint="eastAsia" w:ascii="宋体" w:hAnsi="宋体" w:eastAsia="宋体" w:cs="宋体"/>
                <w:highlight w:val="none"/>
              </w:rPr>
              <w:t>名称</w:t>
            </w:r>
          </w:p>
        </w:tc>
        <w:tc>
          <w:tcPr>
            <w:tcW w:w="6191" w:type="dxa"/>
            <w:gridSpan w:val="2"/>
            <w:tcBorders>
              <w:top w:val="single" w:color="auto" w:sz="4" w:space="0"/>
              <w:left w:val="nil"/>
              <w:bottom w:val="single" w:color="auto" w:sz="4" w:space="0"/>
              <w:right w:val="single" w:color="auto" w:sz="4" w:space="0"/>
            </w:tcBorders>
            <w:noWrap w:val="0"/>
            <w:vAlign w:val="bottom"/>
          </w:tcPr>
          <w:p w14:paraId="063639A3">
            <w:pPr>
              <w:jc w:val="center"/>
              <w:rPr>
                <w:rFonts w:hint="eastAsia" w:ascii="宋体" w:hAnsi="宋体" w:eastAsia="宋体" w:cs="宋体"/>
                <w:sz w:val="24"/>
                <w:szCs w:val="24"/>
                <w:highlight w:val="none"/>
              </w:rPr>
            </w:pPr>
            <w:r>
              <w:rPr>
                <w:rFonts w:hint="eastAsia" w:ascii="宋体" w:hAnsi="宋体" w:eastAsia="宋体" w:cs="宋体"/>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noWrap w:val="0"/>
            <w:vAlign w:val="center"/>
          </w:tcPr>
          <w:p w14:paraId="6236CAE0">
            <w:pPr>
              <w:jc w:val="center"/>
              <w:rPr>
                <w:rFonts w:hint="eastAsia" w:ascii="宋体" w:hAnsi="宋体" w:eastAsia="宋体" w:cs="宋体"/>
                <w:sz w:val="24"/>
                <w:szCs w:val="24"/>
                <w:highlight w:val="none"/>
              </w:rPr>
            </w:pPr>
            <w:r>
              <w:rPr>
                <w:rFonts w:hint="eastAsia" w:ascii="宋体" w:hAnsi="宋体" w:eastAsia="宋体" w:cs="宋体"/>
                <w:highlight w:val="none"/>
              </w:rPr>
              <w:t>偏差</w:t>
            </w:r>
          </w:p>
        </w:tc>
      </w:tr>
      <w:tr w14:paraId="5BDC3650">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noWrap w:val="0"/>
            <w:vAlign w:val="center"/>
          </w:tcPr>
          <w:p w14:paraId="66F0DC8B">
            <w:pPr>
              <w:jc w:val="center"/>
              <w:rPr>
                <w:rFonts w:hint="eastAsia" w:ascii="宋体" w:hAnsi="宋体" w:eastAsia="宋体" w:cs="宋体"/>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322EFB8">
            <w:pPr>
              <w:rPr>
                <w:rFonts w:hint="eastAsia" w:ascii="宋体" w:hAnsi="宋体" w:eastAsia="宋体" w:cs="宋体"/>
                <w:sz w:val="24"/>
                <w:szCs w:val="24"/>
                <w:highlight w:val="none"/>
              </w:rPr>
            </w:pPr>
          </w:p>
        </w:tc>
        <w:tc>
          <w:tcPr>
            <w:tcW w:w="3311" w:type="dxa"/>
            <w:tcBorders>
              <w:top w:val="nil"/>
              <w:left w:val="nil"/>
              <w:bottom w:val="single" w:color="auto" w:sz="4" w:space="0"/>
              <w:right w:val="single" w:color="auto" w:sz="4" w:space="0"/>
            </w:tcBorders>
            <w:noWrap w:val="0"/>
            <w:vAlign w:val="bottom"/>
          </w:tcPr>
          <w:p w14:paraId="2E604B01">
            <w:pPr>
              <w:jc w:val="center"/>
              <w:rPr>
                <w:rFonts w:hint="eastAsia" w:ascii="宋体" w:hAnsi="宋体" w:eastAsia="宋体" w:cs="宋体"/>
                <w:sz w:val="24"/>
                <w:szCs w:val="24"/>
                <w:highlight w:val="none"/>
              </w:rPr>
            </w:pPr>
            <w:r>
              <w:rPr>
                <w:rFonts w:hint="eastAsia" w:ascii="宋体" w:hAnsi="宋体" w:eastAsia="宋体" w:cs="宋体"/>
                <w:highlight w:val="none"/>
              </w:rPr>
              <w:t>谈判文件</w:t>
            </w:r>
          </w:p>
        </w:tc>
        <w:tc>
          <w:tcPr>
            <w:tcW w:w="2880" w:type="dxa"/>
            <w:tcBorders>
              <w:top w:val="nil"/>
              <w:left w:val="nil"/>
              <w:bottom w:val="single" w:color="auto" w:sz="4" w:space="0"/>
              <w:right w:val="single" w:color="auto" w:sz="4" w:space="0"/>
            </w:tcBorders>
            <w:noWrap w:val="0"/>
            <w:vAlign w:val="bottom"/>
          </w:tcPr>
          <w:p w14:paraId="533F58AE">
            <w:pPr>
              <w:jc w:val="center"/>
              <w:rPr>
                <w:rFonts w:hint="eastAsia" w:ascii="宋体" w:hAnsi="宋体" w:eastAsia="宋体" w:cs="宋体"/>
                <w:sz w:val="24"/>
                <w:szCs w:val="24"/>
                <w:highlight w:val="none"/>
              </w:rPr>
            </w:pPr>
            <w:r>
              <w:rPr>
                <w:rFonts w:hint="eastAsia" w:ascii="宋体" w:hAnsi="宋体" w:eastAsia="宋体" w:cs="宋体"/>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noWrap w:val="0"/>
            <w:vAlign w:val="center"/>
          </w:tcPr>
          <w:p w14:paraId="0581AA8F">
            <w:pPr>
              <w:rPr>
                <w:rFonts w:hint="eastAsia" w:ascii="宋体" w:hAnsi="宋体" w:eastAsia="宋体" w:cs="宋体"/>
                <w:sz w:val="24"/>
                <w:szCs w:val="24"/>
                <w:highlight w:val="none"/>
              </w:rPr>
            </w:pPr>
          </w:p>
        </w:tc>
      </w:tr>
      <w:tr w14:paraId="007FC9E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7BEE9F9D">
            <w:pPr>
              <w:spacing w:beforeLines="20" w:afterLines="20"/>
              <w:ind w:left="110" w:leftChars="50" w:right="110" w:rightChars="50"/>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noWrap w:val="0"/>
            <w:vAlign w:val="top"/>
          </w:tcPr>
          <w:p w14:paraId="0796C50C">
            <w:pPr>
              <w:spacing w:beforeLines="20" w:afterLines="20"/>
              <w:ind w:left="110" w:leftChars="50" w:right="110" w:rightChars="50"/>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noWrap w:val="0"/>
            <w:vAlign w:val="top"/>
          </w:tcPr>
          <w:p w14:paraId="3B178523">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noWrap w:val="0"/>
            <w:vAlign w:val="top"/>
          </w:tcPr>
          <w:p w14:paraId="4CA002E4">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noWrap w:val="0"/>
            <w:vAlign w:val="center"/>
          </w:tcPr>
          <w:p w14:paraId="4BAF5D85">
            <w:pPr>
              <w:spacing w:beforeLines="20" w:afterLines="20"/>
              <w:ind w:left="110" w:leftChars="50" w:right="110" w:rightChars="50"/>
              <w:jc w:val="center"/>
              <w:rPr>
                <w:rFonts w:hint="eastAsia" w:ascii="宋体" w:hAnsi="宋体" w:eastAsia="宋体" w:cs="宋体"/>
                <w:highlight w:val="none"/>
              </w:rPr>
            </w:pPr>
          </w:p>
        </w:tc>
      </w:tr>
      <w:tr w14:paraId="19283FE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1189CCAB">
            <w:pPr>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noWrap w:val="0"/>
            <w:vAlign w:val="top"/>
          </w:tcPr>
          <w:p w14:paraId="03F043A0">
            <w:pPr>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noWrap w:val="0"/>
            <w:vAlign w:val="top"/>
          </w:tcPr>
          <w:p w14:paraId="77194E6F">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noWrap w:val="0"/>
            <w:vAlign w:val="top"/>
          </w:tcPr>
          <w:p w14:paraId="16263573">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noWrap w:val="0"/>
            <w:vAlign w:val="center"/>
          </w:tcPr>
          <w:p w14:paraId="06DF00FC">
            <w:pPr>
              <w:spacing w:beforeLines="20" w:afterLines="20"/>
              <w:ind w:left="110" w:leftChars="50" w:right="110" w:rightChars="50"/>
              <w:jc w:val="center"/>
              <w:rPr>
                <w:rFonts w:hint="eastAsia" w:ascii="宋体" w:hAnsi="宋体" w:eastAsia="宋体" w:cs="宋体"/>
                <w:highlight w:val="none"/>
              </w:rPr>
            </w:pPr>
          </w:p>
        </w:tc>
      </w:tr>
      <w:tr w14:paraId="50357AD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7B3DF188">
            <w:pPr>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noWrap w:val="0"/>
            <w:vAlign w:val="top"/>
          </w:tcPr>
          <w:p w14:paraId="7BC30E14">
            <w:pPr>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noWrap w:val="0"/>
            <w:vAlign w:val="top"/>
          </w:tcPr>
          <w:p w14:paraId="0C2A13BE">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noWrap w:val="0"/>
            <w:vAlign w:val="top"/>
          </w:tcPr>
          <w:p w14:paraId="6EA3A65F">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noWrap w:val="0"/>
            <w:vAlign w:val="center"/>
          </w:tcPr>
          <w:p w14:paraId="024AD44E">
            <w:pPr>
              <w:spacing w:beforeLines="20" w:afterLines="20"/>
              <w:ind w:left="110" w:leftChars="50" w:right="110" w:rightChars="50"/>
              <w:jc w:val="center"/>
              <w:rPr>
                <w:rFonts w:hint="eastAsia" w:ascii="宋体" w:hAnsi="宋体" w:eastAsia="宋体" w:cs="宋体"/>
                <w:highlight w:val="none"/>
              </w:rPr>
            </w:pPr>
          </w:p>
        </w:tc>
      </w:tr>
      <w:tr w14:paraId="47E212F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490CE7CA">
            <w:pPr>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noWrap w:val="0"/>
            <w:vAlign w:val="top"/>
          </w:tcPr>
          <w:p w14:paraId="19F8B7C1">
            <w:pPr>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noWrap w:val="0"/>
            <w:vAlign w:val="top"/>
          </w:tcPr>
          <w:p w14:paraId="62FDD1FE">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noWrap w:val="0"/>
            <w:vAlign w:val="top"/>
          </w:tcPr>
          <w:p w14:paraId="77612EBE">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noWrap w:val="0"/>
            <w:vAlign w:val="center"/>
          </w:tcPr>
          <w:p w14:paraId="35E6BE20">
            <w:pPr>
              <w:spacing w:beforeLines="20" w:afterLines="20"/>
              <w:ind w:left="110" w:leftChars="50" w:right="110" w:rightChars="50"/>
              <w:jc w:val="center"/>
              <w:rPr>
                <w:rFonts w:hint="eastAsia" w:ascii="宋体" w:hAnsi="宋体" w:eastAsia="宋体" w:cs="宋体"/>
                <w:highlight w:val="none"/>
              </w:rPr>
            </w:pPr>
          </w:p>
        </w:tc>
      </w:tr>
      <w:tr w14:paraId="5121380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3FA51B59">
            <w:pPr>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noWrap w:val="0"/>
            <w:vAlign w:val="top"/>
          </w:tcPr>
          <w:p w14:paraId="3F5722F0">
            <w:pPr>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noWrap w:val="0"/>
            <w:vAlign w:val="top"/>
          </w:tcPr>
          <w:p w14:paraId="178A42A7">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noWrap w:val="0"/>
            <w:vAlign w:val="top"/>
          </w:tcPr>
          <w:p w14:paraId="1100B576">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noWrap w:val="0"/>
            <w:vAlign w:val="center"/>
          </w:tcPr>
          <w:p w14:paraId="6A92AE12">
            <w:pPr>
              <w:spacing w:beforeLines="20" w:afterLines="20"/>
              <w:ind w:left="110" w:leftChars="50" w:right="110" w:rightChars="50"/>
              <w:jc w:val="center"/>
              <w:rPr>
                <w:rFonts w:hint="eastAsia" w:ascii="宋体" w:hAnsi="宋体" w:eastAsia="宋体" w:cs="宋体"/>
                <w:highlight w:val="none"/>
              </w:rPr>
            </w:pPr>
          </w:p>
        </w:tc>
      </w:tr>
    </w:tbl>
    <w:p w14:paraId="022A31B9">
      <w:pPr>
        <w:adjustRightInd w:val="0"/>
        <w:rPr>
          <w:rFonts w:hint="eastAsia" w:ascii="宋体" w:hAnsi="宋体" w:eastAsia="宋体" w:cs="宋体"/>
          <w:sz w:val="24"/>
          <w:szCs w:val="24"/>
          <w:highlight w:val="none"/>
        </w:rPr>
      </w:pPr>
    </w:p>
    <w:p w14:paraId="25B1A426">
      <w:pPr>
        <w:adjustRightInd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谈判供应商代表签字：谈判供应商公章：日期：</w:t>
      </w:r>
    </w:p>
    <w:p w14:paraId="71BA8763">
      <w:pPr>
        <w:adjustRightInd w:val="0"/>
        <w:rPr>
          <w:rFonts w:hint="eastAsia" w:ascii="宋体" w:hAnsi="宋体" w:eastAsia="宋体" w:cs="宋体"/>
          <w:sz w:val="24"/>
          <w:szCs w:val="24"/>
          <w:highlight w:val="none"/>
        </w:rPr>
      </w:pPr>
    </w:p>
    <w:p w14:paraId="722E3E49">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注：1.“偏差描述”栏中详细注明响应文件参数与谈判文件中要求有何不同，并说明其符合性。</w:t>
      </w:r>
    </w:p>
    <w:p w14:paraId="16BC8612">
      <w:pPr>
        <w:adjustRightInd w:val="0"/>
        <w:ind w:firstLine="517"/>
        <w:rPr>
          <w:rFonts w:hint="eastAsia" w:ascii="宋体" w:hAnsi="宋体" w:eastAsia="宋体" w:cs="宋体"/>
          <w:sz w:val="24"/>
          <w:szCs w:val="24"/>
          <w:highlight w:val="none"/>
        </w:rPr>
      </w:pPr>
      <w:r>
        <w:rPr>
          <w:rFonts w:hint="eastAsia" w:ascii="宋体" w:hAnsi="宋体" w:eastAsia="宋体" w:cs="宋体"/>
          <w:sz w:val="24"/>
          <w:szCs w:val="24"/>
          <w:highlight w:val="none"/>
        </w:rPr>
        <w:t>2.谈判供应商可根据需要自行增减表格行数。</w:t>
      </w:r>
    </w:p>
    <w:p w14:paraId="28DE7C50">
      <w:pPr>
        <w:adjustRightInd w:val="0"/>
        <w:ind w:firstLine="390"/>
        <w:rPr>
          <w:rFonts w:hint="eastAsia" w:ascii="宋体" w:hAnsi="宋体" w:eastAsia="宋体" w:cs="宋体"/>
          <w:sz w:val="18"/>
          <w:szCs w:val="18"/>
          <w:highlight w:val="none"/>
        </w:rPr>
      </w:pPr>
    </w:p>
    <w:p w14:paraId="364829EE">
      <w:pPr>
        <w:adjustRightInd w:val="0"/>
        <w:rPr>
          <w:rFonts w:hint="eastAsia" w:ascii="宋体" w:hAnsi="宋体" w:eastAsia="宋体" w:cs="宋体"/>
          <w:sz w:val="28"/>
          <w:szCs w:val="28"/>
          <w:highlight w:val="none"/>
        </w:rPr>
      </w:pPr>
    </w:p>
    <w:p w14:paraId="76E1A637">
      <w:pPr>
        <w:adjustRightInd w:val="0"/>
        <w:rPr>
          <w:rFonts w:hint="eastAsia" w:ascii="宋体" w:hAnsi="宋体" w:eastAsia="宋体" w:cs="宋体"/>
          <w:highlight w:val="none"/>
        </w:rPr>
        <w:sectPr>
          <w:pgSz w:w="11907" w:h="16840"/>
          <w:pgMar w:top="1440" w:right="1080" w:bottom="1440" w:left="1080" w:header="720" w:footer="720" w:gutter="0"/>
          <w:pgNumType w:fmt="decimal"/>
          <w:cols w:space="720" w:num="1"/>
        </w:sectPr>
      </w:pPr>
    </w:p>
    <w:p w14:paraId="799B3130">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附件5：</w:t>
      </w:r>
    </w:p>
    <w:p w14:paraId="08682F81">
      <w:pPr>
        <w:adjustRightInd w:val="0"/>
        <w:jc w:val="center"/>
        <w:rPr>
          <w:rFonts w:hint="eastAsia" w:ascii="宋体" w:hAnsi="宋体" w:eastAsia="宋体" w:cs="宋体"/>
          <w:b/>
          <w:bCs/>
          <w:sz w:val="32"/>
          <w:szCs w:val="32"/>
          <w:highlight w:val="none"/>
        </w:rPr>
      </w:pPr>
    </w:p>
    <w:p w14:paraId="619E0127">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服务承诺</w:t>
      </w:r>
    </w:p>
    <w:p w14:paraId="33DFDB65">
      <w:pPr>
        <w:adjustRightInd w:val="0"/>
        <w:jc w:val="center"/>
        <w:rPr>
          <w:rFonts w:hint="eastAsia" w:ascii="宋体" w:hAnsi="宋体" w:eastAsia="宋体" w:cs="宋体"/>
          <w:sz w:val="28"/>
          <w:szCs w:val="28"/>
          <w:highlight w:val="none"/>
        </w:rPr>
      </w:pPr>
    </w:p>
    <w:p w14:paraId="4C4A845B">
      <w:pPr>
        <w:adjustRightInd w:val="0"/>
        <w:ind w:firstLine="585"/>
        <w:rPr>
          <w:rFonts w:hint="eastAsia" w:ascii="宋体" w:hAnsi="宋体" w:eastAsia="宋体" w:cs="宋体"/>
          <w:sz w:val="24"/>
          <w:szCs w:val="24"/>
          <w:highlight w:val="none"/>
        </w:rPr>
      </w:pPr>
      <w:r>
        <w:rPr>
          <w:rFonts w:hint="eastAsia" w:ascii="宋体" w:hAnsi="宋体" w:eastAsia="宋体" w:cs="宋体"/>
          <w:sz w:val="24"/>
          <w:szCs w:val="24"/>
          <w:highlight w:val="none"/>
        </w:rPr>
        <w:t>1、详细说明售后服务的内容、形式，含免费服务时间。</w:t>
      </w:r>
    </w:p>
    <w:p w14:paraId="4342CF00">
      <w:pPr>
        <w:adjustRightInd w:val="0"/>
        <w:ind w:firstLine="585"/>
        <w:rPr>
          <w:rFonts w:hint="eastAsia" w:ascii="宋体" w:hAnsi="宋体" w:eastAsia="宋体" w:cs="宋体"/>
          <w:sz w:val="24"/>
          <w:szCs w:val="24"/>
          <w:highlight w:val="none"/>
        </w:rPr>
      </w:pPr>
      <w:r>
        <w:rPr>
          <w:rFonts w:hint="eastAsia" w:ascii="宋体" w:hAnsi="宋体" w:eastAsia="宋体" w:cs="宋体"/>
          <w:sz w:val="24"/>
          <w:szCs w:val="24"/>
          <w:highlight w:val="none"/>
        </w:rPr>
        <w:t>2、解决质量或操作问题时间。</w:t>
      </w:r>
    </w:p>
    <w:p w14:paraId="0F4761CA">
      <w:pPr>
        <w:adjustRightInd w:val="0"/>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rPr>
        <w:t>3、质量保证措施。</w:t>
      </w:r>
    </w:p>
    <w:p w14:paraId="1D0F32CB">
      <w:pPr>
        <w:adjustRightInd w:val="0"/>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rPr>
        <w:t>4、谈判供应商认为需要说明的其他服务承诺。</w:t>
      </w:r>
    </w:p>
    <w:p w14:paraId="122F208F">
      <w:pPr>
        <w:adjustRightInd w:val="0"/>
        <w:rPr>
          <w:rFonts w:hint="eastAsia" w:ascii="宋体" w:hAnsi="宋体" w:eastAsia="宋体" w:cs="宋体"/>
          <w:sz w:val="28"/>
          <w:szCs w:val="28"/>
          <w:highlight w:val="none"/>
        </w:rPr>
      </w:pPr>
    </w:p>
    <w:p w14:paraId="7456D6CB">
      <w:pPr>
        <w:adjustRightInd w:val="0"/>
        <w:rPr>
          <w:rFonts w:hint="eastAsia" w:ascii="宋体" w:hAnsi="宋体" w:eastAsia="宋体" w:cs="宋体"/>
          <w:sz w:val="28"/>
          <w:szCs w:val="28"/>
          <w:highlight w:val="none"/>
        </w:rPr>
      </w:pPr>
    </w:p>
    <w:p w14:paraId="6BC14708">
      <w:pPr>
        <w:adjustRightInd w:val="0"/>
        <w:rPr>
          <w:rFonts w:hint="eastAsia" w:ascii="宋体" w:hAnsi="宋体" w:eastAsia="宋体" w:cs="宋体"/>
          <w:sz w:val="24"/>
          <w:szCs w:val="24"/>
          <w:highlight w:val="none"/>
        </w:rPr>
      </w:pPr>
    </w:p>
    <w:p w14:paraId="37652ABE">
      <w:pPr>
        <w:adjustRightInd w:val="0"/>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谈判供应商代表签名：</w:t>
      </w:r>
    </w:p>
    <w:p w14:paraId="4D421BB1">
      <w:pPr>
        <w:adjustRightInd w:val="0"/>
        <w:rPr>
          <w:rFonts w:hint="eastAsia" w:ascii="宋体" w:hAnsi="宋体" w:eastAsia="宋体" w:cs="宋体"/>
          <w:sz w:val="24"/>
          <w:szCs w:val="24"/>
          <w:highlight w:val="none"/>
        </w:rPr>
      </w:pPr>
    </w:p>
    <w:p w14:paraId="41A73F38">
      <w:pPr>
        <w:adjustRightInd w:val="0"/>
        <w:ind w:firstLine="280"/>
        <w:rPr>
          <w:rFonts w:hint="eastAsia" w:ascii="宋体" w:hAnsi="宋体" w:eastAsia="宋体" w:cs="宋体"/>
          <w:sz w:val="24"/>
          <w:szCs w:val="24"/>
          <w:highlight w:val="none"/>
        </w:rPr>
      </w:pPr>
    </w:p>
    <w:p w14:paraId="595F25C6">
      <w:pPr>
        <w:adjustRightInd w:val="0"/>
        <w:ind w:firstLine="280"/>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w:t>
      </w:r>
      <w:r>
        <w:rPr>
          <w:rFonts w:hint="eastAsia" w:ascii="宋体" w:hAnsi="宋体" w:eastAsia="宋体" w:cs="宋体"/>
          <w:sz w:val="24"/>
          <w:szCs w:val="24"/>
          <w:highlight w:val="none"/>
          <w:lang w:val="en-US" w:eastAsia="zh-CN"/>
        </w:rPr>
        <w:t>电子</w:t>
      </w:r>
      <w:r>
        <w:rPr>
          <w:rFonts w:hint="eastAsia" w:ascii="宋体" w:hAnsi="宋体" w:eastAsia="宋体" w:cs="宋体"/>
          <w:sz w:val="24"/>
          <w:szCs w:val="24"/>
          <w:highlight w:val="none"/>
        </w:rPr>
        <w:t>公章：</w:t>
      </w:r>
    </w:p>
    <w:p w14:paraId="4299A7B5">
      <w:pPr>
        <w:adjustRightInd w:val="0"/>
        <w:rPr>
          <w:rFonts w:hint="eastAsia" w:ascii="宋体" w:hAnsi="宋体" w:eastAsia="宋体" w:cs="宋体"/>
          <w:sz w:val="28"/>
          <w:szCs w:val="28"/>
          <w:highlight w:val="none"/>
        </w:rPr>
      </w:pPr>
    </w:p>
    <w:p w14:paraId="2E6CDF58">
      <w:pPr>
        <w:adjustRightInd w:val="0"/>
        <w:rPr>
          <w:rFonts w:hint="eastAsia" w:ascii="宋体" w:hAnsi="宋体" w:eastAsia="宋体" w:cs="宋体"/>
          <w:sz w:val="28"/>
          <w:szCs w:val="28"/>
          <w:highlight w:val="none"/>
        </w:rPr>
      </w:pPr>
    </w:p>
    <w:p w14:paraId="3E9A7B3B">
      <w:pPr>
        <w:adjustRightInd w:val="0"/>
        <w:rPr>
          <w:rFonts w:hint="eastAsia" w:ascii="宋体" w:hAnsi="宋体" w:eastAsia="宋体" w:cs="宋体"/>
          <w:highlight w:val="none"/>
        </w:rPr>
        <w:sectPr>
          <w:pgSz w:w="12240" w:h="15840"/>
          <w:pgMar w:top="1440" w:right="1080" w:bottom="1440" w:left="1080" w:header="720" w:footer="720" w:gutter="0"/>
          <w:pgNumType w:fmt="decimal"/>
          <w:cols w:space="720" w:num="1"/>
        </w:sectPr>
      </w:pPr>
    </w:p>
    <w:p w14:paraId="05BFE3B7">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附件6：</w:t>
      </w:r>
    </w:p>
    <w:p w14:paraId="1A7B4563">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关于资格的声明函</w:t>
      </w:r>
    </w:p>
    <w:p w14:paraId="0E8C0B76">
      <w:pPr>
        <w:adjustRightInd w:val="0"/>
        <w:rPr>
          <w:rFonts w:hint="eastAsia" w:ascii="宋体" w:hAnsi="宋体" w:eastAsia="宋体" w:cs="宋体"/>
          <w:sz w:val="36"/>
          <w:szCs w:val="36"/>
          <w:highlight w:val="none"/>
        </w:rPr>
      </w:pPr>
    </w:p>
    <w:p w14:paraId="6766BDE9">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周口市政府采购中心：</w:t>
      </w:r>
    </w:p>
    <w:p w14:paraId="6A612D36">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关于贵方的项目谈判邀请，本签字人愿意参加谈判，提供谈判项目一览表中规定的货物，并声明提交的下列文件是准确和真实的。</w:t>
      </w:r>
    </w:p>
    <w:p w14:paraId="22C79A62">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1、企业法人营业执照。</w:t>
      </w:r>
    </w:p>
    <w:p w14:paraId="7291F165">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2、税务登记证</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三证合一的不需要</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p>
    <w:p w14:paraId="41C6FD06">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3、组织机构代码证。</w:t>
      </w:r>
    </w:p>
    <w:p w14:paraId="0ABEADEC">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4、法定代表人授权委托书。</w:t>
      </w:r>
    </w:p>
    <w:p w14:paraId="1A084DE7">
      <w:pPr>
        <w:adjustRightInd w:val="0"/>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5、委托代理人身份证。</w:t>
      </w:r>
    </w:p>
    <w:p w14:paraId="56A9C756">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6、其它证明文件或证件。</w:t>
      </w:r>
    </w:p>
    <w:p w14:paraId="21E3C701">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本签字人确认资格文件中的说明是真实的、准确的。</w:t>
      </w:r>
    </w:p>
    <w:p w14:paraId="34041BA5">
      <w:pPr>
        <w:adjustRightInd w:val="0"/>
        <w:ind w:firstLine="480"/>
        <w:rPr>
          <w:rFonts w:hint="eastAsia" w:ascii="宋体" w:hAnsi="宋体" w:eastAsia="宋体" w:cs="宋体"/>
          <w:sz w:val="24"/>
          <w:szCs w:val="24"/>
          <w:highlight w:val="none"/>
        </w:rPr>
      </w:pPr>
    </w:p>
    <w:p w14:paraId="2698456A">
      <w:pPr>
        <w:adjustRightInd w:val="0"/>
        <w:ind w:firstLine="480"/>
        <w:rPr>
          <w:rFonts w:hint="eastAsia" w:ascii="宋体" w:hAnsi="宋体" w:eastAsia="宋体" w:cs="宋体"/>
          <w:sz w:val="24"/>
          <w:szCs w:val="24"/>
          <w:highlight w:val="none"/>
        </w:rPr>
      </w:pPr>
    </w:p>
    <w:p w14:paraId="7296D612">
      <w:pPr>
        <w:adjustRightInd w:val="0"/>
        <w:ind w:firstLine="480"/>
        <w:rPr>
          <w:rFonts w:hint="eastAsia" w:ascii="宋体" w:hAnsi="宋体" w:eastAsia="宋体" w:cs="宋体"/>
          <w:sz w:val="24"/>
          <w:szCs w:val="24"/>
          <w:highlight w:val="none"/>
        </w:rPr>
      </w:pPr>
    </w:p>
    <w:p w14:paraId="6251B977">
      <w:pPr>
        <w:adjustRightInd w:val="0"/>
        <w:ind w:firstLine="480"/>
        <w:rPr>
          <w:rFonts w:hint="eastAsia" w:ascii="宋体" w:hAnsi="宋体" w:eastAsia="宋体" w:cs="宋体"/>
          <w:sz w:val="24"/>
          <w:szCs w:val="24"/>
          <w:highlight w:val="none"/>
        </w:rPr>
      </w:pPr>
    </w:p>
    <w:p w14:paraId="75DD0718">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单位名称（签章）：</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法定代表人（签字）：</w:t>
      </w:r>
    </w:p>
    <w:p w14:paraId="30942D0F">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地址：邮政编码：</w:t>
      </w:r>
    </w:p>
    <w:p w14:paraId="1F597C39">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签字人姓名、职务（印刷体）：</w:t>
      </w:r>
    </w:p>
    <w:p w14:paraId="51A44F07">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电话：传真：</w:t>
      </w:r>
    </w:p>
    <w:p w14:paraId="13AD5071">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p w14:paraId="6BB61C9A">
      <w:pPr>
        <w:adjustRightInd w:val="0"/>
        <w:rPr>
          <w:rFonts w:hint="eastAsia" w:ascii="宋体" w:hAnsi="宋体" w:eastAsia="宋体" w:cs="宋体"/>
          <w:sz w:val="24"/>
          <w:szCs w:val="24"/>
          <w:highlight w:val="none"/>
        </w:rPr>
      </w:pPr>
    </w:p>
    <w:p w14:paraId="78C2D97C">
      <w:pPr>
        <w:adjustRightInd w:val="0"/>
        <w:rPr>
          <w:rFonts w:hint="eastAsia" w:ascii="宋体" w:hAnsi="宋体" w:eastAsia="宋体" w:cs="宋体"/>
          <w:sz w:val="28"/>
          <w:szCs w:val="28"/>
          <w:highlight w:val="none"/>
        </w:rPr>
      </w:pPr>
    </w:p>
    <w:p w14:paraId="0C7AD152">
      <w:pPr>
        <w:adjustRightInd w:val="0"/>
        <w:rPr>
          <w:rFonts w:hint="eastAsia" w:ascii="宋体" w:hAnsi="宋体" w:eastAsia="宋体" w:cs="宋体"/>
          <w:sz w:val="28"/>
          <w:szCs w:val="28"/>
          <w:highlight w:val="none"/>
        </w:rPr>
      </w:pPr>
    </w:p>
    <w:p w14:paraId="521935F3">
      <w:pPr>
        <w:adjustRightInd w:val="0"/>
        <w:rPr>
          <w:rFonts w:hint="eastAsia" w:ascii="宋体" w:hAnsi="宋体" w:eastAsia="宋体" w:cs="宋体"/>
          <w:highlight w:val="none"/>
        </w:rPr>
        <w:sectPr>
          <w:pgSz w:w="12240" w:h="15840"/>
          <w:pgMar w:top="1440" w:right="1080" w:bottom="1440" w:left="1080" w:header="720" w:footer="720" w:gutter="0"/>
          <w:pgNumType w:fmt="decimal"/>
          <w:cols w:space="720" w:num="1"/>
        </w:sectPr>
      </w:pPr>
    </w:p>
    <w:p w14:paraId="0AE2EFE8">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附件7：</w:t>
      </w:r>
    </w:p>
    <w:p w14:paraId="351E3B1E">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授权委托书</w:t>
      </w:r>
    </w:p>
    <w:p w14:paraId="1D0546E4">
      <w:pPr>
        <w:adjustRightInd w:val="0"/>
        <w:jc w:val="center"/>
        <w:rPr>
          <w:rFonts w:hint="eastAsia" w:ascii="宋体" w:hAnsi="宋体" w:eastAsia="宋体" w:cs="宋体"/>
          <w:b/>
          <w:bCs/>
          <w:sz w:val="32"/>
          <w:szCs w:val="32"/>
          <w:highlight w:val="none"/>
        </w:rPr>
      </w:pPr>
    </w:p>
    <w:p w14:paraId="6ED855A4">
      <w:pPr>
        <w:adjustRightInd w:val="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委托单位：</w:t>
      </w:r>
    </w:p>
    <w:p w14:paraId="69832C29">
      <w:pPr>
        <w:adjustRightInd w:val="0"/>
        <w:rPr>
          <w:rFonts w:hint="eastAsia" w:ascii="宋体" w:hAnsi="宋体" w:eastAsia="宋体" w:cs="宋体"/>
          <w:sz w:val="24"/>
          <w:szCs w:val="24"/>
          <w:highlight w:val="none"/>
        </w:rPr>
      </w:pPr>
    </w:p>
    <w:p w14:paraId="7078D048">
      <w:pPr>
        <w:adjustRightInd w:val="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地址：法定代表人：</w:t>
      </w:r>
    </w:p>
    <w:p w14:paraId="7ABFE7B6">
      <w:pPr>
        <w:adjustRightInd w:val="0"/>
        <w:rPr>
          <w:rFonts w:hint="eastAsia" w:ascii="宋体" w:hAnsi="宋体" w:eastAsia="宋体" w:cs="宋体"/>
          <w:sz w:val="24"/>
          <w:szCs w:val="24"/>
          <w:highlight w:val="none"/>
        </w:rPr>
      </w:pPr>
    </w:p>
    <w:p w14:paraId="2D06281F">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受托人姓名：性别：出生日期：年月日</w:t>
      </w:r>
    </w:p>
    <w:p w14:paraId="1422CAEF">
      <w:pPr>
        <w:adjustRightInd w:val="0"/>
        <w:rPr>
          <w:rFonts w:hint="eastAsia" w:ascii="宋体" w:hAnsi="宋体" w:eastAsia="宋体" w:cs="宋体"/>
          <w:sz w:val="24"/>
          <w:szCs w:val="24"/>
          <w:highlight w:val="none"/>
        </w:rPr>
      </w:pPr>
    </w:p>
    <w:p w14:paraId="1C5DB945">
      <w:pPr>
        <w:adjustRightInd w:val="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所在单位：职务：</w:t>
      </w:r>
    </w:p>
    <w:p w14:paraId="5A7DCE74">
      <w:pPr>
        <w:adjustRightInd w:val="0"/>
        <w:rPr>
          <w:rFonts w:hint="eastAsia" w:ascii="宋体" w:hAnsi="宋体" w:eastAsia="宋体" w:cs="宋体"/>
          <w:sz w:val="24"/>
          <w:szCs w:val="24"/>
          <w:highlight w:val="none"/>
        </w:rPr>
      </w:pPr>
    </w:p>
    <w:p w14:paraId="7508BD97">
      <w:pPr>
        <w:adjustRightInd w:val="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身份证：现住：</w:t>
      </w:r>
    </w:p>
    <w:p w14:paraId="05C95FEE">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兹委托受托人代表我单位参加项目谈判事宜，并授权其全权办理以下事宜：</w:t>
      </w:r>
    </w:p>
    <w:p w14:paraId="3B1BCDD2">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1、参加谈判活动。</w:t>
      </w:r>
    </w:p>
    <w:p w14:paraId="2EC36CCF">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2、出席谈判会议。</w:t>
      </w:r>
    </w:p>
    <w:p w14:paraId="7FC00986">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3、确定谈判采购的最终报价。</w:t>
      </w:r>
    </w:p>
    <w:p w14:paraId="7EB111D1">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4、签订与成交事宜有关的合同。</w:t>
      </w:r>
    </w:p>
    <w:p w14:paraId="25980797">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5、负责合同的履行、服务以及在合同履行过程中有关事宜的洽谈和处理。</w:t>
      </w:r>
    </w:p>
    <w:p w14:paraId="35004149">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受托人在办理上述事宜过程中以其自己的名义签署的所有文件我单位均予以承认。</w:t>
      </w:r>
    </w:p>
    <w:p w14:paraId="469A96A1">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受托人无转委托权。</w:t>
      </w:r>
    </w:p>
    <w:p w14:paraId="58DD2FB9">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委托期限：至上述事宜处理完毕止。</w:t>
      </w:r>
    </w:p>
    <w:p w14:paraId="353A7449">
      <w:pPr>
        <w:adjustRightInd w:val="0"/>
        <w:rPr>
          <w:rFonts w:hint="eastAsia" w:ascii="宋体" w:hAnsi="宋体" w:eastAsia="宋体" w:cs="宋体"/>
          <w:sz w:val="24"/>
          <w:szCs w:val="24"/>
          <w:highlight w:val="none"/>
        </w:rPr>
      </w:pPr>
    </w:p>
    <w:p w14:paraId="4880FE91">
      <w:pPr>
        <w:adjustRightInd w:val="0"/>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委托单位：</w:t>
      </w:r>
      <w:r>
        <w:rPr>
          <w:rFonts w:hint="eastAsia" w:ascii="宋体" w:hAnsi="宋体" w:eastAsia="宋体" w:cs="宋体"/>
          <w:sz w:val="24"/>
          <w:szCs w:val="24"/>
          <w:highlight w:val="none"/>
          <w:u w:val="single"/>
        </w:rPr>
        <w:t>（公章）</w:t>
      </w:r>
    </w:p>
    <w:p w14:paraId="6637A8D6">
      <w:pPr>
        <w:adjustRightInd w:val="0"/>
        <w:rPr>
          <w:rFonts w:hint="eastAsia" w:ascii="宋体" w:hAnsi="宋体" w:eastAsia="宋体" w:cs="宋体"/>
          <w:sz w:val="24"/>
          <w:szCs w:val="24"/>
          <w:highlight w:val="none"/>
        </w:rPr>
      </w:pPr>
    </w:p>
    <w:p w14:paraId="02378651">
      <w:pPr>
        <w:adjustRightInd w:val="0"/>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u w:val="single"/>
        </w:rPr>
        <w:t>（签</w:t>
      </w:r>
      <w:r>
        <w:rPr>
          <w:rFonts w:hint="eastAsia" w:ascii="宋体" w:hAnsi="宋体" w:eastAsia="宋体" w:cs="宋体"/>
          <w:sz w:val="24"/>
          <w:szCs w:val="24"/>
          <w:highlight w:val="none"/>
          <w:u w:val="single"/>
          <w:lang w:val="en-US" w:eastAsia="zh-CN"/>
        </w:rPr>
        <w:t>字</w:t>
      </w:r>
      <w:r>
        <w:rPr>
          <w:rFonts w:hint="eastAsia" w:ascii="宋体" w:hAnsi="宋体" w:eastAsia="宋体" w:cs="宋体"/>
          <w:sz w:val="24"/>
          <w:szCs w:val="24"/>
          <w:highlight w:val="none"/>
          <w:u w:val="single"/>
        </w:rPr>
        <w:t>）</w:t>
      </w:r>
    </w:p>
    <w:p w14:paraId="44B63979">
      <w:pPr>
        <w:adjustRightInd w:val="0"/>
        <w:rPr>
          <w:rFonts w:hint="eastAsia" w:ascii="宋体" w:hAnsi="宋体" w:eastAsia="宋体" w:cs="宋体"/>
          <w:sz w:val="24"/>
          <w:szCs w:val="24"/>
          <w:highlight w:val="none"/>
        </w:rPr>
      </w:pPr>
    </w:p>
    <w:p w14:paraId="776A225E">
      <w:pPr>
        <w:adjustRightInd w:val="0"/>
        <w:ind w:firstLine="480" w:firstLineChars="200"/>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受托人：</w:t>
      </w:r>
      <w:r>
        <w:rPr>
          <w:rFonts w:hint="eastAsia" w:ascii="宋体" w:hAnsi="宋体" w:eastAsia="宋体" w:cs="宋体"/>
          <w:sz w:val="24"/>
          <w:szCs w:val="24"/>
          <w:highlight w:val="none"/>
          <w:u w:val="single"/>
          <w:lang w:val="en-US" w:eastAsia="zh-CN"/>
        </w:rPr>
        <w:t xml:space="preserve">      </w:t>
      </w:r>
    </w:p>
    <w:p w14:paraId="50AA45FD">
      <w:pPr>
        <w:adjustRightInd w:val="0"/>
        <w:rPr>
          <w:rFonts w:hint="eastAsia" w:ascii="宋体" w:hAnsi="宋体" w:eastAsia="宋体" w:cs="宋体"/>
          <w:highlight w:val="none"/>
        </w:rPr>
      </w:pPr>
    </w:p>
    <w:p w14:paraId="52DD3377">
      <w:pPr>
        <w:adjustRightInd w:val="0"/>
        <w:spacing w:line="320" w:lineRule="exact"/>
        <w:ind w:firstLine="5520" w:firstLineChars="2300"/>
        <w:rPr>
          <w:rFonts w:hint="eastAsia" w:ascii="宋体" w:hAnsi="宋体" w:eastAsia="宋体" w:cs="宋体"/>
          <w:sz w:val="24"/>
          <w:szCs w:val="24"/>
          <w:highlight w:val="none"/>
        </w:rPr>
      </w:pPr>
    </w:p>
    <w:p w14:paraId="54C294C6">
      <w:pPr>
        <w:adjustRightInd w:val="0"/>
        <w:spacing w:line="320" w:lineRule="exact"/>
        <w:ind w:firstLine="6120" w:firstLineChars="2550"/>
        <w:rPr>
          <w:rFonts w:hint="eastAsia" w:ascii="宋体" w:hAnsi="宋体" w:eastAsia="宋体" w:cs="宋体"/>
          <w:sz w:val="24"/>
          <w:szCs w:val="24"/>
          <w:highlight w:val="none"/>
        </w:rPr>
      </w:pPr>
      <w:r>
        <w:rPr>
          <w:rFonts w:hint="eastAsia" w:ascii="宋体" w:hAnsi="宋体" w:eastAsia="宋体" w:cs="宋体"/>
          <w:sz w:val="24"/>
          <w:szCs w:val="24"/>
          <w:highlight w:val="none"/>
        </w:rPr>
        <w:t>年月日</w:t>
      </w:r>
    </w:p>
    <w:p w14:paraId="6AE3FF46">
      <w:pPr>
        <w:adjustRightInd w:val="0"/>
        <w:spacing w:line="320" w:lineRule="exact"/>
        <w:ind w:firstLine="6120" w:firstLineChars="2550"/>
        <w:rPr>
          <w:rFonts w:hint="eastAsia" w:ascii="宋体" w:hAnsi="宋体" w:eastAsia="宋体" w:cs="宋体"/>
          <w:sz w:val="24"/>
          <w:szCs w:val="24"/>
          <w:highlight w:val="none"/>
        </w:rPr>
      </w:pPr>
    </w:p>
    <w:p w14:paraId="29746377">
      <w:pPr>
        <w:adjustRightInd w:val="0"/>
        <w:spacing w:line="320" w:lineRule="exact"/>
        <w:ind w:firstLine="6120" w:firstLineChars="2550"/>
        <w:rPr>
          <w:rFonts w:hint="eastAsia" w:ascii="宋体" w:hAnsi="宋体" w:eastAsia="宋体" w:cs="宋体"/>
          <w:sz w:val="24"/>
          <w:szCs w:val="24"/>
          <w:highlight w:val="none"/>
        </w:rPr>
      </w:pPr>
    </w:p>
    <w:p w14:paraId="2323582F">
      <w:pPr>
        <w:adjustRightInd w:val="0"/>
        <w:spacing w:line="320" w:lineRule="exact"/>
        <w:ind w:firstLine="6120" w:firstLineChars="2550"/>
        <w:rPr>
          <w:rFonts w:hint="eastAsia" w:ascii="宋体" w:hAnsi="宋体" w:eastAsia="宋体" w:cs="宋体"/>
          <w:sz w:val="24"/>
          <w:szCs w:val="24"/>
          <w:highlight w:val="none"/>
        </w:rPr>
      </w:pPr>
    </w:p>
    <w:p w14:paraId="6664B518">
      <w:pPr>
        <w:adjustRightInd w:val="0"/>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附：法定代表人和被授权人身份证复印件</w:t>
      </w:r>
    </w:p>
    <w:p w14:paraId="0526488D">
      <w:pPr>
        <w:adjustRightInd w:val="0"/>
        <w:spacing w:line="320" w:lineRule="exact"/>
        <w:ind w:firstLine="6120" w:firstLineChars="2550"/>
        <w:rPr>
          <w:rFonts w:hint="eastAsia" w:ascii="宋体" w:hAnsi="宋体" w:eastAsia="宋体" w:cs="宋体"/>
          <w:sz w:val="24"/>
          <w:szCs w:val="24"/>
          <w:highlight w:val="none"/>
        </w:rPr>
      </w:pPr>
    </w:p>
    <w:p w14:paraId="5D89F604">
      <w:pPr>
        <w:adjustRightInd w:val="0"/>
        <w:spacing w:line="320" w:lineRule="exact"/>
        <w:ind w:firstLine="6120" w:firstLineChars="2550"/>
        <w:rPr>
          <w:rFonts w:hint="eastAsia" w:ascii="宋体" w:hAnsi="宋体" w:eastAsia="宋体" w:cs="宋体"/>
          <w:sz w:val="24"/>
          <w:szCs w:val="24"/>
          <w:highlight w:val="none"/>
        </w:rPr>
      </w:pPr>
    </w:p>
    <w:p w14:paraId="0843F967">
      <w:pPr>
        <w:adjustRightInd w:val="0"/>
        <w:spacing w:line="320" w:lineRule="exact"/>
        <w:ind w:firstLine="6120" w:firstLineChars="2550"/>
        <w:rPr>
          <w:rFonts w:hint="eastAsia" w:ascii="宋体" w:hAnsi="宋体" w:eastAsia="宋体" w:cs="宋体"/>
          <w:sz w:val="24"/>
          <w:szCs w:val="24"/>
          <w:highlight w:val="none"/>
        </w:rPr>
      </w:pPr>
    </w:p>
    <w:p w14:paraId="1D58FEAD">
      <w:pPr>
        <w:pStyle w:val="23"/>
        <w:rPr>
          <w:rFonts w:hint="eastAsia" w:ascii="宋体" w:hAnsi="宋体" w:eastAsia="宋体" w:cs="宋体"/>
          <w:sz w:val="24"/>
          <w:szCs w:val="24"/>
          <w:highlight w:val="none"/>
        </w:rPr>
      </w:pPr>
    </w:p>
    <w:p w14:paraId="04B371BC">
      <w:pPr>
        <w:pStyle w:val="23"/>
        <w:rPr>
          <w:rFonts w:hint="eastAsia" w:ascii="宋体" w:hAnsi="宋体" w:eastAsia="宋体" w:cs="宋体"/>
          <w:sz w:val="24"/>
          <w:szCs w:val="24"/>
          <w:highlight w:val="none"/>
        </w:rPr>
      </w:pPr>
    </w:p>
    <w:p w14:paraId="28DDC579">
      <w:pPr>
        <w:pStyle w:val="23"/>
        <w:rPr>
          <w:rFonts w:hint="eastAsia" w:ascii="宋体" w:hAnsi="宋体" w:eastAsia="宋体" w:cs="宋体"/>
          <w:sz w:val="24"/>
          <w:szCs w:val="24"/>
          <w:highlight w:val="none"/>
        </w:rPr>
      </w:pPr>
    </w:p>
    <w:p w14:paraId="7FDFA6EA">
      <w:pPr>
        <w:pStyle w:val="23"/>
        <w:rPr>
          <w:rFonts w:hint="eastAsia" w:ascii="宋体" w:hAnsi="宋体" w:eastAsia="宋体" w:cs="宋体"/>
          <w:sz w:val="24"/>
          <w:szCs w:val="24"/>
          <w:highlight w:val="none"/>
        </w:rPr>
      </w:pPr>
    </w:p>
    <w:p w14:paraId="5E008F3C">
      <w:pPr>
        <w:adjustRightInd w:val="0"/>
        <w:spacing w:line="32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w:t>
      </w:r>
    </w:p>
    <w:p w14:paraId="4FE6F933">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资格证明文件</w:t>
      </w:r>
    </w:p>
    <w:p w14:paraId="369CBDCF">
      <w:pPr>
        <w:pStyle w:val="6"/>
        <w:rPr>
          <w:rFonts w:hint="eastAsia" w:ascii="宋体" w:hAnsi="宋体" w:eastAsia="宋体" w:cs="宋体"/>
          <w:highlight w:val="none"/>
        </w:rPr>
      </w:pPr>
    </w:p>
    <w:p w14:paraId="7576F4E6">
      <w:pPr>
        <w:adjustRightInd w:val="0"/>
        <w:spacing w:line="320" w:lineRule="exact"/>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营业执照、纳税和社保缴纳凭证、财务审计报告、信用中国、中国政府采购网查询截图、参加政府采购活动前三年内，在经营活动中没有重大违法记录书面声明等材料。</w:t>
      </w:r>
    </w:p>
    <w:p w14:paraId="34570C6D">
      <w:pPr>
        <w:adjustRightInd w:val="0"/>
        <w:spacing w:line="320" w:lineRule="exact"/>
        <w:ind w:firstLine="6120" w:firstLineChars="2550"/>
        <w:rPr>
          <w:rFonts w:hint="eastAsia" w:ascii="宋体" w:hAnsi="宋体" w:eastAsia="宋体" w:cs="宋体"/>
          <w:sz w:val="24"/>
          <w:szCs w:val="24"/>
          <w:highlight w:val="none"/>
        </w:rPr>
      </w:pPr>
    </w:p>
    <w:p w14:paraId="48E65360">
      <w:pPr>
        <w:adjustRightInd w:val="0"/>
        <w:spacing w:line="320" w:lineRule="exact"/>
        <w:ind w:firstLine="6120" w:firstLineChars="2550"/>
        <w:rPr>
          <w:rFonts w:hint="eastAsia" w:ascii="宋体" w:hAnsi="宋体" w:eastAsia="宋体" w:cs="宋体"/>
          <w:sz w:val="24"/>
          <w:szCs w:val="24"/>
          <w:highlight w:val="none"/>
        </w:rPr>
      </w:pPr>
    </w:p>
    <w:p w14:paraId="5DEE06D3">
      <w:pPr>
        <w:pStyle w:val="23"/>
        <w:rPr>
          <w:rFonts w:hint="eastAsia" w:ascii="宋体" w:hAnsi="宋体" w:eastAsia="宋体" w:cs="宋体"/>
          <w:sz w:val="24"/>
          <w:szCs w:val="24"/>
          <w:highlight w:val="none"/>
        </w:rPr>
      </w:pPr>
    </w:p>
    <w:p w14:paraId="649AA92E">
      <w:pPr>
        <w:pStyle w:val="23"/>
        <w:rPr>
          <w:rFonts w:hint="eastAsia" w:ascii="宋体" w:hAnsi="宋体" w:eastAsia="宋体" w:cs="宋体"/>
          <w:sz w:val="24"/>
          <w:szCs w:val="24"/>
          <w:highlight w:val="none"/>
        </w:rPr>
      </w:pPr>
    </w:p>
    <w:p w14:paraId="516F261B">
      <w:pPr>
        <w:pStyle w:val="23"/>
        <w:rPr>
          <w:rFonts w:hint="eastAsia" w:ascii="宋体" w:hAnsi="宋体" w:eastAsia="宋体" w:cs="宋体"/>
          <w:sz w:val="24"/>
          <w:szCs w:val="24"/>
          <w:highlight w:val="none"/>
        </w:rPr>
      </w:pPr>
    </w:p>
    <w:p w14:paraId="246A7D85">
      <w:pPr>
        <w:pStyle w:val="23"/>
        <w:rPr>
          <w:rFonts w:hint="eastAsia" w:ascii="宋体" w:hAnsi="宋体" w:eastAsia="宋体" w:cs="宋体"/>
          <w:sz w:val="24"/>
          <w:szCs w:val="24"/>
          <w:highlight w:val="none"/>
        </w:rPr>
      </w:pPr>
    </w:p>
    <w:p w14:paraId="51FBCFBC">
      <w:pPr>
        <w:pStyle w:val="23"/>
        <w:rPr>
          <w:rFonts w:hint="eastAsia" w:ascii="宋体" w:hAnsi="宋体" w:eastAsia="宋体" w:cs="宋体"/>
          <w:sz w:val="24"/>
          <w:szCs w:val="24"/>
          <w:highlight w:val="none"/>
        </w:rPr>
      </w:pPr>
    </w:p>
    <w:p w14:paraId="4D976E77">
      <w:pPr>
        <w:pStyle w:val="23"/>
        <w:rPr>
          <w:rFonts w:hint="eastAsia" w:ascii="宋体" w:hAnsi="宋体" w:eastAsia="宋体" w:cs="宋体"/>
          <w:sz w:val="24"/>
          <w:szCs w:val="24"/>
          <w:highlight w:val="none"/>
        </w:rPr>
      </w:pPr>
    </w:p>
    <w:p w14:paraId="5231C03A">
      <w:pPr>
        <w:pStyle w:val="23"/>
        <w:rPr>
          <w:rFonts w:hint="eastAsia" w:ascii="宋体" w:hAnsi="宋体" w:eastAsia="宋体" w:cs="宋体"/>
          <w:sz w:val="24"/>
          <w:szCs w:val="24"/>
          <w:highlight w:val="none"/>
        </w:rPr>
      </w:pPr>
    </w:p>
    <w:p w14:paraId="368CA5B7">
      <w:pPr>
        <w:pStyle w:val="23"/>
        <w:rPr>
          <w:rFonts w:hint="eastAsia" w:ascii="宋体" w:hAnsi="宋体" w:eastAsia="宋体" w:cs="宋体"/>
          <w:sz w:val="24"/>
          <w:szCs w:val="24"/>
          <w:highlight w:val="none"/>
        </w:rPr>
      </w:pPr>
    </w:p>
    <w:p w14:paraId="7BD45272">
      <w:pPr>
        <w:pStyle w:val="23"/>
        <w:rPr>
          <w:rFonts w:hint="eastAsia" w:ascii="宋体" w:hAnsi="宋体" w:eastAsia="宋体" w:cs="宋体"/>
          <w:sz w:val="24"/>
          <w:szCs w:val="24"/>
          <w:highlight w:val="none"/>
        </w:rPr>
      </w:pPr>
    </w:p>
    <w:p w14:paraId="1F18732E">
      <w:pPr>
        <w:pStyle w:val="23"/>
        <w:rPr>
          <w:rFonts w:hint="eastAsia" w:ascii="宋体" w:hAnsi="宋体" w:eastAsia="宋体" w:cs="宋体"/>
          <w:sz w:val="24"/>
          <w:szCs w:val="24"/>
          <w:highlight w:val="none"/>
        </w:rPr>
      </w:pPr>
    </w:p>
    <w:p w14:paraId="63831F55">
      <w:pPr>
        <w:pStyle w:val="23"/>
        <w:rPr>
          <w:rFonts w:hint="eastAsia" w:ascii="宋体" w:hAnsi="宋体" w:eastAsia="宋体" w:cs="宋体"/>
          <w:sz w:val="24"/>
          <w:szCs w:val="24"/>
          <w:highlight w:val="none"/>
        </w:rPr>
      </w:pPr>
    </w:p>
    <w:p w14:paraId="3A2AFC01">
      <w:pPr>
        <w:pStyle w:val="23"/>
        <w:rPr>
          <w:rFonts w:hint="eastAsia" w:ascii="宋体" w:hAnsi="宋体" w:eastAsia="宋体" w:cs="宋体"/>
          <w:sz w:val="24"/>
          <w:szCs w:val="24"/>
          <w:highlight w:val="none"/>
        </w:rPr>
      </w:pPr>
    </w:p>
    <w:p w14:paraId="58A63B39">
      <w:pPr>
        <w:pStyle w:val="23"/>
        <w:rPr>
          <w:rFonts w:hint="eastAsia" w:ascii="宋体" w:hAnsi="宋体" w:eastAsia="宋体" w:cs="宋体"/>
          <w:sz w:val="24"/>
          <w:szCs w:val="24"/>
          <w:highlight w:val="none"/>
        </w:rPr>
      </w:pPr>
    </w:p>
    <w:p w14:paraId="76D005F6">
      <w:pPr>
        <w:pStyle w:val="23"/>
        <w:rPr>
          <w:rFonts w:hint="eastAsia" w:ascii="宋体" w:hAnsi="宋体" w:eastAsia="宋体" w:cs="宋体"/>
          <w:sz w:val="24"/>
          <w:szCs w:val="24"/>
          <w:highlight w:val="none"/>
        </w:rPr>
      </w:pPr>
    </w:p>
    <w:p w14:paraId="413CC5F2">
      <w:pPr>
        <w:pStyle w:val="23"/>
        <w:rPr>
          <w:rFonts w:hint="eastAsia" w:ascii="宋体" w:hAnsi="宋体" w:eastAsia="宋体" w:cs="宋体"/>
          <w:sz w:val="24"/>
          <w:szCs w:val="24"/>
          <w:highlight w:val="none"/>
        </w:rPr>
      </w:pPr>
    </w:p>
    <w:p w14:paraId="31EFCD70">
      <w:pPr>
        <w:pStyle w:val="23"/>
        <w:rPr>
          <w:rFonts w:hint="eastAsia" w:ascii="宋体" w:hAnsi="宋体" w:eastAsia="宋体" w:cs="宋体"/>
          <w:sz w:val="24"/>
          <w:szCs w:val="24"/>
          <w:highlight w:val="none"/>
        </w:rPr>
      </w:pPr>
    </w:p>
    <w:p w14:paraId="0F97ED14">
      <w:pPr>
        <w:pStyle w:val="23"/>
        <w:rPr>
          <w:rFonts w:hint="eastAsia" w:ascii="宋体" w:hAnsi="宋体" w:eastAsia="宋体" w:cs="宋体"/>
          <w:sz w:val="24"/>
          <w:szCs w:val="24"/>
          <w:highlight w:val="none"/>
        </w:rPr>
      </w:pPr>
    </w:p>
    <w:p w14:paraId="4FF4F0AE">
      <w:pPr>
        <w:pStyle w:val="23"/>
        <w:rPr>
          <w:rFonts w:hint="eastAsia" w:ascii="宋体" w:hAnsi="宋体" w:eastAsia="宋体" w:cs="宋体"/>
          <w:sz w:val="24"/>
          <w:szCs w:val="24"/>
          <w:highlight w:val="none"/>
        </w:rPr>
      </w:pPr>
    </w:p>
    <w:p w14:paraId="43101081">
      <w:pPr>
        <w:pStyle w:val="23"/>
        <w:rPr>
          <w:rFonts w:hint="eastAsia" w:ascii="宋体" w:hAnsi="宋体" w:eastAsia="宋体" w:cs="宋体"/>
          <w:sz w:val="24"/>
          <w:szCs w:val="24"/>
          <w:highlight w:val="none"/>
        </w:rPr>
      </w:pPr>
    </w:p>
    <w:p w14:paraId="3792790D">
      <w:pPr>
        <w:pStyle w:val="23"/>
        <w:rPr>
          <w:rFonts w:hint="eastAsia" w:ascii="宋体" w:hAnsi="宋体" w:eastAsia="宋体" w:cs="宋体"/>
          <w:sz w:val="24"/>
          <w:szCs w:val="24"/>
          <w:highlight w:val="none"/>
        </w:rPr>
      </w:pPr>
    </w:p>
    <w:p w14:paraId="17FEB428">
      <w:pPr>
        <w:pStyle w:val="23"/>
        <w:rPr>
          <w:rFonts w:hint="eastAsia" w:ascii="宋体" w:hAnsi="宋体" w:eastAsia="宋体" w:cs="宋体"/>
          <w:sz w:val="24"/>
          <w:szCs w:val="24"/>
          <w:highlight w:val="none"/>
        </w:rPr>
      </w:pPr>
    </w:p>
    <w:p w14:paraId="476768B4">
      <w:pPr>
        <w:pStyle w:val="23"/>
        <w:rPr>
          <w:rFonts w:hint="eastAsia" w:ascii="宋体" w:hAnsi="宋体" w:eastAsia="宋体" w:cs="宋体"/>
          <w:sz w:val="24"/>
          <w:szCs w:val="24"/>
          <w:highlight w:val="none"/>
        </w:rPr>
      </w:pPr>
    </w:p>
    <w:p w14:paraId="2898BA37">
      <w:pPr>
        <w:pStyle w:val="23"/>
        <w:rPr>
          <w:rFonts w:hint="eastAsia" w:ascii="宋体" w:hAnsi="宋体" w:eastAsia="宋体" w:cs="宋体"/>
          <w:sz w:val="24"/>
          <w:szCs w:val="24"/>
          <w:highlight w:val="none"/>
        </w:rPr>
      </w:pPr>
    </w:p>
    <w:p w14:paraId="51CCE244">
      <w:pPr>
        <w:pStyle w:val="23"/>
        <w:rPr>
          <w:rFonts w:hint="eastAsia" w:ascii="宋体" w:hAnsi="宋体" w:eastAsia="宋体" w:cs="宋体"/>
          <w:sz w:val="24"/>
          <w:szCs w:val="24"/>
          <w:highlight w:val="none"/>
        </w:rPr>
      </w:pPr>
    </w:p>
    <w:p w14:paraId="5B3D1973">
      <w:pPr>
        <w:pStyle w:val="23"/>
        <w:rPr>
          <w:rFonts w:hint="eastAsia" w:ascii="宋体" w:hAnsi="宋体" w:eastAsia="宋体" w:cs="宋体"/>
          <w:sz w:val="24"/>
          <w:szCs w:val="24"/>
          <w:highlight w:val="none"/>
        </w:rPr>
      </w:pPr>
    </w:p>
    <w:p w14:paraId="2C6BC9F2">
      <w:pPr>
        <w:pStyle w:val="23"/>
        <w:rPr>
          <w:rFonts w:hint="eastAsia" w:ascii="宋体" w:hAnsi="宋体" w:eastAsia="宋体" w:cs="宋体"/>
          <w:sz w:val="24"/>
          <w:szCs w:val="24"/>
          <w:highlight w:val="none"/>
        </w:rPr>
      </w:pPr>
    </w:p>
    <w:p w14:paraId="3E5A3607">
      <w:pPr>
        <w:pStyle w:val="23"/>
        <w:rPr>
          <w:rFonts w:hint="eastAsia" w:ascii="宋体" w:hAnsi="宋体" w:eastAsia="宋体" w:cs="宋体"/>
          <w:sz w:val="24"/>
          <w:szCs w:val="24"/>
          <w:highlight w:val="none"/>
        </w:rPr>
      </w:pPr>
    </w:p>
    <w:p w14:paraId="08FB623A">
      <w:pPr>
        <w:jc w:val="both"/>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附件</w:t>
      </w:r>
      <w:r>
        <w:rPr>
          <w:rFonts w:hint="eastAsia" w:ascii="宋体" w:hAnsi="宋体" w:eastAsia="宋体" w:cs="宋体"/>
          <w:b w:val="0"/>
          <w:bCs w:val="0"/>
          <w:sz w:val="28"/>
          <w:szCs w:val="28"/>
          <w:highlight w:val="none"/>
          <w:lang w:val="en-US" w:eastAsia="zh-CN"/>
        </w:rPr>
        <w:t>9</w:t>
      </w:r>
      <w:r>
        <w:rPr>
          <w:rFonts w:hint="eastAsia" w:ascii="宋体" w:hAnsi="宋体" w:eastAsia="宋体" w:cs="宋体"/>
          <w:b w:val="0"/>
          <w:bCs w:val="0"/>
          <w:sz w:val="28"/>
          <w:szCs w:val="28"/>
          <w:highlight w:val="none"/>
        </w:rPr>
        <w:t>：</w:t>
      </w:r>
    </w:p>
    <w:p w14:paraId="78A1F319">
      <w:pPr>
        <w:jc w:val="center"/>
        <w:rPr>
          <w:rFonts w:hint="eastAsia" w:ascii="宋体" w:hAnsi="宋体" w:eastAsia="宋体" w:cs="宋体"/>
          <w:b/>
          <w:bCs/>
          <w:sz w:val="28"/>
          <w:szCs w:val="28"/>
          <w:highlight w:val="none"/>
        </w:rPr>
      </w:pPr>
      <w:r>
        <w:rPr>
          <w:rFonts w:hint="eastAsia" w:ascii="宋体" w:hAnsi="宋体" w:eastAsia="宋体" w:cs="宋体"/>
          <w:b/>
          <w:bCs/>
          <w:sz w:val="32"/>
          <w:szCs w:val="32"/>
          <w:highlight w:val="none"/>
        </w:rPr>
        <w:t>中小企业声明函（货物）</w:t>
      </w:r>
    </w:p>
    <w:p w14:paraId="5C9D2542">
      <w:pPr>
        <w:pStyle w:val="23"/>
        <w:rPr>
          <w:rFonts w:hint="eastAsia" w:ascii="宋体" w:hAnsi="宋体" w:eastAsia="宋体" w:cs="宋体"/>
          <w:highlight w:val="none"/>
        </w:rPr>
      </w:pPr>
    </w:p>
    <w:p w14:paraId="72ACE55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629F4802">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34FBDF9E">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4B77D559">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47B31B4C">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247841C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2709C680">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7780A1AE">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color="auto" w:fill="auto"/>
        </w:rPr>
      </w:pPr>
      <w:r>
        <w:rPr>
          <w:rFonts w:hint="eastAsia" w:ascii="宋体" w:hAnsi="宋体" w:eastAsia="宋体" w:cs="宋体"/>
          <w:sz w:val="24"/>
          <w:szCs w:val="24"/>
          <w:highlight w:val="none"/>
        </w:rPr>
        <w:t>日 期：</w:t>
      </w:r>
    </w:p>
    <w:p w14:paraId="4B457836">
      <w:pPr>
        <w:spacing w:before="0" w:after="0" w:line="360" w:lineRule="auto"/>
        <w:ind w:left="0" w:right="0" w:firstLine="0"/>
        <w:jc w:val="both"/>
        <w:rPr>
          <w:rFonts w:hint="eastAsia" w:ascii="宋体" w:hAnsi="宋体" w:eastAsia="宋体" w:cs="宋体"/>
          <w:color w:val="auto"/>
          <w:spacing w:val="0"/>
          <w:position w:val="0"/>
          <w:sz w:val="24"/>
          <w:highlight w:val="none"/>
          <w:shd w:val="clear" w:color="auto" w:fill="auto"/>
        </w:rPr>
      </w:pPr>
    </w:p>
    <w:p w14:paraId="1439EB59">
      <w:pPr>
        <w:rPr>
          <w:rFonts w:hint="eastAsia" w:ascii="宋体" w:hAnsi="宋体" w:eastAsia="宋体" w:cs="宋体"/>
          <w:highlight w:val="none"/>
        </w:rPr>
      </w:pPr>
    </w:p>
    <w:p w14:paraId="5AAA2C8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注：1.从业人员、营业收入、资产总额填报上一年度数据，无上一年度数据的新成立企业可不填报。</w:t>
      </w:r>
    </w:p>
    <w:p w14:paraId="0C7ED82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2.本项目如是只面向中小企业采购的应当必须提供。</w:t>
      </w:r>
    </w:p>
    <w:p w14:paraId="4A6E13E5">
      <w:pPr>
        <w:adjustRightInd w:val="0"/>
        <w:spacing w:line="320" w:lineRule="exact"/>
        <w:ind w:firstLine="6120" w:firstLineChars="2550"/>
        <w:rPr>
          <w:rFonts w:hint="eastAsia" w:ascii="宋体" w:hAnsi="宋体" w:eastAsia="宋体" w:cs="宋体"/>
          <w:sz w:val="24"/>
          <w:szCs w:val="24"/>
          <w:highlight w:val="none"/>
        </w:rPr>
      </w:pPr>
    </w:p>
    <w:p w14:paraId="20F9B3FA">
      <w:pPr>
        <w:pStyle w:val="23"/>
        <w:rPr>
          <w:rFonts w:hint="eastAsia" w:ascii="宋体" w:hAnsi="宋体" w:eastAsia="宋体" w:cs="宋体"/>
          <w:highlight w:val="none"/>
        </w:rPr>
      </w:pPr>
    </w:p>
    <w:p w14:paraId="6DF9D02B">
      <w:pPr>
        <w:pStyle w:val="23"/>
        <w:rPr>
          <w:rFonts w:hint="eastAsia" w:ascii="宋体" w:hAnsi="宋体" w:eastAsia="宋体" w:cs="宋体"/>
          <w:highlight w:val="none"/>
        </w:rPr>
      </w:pPr>
    </w:p>
    <w:p w14:paraId="62ACDF81">
      <w:pPr>
        <w:pStyle w:val="23"/>
        <w:rPr>
          <w:rFonts w:hint="eastAsia" w:ascii="宋体" w:hAnsi="宋体" w:eastAsia="宋体" w:cs="宋体"/>
          <w:highlight w:val="none"/>
        </w:rPr>
      </w:pPr>
    </w:p>
    <w:p w14:paraId="2838CBF0">
      <w:pPr>
        <w:pStyle w:val="23"/>
        <w:rPr>
          <w:rFonts w:hint="eastAsia" w:ascii="宋体" w:hAnsi="宋体" w:eastAsia="宋体" w:cs="宋体"/>
          <w:highlight w:val="none"/>
        </w:rPr>
      </w:pPr>
    </w:p>
    <w:p w14:paraId="6A50C68F">
      <w:pPr>
        <w:pStyle w:val="23"/>
        <w:rPr>
          <w:rFonts w:hint="eastAsia" w:ascii="宋体" w:hAnsi="宋体" w:eastAsia="宋体" w:cs="宋体"/>
          <w:highlight w:val="none"/>
        </w:rPr>
      </w:pPr>
    </w:p>
    <w:p w14:paraId="706CD270">
      <w:pPr>
        <w:pStyle w:val="23"/>
        <w:rPr>
          <w:rFonts w:hint="eastAsia" w:ascii="宋体" w:hAnsi="宋体" w:eastAsia="宋体" w:cs="宋体"/>
          <w:highlight w:val="none"/>
        </w:rPr>
      </w:pPr>
    </w:p>
    <w:p w14:paraId="62AC43C4">
      <w:pPr>
        <w:pStyle w:val="23"/>
        <w:rPr>
          <w:rFonts w:hint="eastAsia" w:ascii="宋体" w:hAnsi="宋体" w:eastAsia="宋体" w:cs="宋体"/>
          <w:highlight w:val="none"/>
        </w:rPr>
      </w:pPr>
    </w:p>
    <w:p w14:paraId="66D62E81">
      <w:pPr>
        <w:pStyle w:val="23"/>
        <w:rPr>
          <w:rFonts w:hint="eastAsia" w:ascii="宋体" w:hAnsi="宋体" w:eastAsia="宋体" w:cs="宋体"/>
          <w:highlight w:val="none"/>
        </w:rPr>
      </w:pPr>
    </w:p>
    <w:p w14:paraId="22033CDB">
      <w:pPr>
        <w:pStyle w:val="23"/>
        <w:rPr>
          <w:rFonts w:hint="eastAsia" w:ascii="宋体" w:hAnsi="宋体" w:eastAsia="宋体" w:cs="宋体"/>
          <w:highlight w:val="none"/>
        </w:rPr>
      </w:pPr>
    </w:p>
    <w:p w14:paraId="7063FE6E">
      <w:pPr>
        <w:pStyle w:val="23"/>
        <w:rPr>
          <w:rFonts w:hint="eastAsia" w:ascii="宋体" w:hAnsi="宋体" w:eastAsia="宋体" w:cs="宋体"/>
          <w:highlight w:val="none"/>
        </w:rPr>
      </w:pPr>
    </w:p>
    <w:p w14:paraId="7C3DFAC3">
      <w:pPr>
        <w:pStyle w:val="23"/>
        <w:rPr>
          <w:rFonts w:hint="eastAsia" w:ascii="宋体" w:hAnsi="宋体" w:eastAsia="宋体" w:cs="宋体"/>
          <w:highlight w:val="none"/>
        </w:rPr>
      </w:pPr>
    </w:p>
    <w:p w14:paraId="011ECBA5">
      <w:pPr>
        <w:pStyle w:val="23"/>
        <w:rPr>
          <w:rFonts w:hint="eastAsia" w:ascii="宋体" w:hAnsi="宋体" w:eastAsia="宋体" w:cs="宋体"/>
          <w:highlight w:val="none"/>
        </w:rPr>
      </w:pPr>
    </w:p>
    <w:p w14:paraId="7A185A59">
      <w:pPr>
        <w:pStyle w:val="23"/>
        <w:rPr>
          <w:rFonts w:hint="eastAsia" w:ascii="宋体" w:hAnsi="宋体" w:eastAsia="宋体" w:cs="宋体"/>
          <w:highlight w:val="none"/>
        </w:rPr>
      </w:pPr>
    </w:p>
    <w:p w14:paraId="4E132B2C">
      <w:pPr>
        <w:pStyle w:val="23"/>
        <w:rPr>
          <w:rFonts w:hint="eastAsia" w:ascii="宋体" w:hAnsi="宋体" w:eastAsia="宋体" w:cs="宋体"/>
          <w:highlight w:val="none"/>
        </w:rPr>
      </w:pPr>
    </w:p>
    <w:p w14:paraId="4A3DA305">
      <w:pPr>
        <w:adjustRightInd w:val="0"/>
        <w:spacing w:line="320" w:lineRule="exact"/>
        <w:jc w:val="both"/>
        <w:rPr>
          <w:rFonts w:hint="eastAsia" w:ascii="宋体" w:hAnsi="宋体" w:eastAsia="宋体" w:cs="宋体"/>
          <w:sz w:val="28"/>
          <w:szCs w:val="28"/>
          <w:highlight w:val="none"/>
          <w:lang w:val="en-US"/>
        </w:rPr>
      </w:pP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10</w:t>
      </w:r>
      <w:r>
        <w:rPr>
          <w:rFonts w:hint="eastAsia" w:ascii="宋体" w:hAnsi="宋体" w:eastAsia="宋体" w:cs="宋体"/>
          <w:sz w:val="28"/>
          <w:szCs w:val="28"/>
          <w:highlight w:val="none"/>
        </w:rPr>
        <w:t>：</w:t>
      </w:r>
    </w:p>
    <w:p w14:paraId="4EA85AE5">
      <w:pPr>
        <w:adjustRightInd w:val="0"/>
        <w:spacing w:line="360" w:lineRule="auto"/>
        <w:ind w:firstLine="2891" w:firstLineChars="900"/>
        <w:jc w:val="both"/>
        <w:rPr>
          <w:rFonts w:hint="eastAsia" w:ascii="宋体" w:hAnsi="宋体" w:eastAsia="宋体" w:cs="宋体"/>
          <w:sz w:val="28"/>
          <w:szCs w:val="28"/>
          <w:highlight w:val="none"/>
          <w:lang w:val="en-US"/>
        </w:rPr>
      </w:pPr>
      <w:r>
        <w:rPr>
          <w:rFonts w:hint="eastAsia" w:ascii="宋体" w:hAnsi="宋体" w:eastAsia="宋体" w:cs="宋体"/>
          <w:b/>
          <w:bCs/>
          <w:sz w:val="32"/>
          <w:szCs w:val="32"/>
          <w:highlight w:val="none"/>
          <w:lang w:val="en-US"/>
        </w:rPr>
        <w:t>其他资料（如需）</w:t>
      </w:r>
    </w:p>
    <w:p w14:paraId="544E6018">
      <w:pPr>
        <w:adjustRightInd w:val="0"/>
        <w:spacing w:line="320" w:lineRule="exact"/>
        <w:ind w:firstLine="6120" w:firstLineChars="2550"/>
        <w:rPr>
          <w:rFonts w:hint="eastAsia" w:ascii="宋体" w:hAnsi="宋体" w:eastAsia="宋体" w:cs="宋体"/>
          <w:sz w:val="24"/>
          <w:szCs w:val="24"/>
          <w:highlight w:val="none"/>
        </w:rPr>
      </w:pPr>
    </w:p>
    <w:p w14:paraId="21CCAA74">
      <w:pPr>
        <w:adjustRightInd w:val="0"/>
        <w:spacing w:line="320" w:lineRule="exact"/>
        <w:ind w:firstLine="6120" w:firstLineChars="2550"/>
        <w:rPr>
          <w:rFonts w:hint="eastAsia" w:ascii="宋体" w:hAnsi="宋体" w:eastAsia="宋体" w:cs="宋体"/>
          <w:sz w:val="24"/>
          <w:szCs w:val="24"/>
          <w:highlight w:val="none"/>
        </w:rPr>
      </w:pPr>
    </w:p>
    <w:p w14:paraId="5BD2E46F">
      <w:pPr>
        <w:adjustRightInd w:val="0"/>
        <w:spacing w:line="320" w:lineRule="exact"/>
        <w:ind w:firstLine="6120" w:firstLineChars="2550"/>
        <w:rPr>
          <w:rFonts w:hint="eastAsia" w:ascii="宋体" w:hAnsi="宋体" w:eastAsia="宋体" w:cs="宋体"/>
          <w:sz w:val="24"/>
          <w:szCs w:val="24"/>
          <w:highlight w:val="none"/>
        </w:rPr>
      </w:pPr>
    </w:p>
    <w:p w14:paraId="035EBE8F">
      <w:pPr>
        <w:adjustRightInd w:val="0"/>
        <w:spacing w:line="320" w:lineRule="exact"/>
        <w:ind w:firstLine="6120" w:firstLineChars="2550"/>
        <w:rPr>
          <w:rFonts w:hint="eastAsia" w:ascii="宋体" w:hAnsi="宋体" w:eastAsia="宋体" w:cs="宋体"/>
          <w:sz w:val="24"/>
          <w:szCs w:val="24"/>
          <w:highlight w:val="none"/>
        </w:rPr>
      </w:pPr>
    </w:p>
    <w:p w14:paraId="64F5C1CF">
      <w:pPr>
        <w:adjustRightInd w:val="0"/>
        <w:spacing w:line="320" w:lineRule="exact"/>
        <w:ind w:firstLine="6120" w:firstLineChars="2550"/>
        <w:rPr>
          <w:rFonts w:hint="eastAsia" w:ascii="宋体" w:hAnsi="宋体" w:eastAsia="宋体" w:cs="宋体"/>
          <w:sz w:val="24"/>
          <w:szCs w:val="24"/>
          <w:highlight w:val="none"/>
        </w:rPr>
      </w:pPr>
    </w:p>
    <w:p w14:paraId="733F6058">
      <w:pPr>
        <w:adjustRightInd w:val="0"/>
        <w:spacing w:line="320" w:lineRule="exact"/>
        <w:ind w:firstLine="6120" w:firstLineChars="2550"/>
        <w:rPr>
          <w:rFonts w:hint="eastAsia" w:ascii="宋体" w:hAnsi="宋体" w:eastAsia="宋体" w:cs="宋体"/>
          <w:sz w:val="24"/>
          <w:szCs w:val="24"/>
          <w:highlight w:val="none"/>
        </w:rPr>
      </w:pPr>
    </w:p>
    <w:p w14:paraId="6737A718">
      <w:pPr>
        <w:adjustRightInd w:val="0"/>
        <w:spacing w:line="320" w:lineRule="exact"/>
        <w:ind w:firstLine="6120" w:firstLineChars="2550"/>
        <w:rPr>
          <w:rFonts w:hint="eastAsia" w:ascii="宋体" w:hAnsi="宋体" w:eastAsia="宋体" w:cs="宋体"/>
          <w:sz w:val="24"/>
          <w:szCs w:val="24"/>
          <w:highlight w:val="none"/>
        </w:rPr>
      </w:pPr>
    </w:p>
    <w:p w14:paraId="76D105BF">
      <w:pPr>
        <w:adjustRightInd w:val="0"/>
        <w:spacing w:line="320" w:lineRule="exact"/>
        <w:ind w:firstLine="6120" w:firstLineChars="2550"/>
        <w:rPr>
          <w:rFonts w:hint="eastAsia" w:ascii="宋体" w:hAnsi="宋体" w:eastAsia="宋体" w:cs="宋体"/>
          <w:sz w:val="24"/>
          <w:szCs w:val="24"/>
          <w:highlight w:val="none"/>
        </w:rPr>
      </w:pPr>
    </w:p>
    <w:p w14:paraId="1E47B3D8">
      <w:pPr>
        <w:adjustRightInd w:val="0"/>
        <w:spacing w:line="320" w:lineRule="exact"/>
        <w:ind w:firstLine="6120" w:firstLineChars="2550"/>
        <w:rPr>
          <w:rFonts w:hint="eastAsia" w:ascii="宋体" w:hAnsi="宋体" w:eastAsia="宋体" w:cs="宋体"/>
          <w:sz w:val="24"/>
          <w:szCs w:val="24"/>
          <w:highlight w:val="none"/>
        </w:rPr>
      </w:pPr>
    </w:p>
    <w:p w14:paraId="7D40DC56">
      <w:pPr>
        <w:adjustRightInd w:val="0"/>
        <w:spacing w:line="320" w:lineRule="exact"/>
        <w:ind w:firstLine="6120" w:firstLineChars="2550"/>
        <w:rPr>
          <w:rFonts w:hint="eastAsia" w:ascii="宋体" w:hAnsi="宋体" w:eastAsia="宋体" w:cs="宋体"/>
          <w:sz w:val="24"/>
          <w:szCs w:val="24"/>
          <w:highlight w:val="none"/>
        </w:rPr>
      </w:pPr>
    </w:p>
    <w:p w14:paraId="788266C2">
      <w:pPr>
        <w:adjustRightInd w:val="0"/>
        <w:spacing w:line="320" w:lineRule="exact"/>
        <w:ind w:firstLine="6120" w:firstLineChars="2550"/>
        <w:rPr>
          <w:rFonts w:hint="eastAsia" w:ascii="宋体" w:hAnsi="宋体" w:eastAsia="宋体" w:cs="宋体"/>
          <w:sz w:val="24"/>
          <w:szCs w:val="24"/>
          <w:highlight w:val="none"/>
        </w:rPr>
      </w:pPr>
    </w:p>
    <w:p w14:paraId="52ABD6D6">
      <w:pPr>
        <w:adjustRightInd w:val="0"/>
        <w:spacing w:line="320" w:lineRule="exact"/>
        <w:ind w:firstLine="6120" w:firstLineChars="2550"/>
        <w:rPr>
          <w:rFonts w:hint="eastAsia" w:ascii="宋体" w:hAnsi="宋体" w:eastAsia="宋体" w:cs="宋体"/>
          <w:sz w:val="24"/>
          <w:szCs w:val="24"/>
          <w:highlight w:val="none"/>
        </w:rPr>
      </w:pPr>
    </w:p>
    <w:p w14:paraId="6B12A3E5">
      <w:pPr>
        <w:adjustRightInd w:val="0"/>
        <w:spacing w:line="320" w:lineRule="exact"/>
        <w:ind w:firstLine="6120" w:firstLineChars="2550"/>
        <w:rPr>
          <w:rFonts w:hint="eastAsia" w:ascii="宋体" w:hAnsi="宋体" w:eastAsia="宋体" w:cs="宋体"/>
          <w:sz w:val="24"/>
          <w:szCs w:val="24"/>
          <w:highlight w:val="none"/>
        </w:rPr>
      </w:pPr>
    </w:p>
    <w:p w14:paraId="471453B3">
      <w:pPr>
        <w:adjustRightInd w:val="0"/>
        <w:spacing w:line="320" w:lineRule="exact"/>
        <w:ind w:firstLine="6120" w:firstLineChars="2550"/>
        <w:rPr>
          <w:rFonts w:hint="eastAsia" w:ascii="宋体" w:hAnsi="宋体" w:eastAsia="宋体" w:cs="宋体"/>
          <w:sz w:val="24"/>
          <w:szCs w:val="24"/>
          <w:highlight w:val="none"/>
        </w:rPr>
      </w:pPr>
    </w:p>
    <w:p w14:paraId="32966AFD">
      <w:pPr>
        <w:adjustRightInd w:val="0"/>
        <w:spacing w:line="320" w:lineRule="exact"/>
        <w:ind w:firstLine="6120" w:firstLineChars="2550"/>
        <w:rPr>
          <w:rFonts w:hint="eastAsia" w:ascii="宋体" w:hAnsi="宋体" w:eastAsia="宋体" w:cs="宋体"/>
          <w:sz w:val="24"/>
          <w:szCs w:val="24"/>
          <w:highlight w:val="none"/>
        </w:rPr>
      </w:pPr>
    </w:p>
    <w:p w14:paraId="4FE6B624">
      <w:pPr>
        <w:adjustRightInd w:val="0"/>
        <w:spacing w:line="320" w:lineRule="exact"/>
        <w:ind w:firstLine="6120" w:firstLineChars="2550"/>
        <w:rPr>
          <w:rFonts w:hint="eastAsia" w:ascii="宋体" w:hAnsi="宋体" w:eastAsia="宋体" w:cs="宋体"/>
          <w:sz w:val="24"/>
          <w:szCs w:val="24"/>
          <w:highlight w:val="none"/>
        </w:rPr>
      </w:pPr>
    </w:p>
    <w:p w14:paraId="02DC370A">
      <w:pPr>
        <w:adjustRightInd w:val="0"/>
        <w:spacing w:line="320" w:lineRule="exact"/>
        <w:ind w:firstLine="6120" w:firstLineChars="2550"/>
        <w:rPr>
          <w:rFonts w:hint="eastAsia" w:ascii="宋体" w:hAnsi="宋体" w:eastAsia="宋体" w:cs="宋体"/>
          <w:sz w:val="24"/>
          <w:szCs w:val="24"/>
          <w:highlight w:val="none"/>
        </w:rPr>
      </w:pPr>
    </w:p>
    <w:p w14:paraId="7ADB7D9A">
      <w:pPr>
        <w:adjustRightInd w:val="0"/>
        <w:spacing w:line="320" w:lineRule="exact"/>
        <w:ind w:firstLine="6120" w:firstLineChars="2550"/>
        <w:rPr>
          <w:rFonts w:hint="eastAsia" w:ascii="宋体" w:hAnsi="宋体" w:eastAsia="宋体" w:cs="宋体"/>
          <w:sz w:val="24"/>
          <w:szCs w:val="24"/>
          <w:highlight w:val="none"/>
        </w:rPr>
      </w:pPr>
    </w:p>
    <w:p w14:paraId="3E4BAB06">
      <w:pPr>
        <w:adjustRightInd w:val="0"/>
        <w:spacing w:line="320" w:lineRule="exact"/>
        <w:ind w:firstLine="6120" w:firstLineChars="2550"/>
        <w:rPr>
          <w:rFonts w:hint="eastAsia" w:ascii="宋体" w:hAnsi="宋体" w:eastAsia="宋体" w:cs="宋体"/>
          <w:sz w:val="24"/>
          <w:szCs w:val="24"/>
          <w:highlight w:val="none"/>
        </w:rPr>
      </w:pPr>
    </w:p>
    <w:p w14:paraId="29C422C2">
      <w:pPr>
        <w:adjustRightInd w:val="0"/>
        <w:spacing w:line="320" w:lineRule="exact"/>
        <w:ind w:firstLine="6120" w:firstLineChars="2550"/>
        <w:rPr>
          <w:rFonts w:hint="eastAsia" w:ascii="宋体" w:hAnsi="宋体" w:eastAsia="宋体" w:cs="宋体"/>
          <w:sz w:val="24"/>
          <w:szCs w:val="24"/>
          <w:highlight w:val="none"/>
        </w:rPr>
      </w:pPr>
    </w:p>
    <w:p w14:paraId="47F8425B">
      <w:pPr>
        <w:adjustRightInd w:val="0"/>
        <w:spacing w:line="320" w:lineRule="exact"/>
        <w:ind w:firstLine="6120" w:firstLineChars="2550"/>
        <w:rPr>
          <w:rFonts w:hint="eastAsia" w:ascii="宋体" w:hAnsi="宋体" w:eastAsia="宋体" w:cs="宋体"/>
          <w:sz w:val="24"/>
          <w:szCs w:val="24"/>
          <w:highlight w:val="none"/>
        </w:rPr>
      </w:pPr>
    </w:p>
    <w:p w14:paraId="2C0BCBF0">
      <w:pPr>
        <w:adjustRightInd w:val="0"/>
        <w:spacing w:line="320" w:lineRule="exact"/>
        <w:ind w:firstLine="6120" w:firstLineChars="2550"/>
        <w:rPr>
          <w:rFonts w:hint="eastAsia" w:ascii="宋体" w:hAnsi="宋体" w:eastAsia="宋体" w:cs="宋体"/>
          <w:sz w:val="24"/>
          <w:szCs w:val="24"/>
          <w:highlight w:val="none"/>
        </w:rPr>
      </w:pPr>
    </w:p>
    <w:p w14:paraId="45A294D7">
      <w:pPr>
        <w:adjustRightInd w:val="0"/>
        <w:spacing w:line="320" w:lineRule="exact"/>
        <w:ind w:firstLine="6120" w:firstLineChars="2550"/>
        <w:rPr>
          <w:rFonts w:hint="eastAsia" w:ascii="宋体" w:hAnsi="宋体" w:eastAsia="宋体" w:cs="宋体"/>
          <w:sz w:val="24"/>
          <w:szCs w:val="24"/>
          <w:highlight w:val="none"/>
        </w:rPr>
      </w:pPr>
    </w:p>
    <w:p w14:paraId="6FDB53DA">
      <w:pPr>
        <w:adjustRightInd w:val="0"/>
        <w:spacing w:line="320" w:lineRule="exact"/>
        <w:ind w:firstLine="6120" w:firstLineChars="2550"/>
        <w:rPr>
          <w:rFonts w:hint="eastAsia" w:ascii="宋体" w:hAnsi="宋体" w:eastAsia="宋体" w:cs="宋体"/>
          <w:sz w:val="24"/>
          <w:szCs w:val="24"/>
          <w:highlight w:val="none"/>
        </w:rPr>
      </w:pPr>
    </w:p>
    <w:p w14:paraId="6630B802">
      <w:pPr>
        <w:adjustRightInd w:val="0"/>
        <w:spacing w:line="320" w:lineRule="exact"/>
        <w:ind w:firstLine="6120" w:firstLineChars="2550"/>
        <w:rPr>
          <w:rFonts w:hint="eastAsia" w:ascii="宋体" w:hAnsi="宋体" w:eastAsia="宋体" w:cs="宋体"/>
          <w:sz w:val="24"/>
          <w:szCs w:val="24"/>
          <w:highlight w:val="none"/>
        </w:rPr>
      </w:pPr>
    </w:p>
    <w:p w14:paraId="732F356C">
      <w:pPr>
        <w:adjustRightInd w:val="0"/>
        <w:spacing w:line="320" w:lineRule="exact"/>
        <w:ind w:firstLine="6120" w:firstLineChars="2550"/>
        <w:rPr>
          <w:rFonts w:hint="eastAsia" w:ascii="宋体" w:hAnsi="宋体" w:eastAsia="宋体" w:cs="宋体"/>
          <w:sz w:val="24"/>
          <w:szCs w:val="24"/>
          <w:highlight w:val="none"/>
        </w:rPr>
      </w:pPr>
    </w:p>
    <w:p w14:paraId="23BC9EAC">
      <w:pPr>
        <w:adjustRightInd w:val="0"/>
        <w:spacing w:line="320" w:lineRule="exact"/>
        <w:ind w:firstLine="6120" w:firstLineChars="2550"/>
        <w:rPr>
          <w:rFonts w:hint="eastAsia" w:ascii="宋体" w:hAnsi="宋体" w:eastAsia="宋体" w:cs="宋体"/>
          <w:sz w:val="24"/>
          <w:szCs w:val="24"/>
          <w:highlight w:val="none"/>
        </w:rPr>
      </w:pPr>
    </w:p>
    <w:p w14:paraId="7EE4C3D0">
      <w:pPr>
        <w:adjustRightInd w:val="0"/>
        <w:spacing w:line="320" w:lineRule="exact"/>
        <w:ind w:firstLine="6120" w:firstLineChars="2550"/>
        <w:rPr>
          <w:rFonts w:hint="eastAsia" w:ascii="宋体" w:hAnsi="宋体" w:eastAsia="宋体" w:cs="宋体"/>
          <w:sz w:val="24"/>
          <w:szCs w:val="24"/>
          <w:highlight w:val="none"/>
        </w:rPr>
      </w:pPr>
    </w:p>
    <w:p w14:paraId="531EA4F8">
      <w:pPr>
        <w:adjustRightInd w:val="0"/>
        <w:spacing w:line="320" w:lineRule="exact"/>
        <w:ind w:firstLine="6120" w:firstLineChars="2550"/>
        <w:rPr>
          <w:rFonts w:hint="eastAsia" w:ascii="宋体" w:hAnsi="宋体" w:eastAsia="宋体" w:cs="宋体"/>
          <w:sz w:val="24"/>
          <w:szCs w:val="24"/>
          <w:highlight w:val="none"/>
        </w:rPr>
      </w:pPr>
    </w:p>
    <w:p w14:paraId="683523DB">
      <w:pPr>
        <w:adjustRightInd w:val="0"/>
        <w:spacing w:line="320" w:lineRule="exact"/>
        <w:ind w:firstLine="6120" w:firstLineChars="2550"/>
        <w:rPr>
          <w:rFonts w:hint="eastAsia" w:ascii="宋体" w:hAnsi="宋体" w:eastAsia="宋体" w:cs="宋体"/>
          <w:sz w:val="24"/>
          <w:szCs w:val="24"/>
          <w:highlight w:val="none"/>
        </w:rPr>
      </w:pPr>
    </w:p>
    <w:p w14:paraId="48D573DB">
      <w:pP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08EA4493">
      <w:pPr>
        <w:adjustRightInd w:val="0"/>
        <w:spacing w:line="320" w:lineRule="exact"/>
        <w:jc w:val="both"/>
        <w:rPr>
          <w:rFonts w:hint="eastAsia" w:ascii="宋体" w:hAnsi="宋体" w:eastAsia="宋体" w:cs="宋体"/>
          <w:sz w:val="28"/>
          <w:szCs w:val="28"/>
          <w:highlight w:val="none"/>
          <w:lang w:val="en-US"/>
        </w:rPr>
      </w:pP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11</w:t>
      </w:r>
      <w:r>
        <w:rPr>
          <w:rFonts w:hint="eastAsia" w:ascii="宋体" w:hAnsi="宋体" w:eastAsia="宋体" w:cs="宋体"/>
          <w:sz w:val="28"/>
          <w:szCs w:val="28"/>
          <w:highlight w:val="none"/>
        </w:rPr>
        <w:t>：</w:t>
      </w:r>
    </w:p>
    <w:p w14:paraId="4BE85E37">
      <w:pPr>
        <w:adjustRightInd w:val="0"/>
        <w:spacing w:line="360" w:lineRule="auto"/>
        <w:ind w:firstLine="643" w:firstLineChars="20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政府采购供应商诚信承诺书</w:t>
      </w:r>
    </w:p>
    <w:p w14:paraId="34619B61">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F5B6163">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（一）提供虚假材料谋取中标;</w:t>
      </w:r>
    </w:p>
    <w:p w14:paraId="5912E0CE">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（二）采取不正当手段诋毁、排挤其他供应商;</w:t>
      </w:r>
    </w:p>
    <w:p w14:paraId="5332698C">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（三）与招标采购单位、其他投标人恶意串通;</w:t>
      </w:r>
    </w:p>
    <w:p w14:paraId="2985EBBF">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（四）向招标采购单位或提供其他不正当利益;</w:t>
      </w:r>
    </w:p>
    <w:p w14:paraId="41A0846A">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（五）在招标过程中与招标采购单位进行协商谈判、不按照招标文件和投标文件订立合同，或者与采购人另立背离合同实质性内容协议;</w:t>
      </w:r>
    </w:p>
    <w:p w14:paraId="7C6E6E03">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（六）开标后擅自撤销投标，影响招标继续进行的或领取招标文件纳投标保证金后不投标导致废标;</w:t>
      </w:r>
    </w:p>
    <w:p w14:paraId="15757B10">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（七）中标后无正当理由，在规定时间内不与采购单位签订合同;</w:t>
      </w:r>
    </w:p>
    <w:p w14:paraId="56B5BB19">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（八）将中标项目转让给他人或非法分包他人;</w:t>
      </w:r>
    </w:p>
    <w:p w14:paraId="4B376795">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（九）无正当理由，拒绝履行合同义务;</w:t>
      </w:r>
    </w:p>
    <w:p w14:paraId="5672A05E">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（十）无正当理由放弃中标（成交）项目;</w:t>
      </w:r>
    </w:p>
    <w:p w14:paraId="6059AF17">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（十一）</w:t>
      </w:r>
      <w:r>
        <w:rPr>
          <w:rFonts w:hint="eastAsia" w:cs="宋体"/>
          <w:sz w:val="24"/>
          <w:szCs w:val="24"/>
          <w:highlight w:val="none"/>
          <w:lang w:val="en-US" w:eastAsia="zh-CN"/>
        </w:rPr>
        <w:t>擅自</w:t>
      </w:r>
      <w:r>
        <w:rPr>
          <w:rFonts w:hint="eastAsia" w:ascii="宋体" w:hAnsi="宋体" w:eastAsia="宋体" w:cs="宋体"/>
          <w:sz w:val="24"/>
          <w:szCs w:val="24"/>
          <w:highlight w:val="none"/>
        </w:rPr>
        <w:t>与采购人串通或接受采购人要求，在履约合同中通过减少货物数量，更换品牌、降低配置、技术要求、质量和服务标准等，却仍按原合同进行虚假验收或终止政府采购合同;</w:t>
      </w:r>
    </w:p>
    <w:p w14:paraId="165B3FEA">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（十二）与采购人串通，对尚未履约完毕的采购项目出具虚假验收报告；</w:t>
      </w:r>
    </w:p>
    <w:p w14:paraId="39D47F1B">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（十三）无不可抗力因素，拒绝提供售后服务、售后服务态度恶劣、故意提高维修配件价格（高于市场平均价）；</w:t>
      </w:r>
    </w:p>
    <w:p w14:paraId="7468F041">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（十四）开标后对招标文件的相关内容再进行质疑；</w:t>
      </w:r>
    </w:p>
    <w:p w14:paraId="0B2AA4B3">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（十五）恶意投诉的行为：投诉经查无实据的、捏造事实或者提供虚假设诉材料；</w:t>
      </w:r>
    </w:p>
    <w:p w14:paraId="32A07ECA">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（十六）拒绝有关部门监督检查或者提供虚假情况；</w:t>
      </w:r>
    </w:p>
    <w:p w14:paraId="27B27F15">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（十七）政府采购监管部门认定的其他政府采购活动中的不诚信行为。</w:t>
      </w:r>
    </w:p>
    <w:p w14:paraId="50666B22">
      <w:pPr>
        <w:adjustRightInd w:val="0"/>
        <w:spacing w:line="360" w:lineRule="auto"/>
        <w:ind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供应商名称：（盖章）</w:t>
      </w:r>
    </w:p>
    <w:p w14:paraId="4FB27784">
      <w:pPr>
        <w:adjustRightInd w:val="0"/>
        <w:spacing w:line="360" w:lineRule="auto"/>
        <w:ind w:right="640"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法人代表</w:t>
      </w:r>
      <w:r>
        <w:rPr>
          <w:rFonts w:hint="eastAsia" w:cs="宋体"/>
          <w:sz w:val="24"/>
          <w:szCs w:val="24"/>
          <w:highlight w:val="none"/>
          <w:lang w:val="en-US" w:eastAsia="zh-CN"/>
        </w:rPr>
        <w:t>和</w:t>
      </w:r>
      <w:r>
        <w:rPr>
          <w:rFonts w:hint="eastAsia" w:ascii="宋体" w:hAnsi="宋体" w:eastAsia="宋体" w:cs="宋体"/>
          <w:sz w:val="24"/>
          <w:szCs w:val="24"/>
          <w:highlight w:val="none"/>
        </w:rPr>
        <w:t>授权委托人：（签</w:t>
      </w:r>
      <w:r>
        <w:rPr>
          <w:rFonts w:hint="eastAsia" w:cs="宋体"/>
          <w:sz w:val="24"/>
          <w:szCs w:val="24"/>
          <w:highlight w:val="none"/>
          <w:lang w:val="en-US" w:eastAsia="zh-CN"/>
        </w:rPr>
        <w:t>章</w:t>
      </w:r>
      <w:r>
        <w:rPr>
          <w:rFonts w:hint="eastAsia" w:ascii="宋体" w:hAnsi="宋体" w:eastAsia="宋体" w:cs="宋体"/>
          <w:sz w:val="24"/>
          <w:szCs w:val="24"/>
          <w:highlight w:val="none"/>
        </w:rPr>
        <w:t>）</w:t>
      </w:r>
    </w:p>
    <w:p w14:paraId="569AAF12">
      <w:pPr>
        <w:adjustRightInd w:val="0"/>
        <w:spacing w:line="360" w:lineRule="auto"/>
        <w:jc w:val="center"/>
        <w:rPr>
          <w:rFonts w:hint="eastAsia" w:ascii="宋体" w:hAnsi="宋体" w:eastAsia="宋体" w:cs="宋体"/>
          <w:sz w:val="24"/>
          <w:szCs w:val="24"/>
          <w:highlight w:val="none"/>
        </w:rPr>
      </w:pPr>
    </w:p>
    <w:p w14:paraId="7CD8E355">
      <w:pPr>
        <w:adjustRightInd w:val="0"/>
        <w:spacing w:line="360" w:lineRule="auto"/>
        <w:ind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46132AE2">
      <w:pPr>
        <w:pStyle w:val="26"/>
        <w:adjustRightInd w:val="0"/>
        <w:spacing w:line="360" w:lineRule="auto"/>
        <w:ind w:firstLine="480"/>
        <w:rPr>
          <w:rFonts w:hint="eastAsia" w:ascii="宋体" w:hAnsi="宋体" w:eastAsia="宋体" w:cs="宋体"/>
          <w:sz w:val="24"/>
          <w:szCs w:val="24"/>
          <w:highlight w:val="none"/>
        </w:rPr>
      </w:pPr>
    </w:p>
    <w:p w14:paraId="2A92B8F0">
      <w:pPr>
        <w:pStyle w:val="26"/>
        <w:adjustRightInd w:val="0"/>
        <w:spacing w:line="360" w:lineRule="auto"/>
        <w:ind w:firstLine="1440" w:firstLineChars="600"/>
        <w:rPr>
          <w:rFonts w:hint="eastAsia" w:ascii="宋体" w:hAnsi="宋体" w:eastAsia="宋体" w:cs="宋体"/>
          <w:sz w:val="24"/>
          <w:szCs w:val="24"/>
          <w:highlight w:val="none"/>
        </w:rPr>
      </w:pPr>
      <w:r>
        <w:rPr>
          <w:rFonts w:hint="eastAsia" w:ascii="宋体" w:hAnsi="宋体" w:eastAsia="宋体" w:cs="宋体"/>
          <w:sz w:val="24"/>
          <w:szCs w:val="24"/>
          <w:highlight w:val="none"/>
        </w:rPr>
        <w:t>注：投标人须将此承诺书放进投标文件里。</w:t>
      </w:r>
    </w:p>
    <w:p w14:paraId="1F2E14F2">
      <w:pPr>
        <w:pStyle w:val="26"/>
        <w:adjustRightInd w:val="0"/>
        <w:spacing w:line="360" w:lineRule="auto"/>
        <w:ind w:firstLine="1440" w:firstLineChars="600"/>
        <w:rPr>
          <w:rFonts w:hint="eastAsia" w:ascii="宋体" w:hAnsi="宋体" w:eastAsia="宋体" w:cs="宋体"/>
          <w:sz w:val="24"/>
          <w:szCs w:val="24"/>
          <w:highlight w:val="none"/>
        </w:rPr>
      </w:pPr>
    </w:p>
    <w:p w14:paraId="000F08D7">
      <w:pPr>
        <w:rPr>
          <w:rFonts w:hint="eastAsia" w:ascii="宋体" w:hAnsi="宋体" w:eastAsia="宋体" w:cs="宋体"/>
          <w:b/>
          <w:bCs/>
          <w:sz w:val="32"/>
          <w:szCs w:val="32"/>
          <w:highlight w:val="none"/>
          <w:lang w:val="en-US"/>
        </w:rPr>
      </w:pPr>
      <w:r>
        <w:rPr>
          <w:rFonts w:hint="eastAsia" w:ascii="宋体" w:hAnsi="宋体" w:eastAsia="宋体" w:cs="宋体"/>
          <w:b/>
          <w:bCs/>
          <w:sz w:val="32"/>
          <w:szCs w:val="32"/>
          <w:highlight w:val="none"/>
          <w:lang w:val="en-US"/>
        </w:rPr>
        <w:br w:type="page"/>
      </w:r>
    </w:p>
    <w:p w14:paraId="671B2BD3">
      <w:pPr>
        <w:pStyle w:val="3"/>
        <w:spacing w:before="0" w:after="0" w:line="500" w:lineRule="exact"/>
        <w:ind w:firstLine="0"/>
        <w:rPr>
          <w:rFonts w:hint="eastAsia" w:ascii="宋体" w:hAnsi="宋体" w:eastAsia="宋体" w:cs="宋体"/>
          <w:b w:val="0"/>
          <w:sz w:val="44"/>
          <w:szCs w:val="44"/>
          <w:highlight w:val="none"/>
          <w:lang w:val="en-US"/>
        </w:rPr>
      </w:pPr>
      <w:r>
        <w:rPr>
          <w:rFonts w:hint="eastAsia" w:ascii="宋体" w:hAnsi="宋体" w:eastAsia="宋体" w:cs="宋体"/>
          <w:b/>
          <w:bCs/>
          <w:sz w:val="32"/>
          <w:szCs w:val="32"/>
          <w:highlight w:val="none"/>
          <w:lang w:val="en-US"/>
        </w:rPr>
        <w:t>第六部分  周口市政府采购合同（货物类）标准文本</w:t>
      </w:r>
    </w:p>
    <w:p w14:paraId="1186F44B">
      <w:pPr>
        <w:rPr>
          <w:rFonts w:hint="eastAsia" w:ascii="宋体" w:hAnsi="宋体" w:eastAsia="宋体" w:cs="宋体"/>
          <w:sz w:val="32"/>
          <w:szCs w:val="32"/>
          <w:highlight w:val="none"/>
          <w:lang w:val="en-US"/>
        </w:rPr>
      </w:pPr>
    </w:p>
    <w:p w14:paraId="446DA8C5">
      <w:pPr>
        <w:pStyle w:val="27"/>
        <w:spacing w:beforeLines="0" w:afterLines="0"/>
        <w:ind w:left="0"/>
        <w:rPr>
          <w:rFonts w:hint="eastAsia" w:ascii="宋体" w:hAnsi="宋体" w:eastAsia="宋体" w:cs="宋体"/>
          <w:sz w:val="32"/>
          <w:szCs w:val="32"/>
          <w:highlight w:val="none"/>
          <w:lang w:val="en-US"/>
        </w:rPr>
      </w:pPr>
    </w:p>
    <w:p w14:paraId="4A3D0E70">
      <w:pPr>
        <w:pStyle w:val="27"/>
        <w:spacing w:beforeLines="0" w:afterLines="0"/>
        <w:ind w:left="0"/>
        <w:rPr>
          <w:rFonts w:hint="eastAsia" w:ascii="宋体" w:hAnsi="宋体" w:eastAsia="宋体" w:cs="宋体"/>
          <w:sz w:val="32"/>
          <w:szCs w:val="32"/>
          <w:highlight w:val="none"/>
          <w:lang w:val="en-US"/>
        </w:rPr>
      </w:pPr>
    </w:p>
    <w:p w14:paraId="51AA2F83">
      <w:pPr>
        <w:pStyle w:val="27"/>
        <w:spacing w:beforeLines="0" w:afterLines="0"/>
        <w:ind w:left="0"/>
        <w:rPr>
          <w:rFonts w:hint="eastAsia" w:ascii="宋体" w:hAnsi="宋体" w:eastAsia="宋体" w:cs="宋体"/>
          <w:sz w:val="30"/>
          <w:szCs w:val="30"/>
          <w:highlight w:val="none"/>
          <w:lang w:val="en-US"/>
        </w:rPr>
      </w:pPr>
    </w:p>
    <w:p w14:paraId="081032B4">
      <w:pPr>
        <w:pStyle w:val="27"/>
        <w:spacing w:beforeLines="0" w:afterLines="0"/>
        <w:ind w:left="0"/>
        <w:rPr>
          <w:rFonts w:hint="eastAsia" w:ascii="宋体" w:hAnsi="宋体" w:eastAsia="宋体" w:cs="宋体"/>
          <w:sz w:val="30"/>
          <w:szCs w:val="30"/>
          <w:highlight w:val="none"/>
          <w:lang w:val="en-US"/>
        </w:rPr>
      </w:pPr>
    </w:p>
    <w:p w14:paraId="699C7022">
      <w:pPr>
        <w:pStyle w:val="27"/>
        <w:spacing w:beforeLines="0" w:afterLines="0"/>
        <w:ind w:left="0"/>
        <w:rPr>
          <w:rFonts w:hint="eastAsia" w:ascii="宋体" w:hAnsi="宋体" w:eastAsia="宋体" w:cs="宋体"/>
          <w:sz w:val="30"/>
          <w:szCs w:val="30"/>
          <w:highlight w:val="none"/>
          <w:lang w:val="en-US"/>
        </w:rPr>
      </w:pPr>
    </w:p>
    <w:p w14:paraId="49B19DA0">
      <w:pPr>
        <w:pStyle w:val="27"/>
        <w:spacing w:beforeLines="0" w:afterLines="0"/>
        <w:ind w:left="0"/>
        <w:rPr>
          <w:rFonts w:hint="eastAsia" w:ascii="宋体" w:hAnsi="宋体" w:eastAsia="宋体" w:cs="宋体"/>
          <w:sz w:val="30"/>
          <w:szCs w:val="30"/>
          <w:highlight w:val="none"/>
          <w:lang w:val="en-US"/>
        </w:rPr>
      </w:pPr>
    </w:p>
    <w:p w14:paraId="4FC996B9">
      <w:pPr>
        <w:pStyle w:val="27"/>
        <w:spacing w:beforeLines="0" w:afterLines="0"/>
        <w:ind w:left="0"/>
        <w:rPr>
          <w:rFonts w:hint="eastAsia" w:ascii="宋体" w:hAnsi="宋体" w:eastAsia="宋体" w:cs="宋体"/>
          <w:sz w:val="30"/>
          <w:szCs w:val="30"/>
          <w:highlight w:val="none"/>
          <w:lang w:val="en-US"/>
        </w:rPr>
      </w:pPr>
    </w:p>
    <w:p w14:paraId="78952A9A">
      <w:pPr>
        <w:pStyle w:val="27"/>
        <w:spacing w:beforeLines="0" w:afterLines="0"/>
        <w:ind w:left="0"/>
        <w:rPr>
          <w:rFonts w:hint="eastAsia" w:ascii="宋体" w:hAnsi="宋体" w:eastAsia="宋体" w:cs="宋体"/>
          <w:sz w:val="30"/>
          <w:szCs w:val="30"/>
          <w:highlight w:val="none"/>
          <w:lang w:val="en-US"/>
        </w:rPr>
      </w:pPr>
    </w:p>
    <w:p w14:paraId="1A5351E2">
      <w:pPr>
        <w:pStyle w:val="27"/>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65FDB2BA">
      <w:pPr>
        <w:pStyle w:val="27"/>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70FA6B7C">
      <w:pPr>
        <w:pStyle w:val="27"/>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03FA5B97">
      <w:pPr>
        <w:pStyle w:val="27"/>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0DBC21B6">
      <w:pPr>
        <w:pStyle w:val="27"/>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46C8B6D2">
      <w:pPr>
        <w:pStyle w:val="27"/>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69DE0FC6">
      <w:pPr>
        <w:pStyle w:val="27"/>
        <w:spacing w:beforeLines="0" w:afterLines="0"/>
        <w:ind w:left="0"/>
        <w:rPr>
          <w:rFonts w:hint="eastAsia" w:ascii="宋体" w:hAnsi="宋体" w:eastAsia="宋体" w:cs="宋体"/>
          <w:sz w:val="30"/>
          <w:szCs w:val="30"/>
          <w:highlight w:val="none"/>
          <w:lang w:val="en-US"/>
        </w:rPr>
      </w:pPr>
    </w:p>
    <w:p w14:paraId="1B59AA3D">
      <w:pPr>
        <w:pStyle w:val="27"/>
        <w:spacing w:beforeLines="0" w:afterLines="0"/>
        <w:ind w:left="0"/>
        <w:rPr>
          <w:rFonts w:hint="eastAsia" w:ascii="宋体" w:hAnsi="宋体" w:eastAsia="宋体" w:cs="宋体"/>
          <w:sz w:val="30"/>
          <w:szCs w:val="30"/>
          <w:highlight w:val="none"/>
          <w:lang w:val="en-US"/>
        </w:rPr>
      </w:pPr>
    </w:p>
    <w:p w14:paraId="3B28A90F">
      <w:pPr>
        <w:pStyle w:val="27"/>
        <w:spacing w:beforeLines="0" w:afterLines="0"/>
        <w:ind w:left="0"/>
        <w:jc w:val="center"/>
        <w:rPr>
          <w:rFonts w:hint="eastAsia" w:ascii="宋体" w:hAnsi="宋体" w:eastAsia="宋体" w:cs="宋体"/>
          <w:sz w:val="32"/>
          <w:szCs w:val="32"/>
          <w:highlight w:val="none"/>
        </w:rPr>
      </w:pPr>
    </w:p>
    <w:p w14:paraId="1A44A778">
      <w:pPr>
        <w:pStyle w:val="27"/>
        <w:spacing w:beforeLines="0" w:afterLines="0" w:line="460" w:lineRule="exact"/>
        <w:ind w:left="0"/>
        <w:jc w:val="center"/>
        <w:rPr>
          <w:rFonts w:hint="eastAsia" w:ascii="宋体" w:hAnsi="宋体" w:eastAsia="宋体" w:cs="宋体"/>
          <w:sz w:val="32"/>
          <w:szCs w:val="32"/>
          <w:highlight w:val="none"/>
        </w:rPr>
      </w:pPr>
    </w:p>
    <w:p w14:paraId="04CF1865">
      <w:pPr>
        <w:pStyle w:val="27"/>
        <w:spacing w:beforeLines="0" w:afterLines="0" w:line="460" w:lineRule="exact"/>
        <w:ind w:left="0"/>
        <w:jc w:val="center"/>
        <w:rPr>
          <w:rFonts w:hint="eastAsia" w:ascii="宋体" w:hAnsi="宋体" w:eastAsia="宋体" w:cs="宋体"/>
          <w:sz w:val="32"/>
          <w:szCs w:val="32"/>
          <w:highlight w:val="none"/>
        </w:rPr>
      </w:pPr>
    </w:p>
    <w:p w14:paraId="48B27B71">
      <w:pPr>
        <w:pStyle w:val="27"/>
        <w:spacing w:beforeLines="0" w:afterLines="0" w:line="460" w:lineRule="exact"/>
        <w:ind w:left="0"/>
        <w:jc w:val="center"/>
        <w:rPr>
          <w:rFonts w:hint="eastAsia" w:ascii="宋体" w:hAnsi="宋体" w:eastAsia="宋体" w:cs="宋体"/>
          <w:sz w:val="32"/>
          <w:szCs w:val="32"/>
          <w:highlight w:val="none"/>
        </w:rPr>
      </w:pPr>
    </w:p>
    <w:p w14:paraId="0DF5DDC9">
      <w:pPr>
        <w:pStyle w:val="27"/>
        <w:spacing w:beforeLines="0" w:afterLines="0" w:line="460" w:lineRule="exact"/>
        <w:ind w:left="0"/>
        <w:jc w:val="center"/>
        <w:rPr>
          <w:rFonts w:hint="eastAsia" w:ascii="宋体" w:hAnsi="宋体" w:eastAsia="宋体" w:cs="宋体"/>
          <w:sz w:val="32"/>
          <w:szCs w:val="32"/>
          <w:highlight w:val="none"/>
        </w:rPr>
      </w:pPr>
    </w:p>
    <w:p w14:paraId="09EF075F">
      <w:pPr>
        <w:pStyle w:val="27"/>
        <w:spacing w:beforeLines="0" w:afterLines="0" w:line="460" w:lineRule="exact"/>
        <w:ind w:left="0"/>
        <w:jc w:val="center"/>
        <w:rPr>
          <w:rFonts w:hint="eastAsia" w:ascii="宋体" w:hAnsi="宋体" w:eastAsia="宋体" w:cs="宋体"/>
          <w:sz w:val="32"/>
          <w:szCs w:val="32"/>
          <w:highlight w:val="none"/>
        </w:rPr>
      </w:pPr>
    </w:p>
    <w:p w14:paraId="393C084D">
      <w:pPr>
        <w:pStyle w:val="27"/>
        <w:spacing w:beforeLines="0" w:afterLines="0" w:line="460" w:lineRule="exact"/>
        <w:ind w:left="0"/>
        <w:jc w:val="center"/>
        <w:rPr>
          <w:rFonts w:hint="eastAsia" w:ascii="宋体" w:hAnsi="宋体" w:eastAsia="宋体" w:cs="宋体"/>
          <w:sz w:val="32"/>
          <w:szCs w:val="32"/>
          <w:highlight w:val="none"/>
        </w:rPr>
      </w:pPr>
    </w:p>
    <w:p w14:paraId="7DC70D09">
      <w:pPr>
        <w:pStyle w:val="27"/>
        <w:spacing w:beforeLines="0" w:afterLines="0" w:line="460" w:lineRule="exact"/>
        <w:ind w:left="0"/>
        <w:jc w:val="center"/>
        <w:rPr>
          <w:rFonts w:hint="eastAsia" w:ascii="宋体" w:hAnsi="宋体" w:eastAsia="宋体" w:cs="宋体"/>
          <w:sz w:val="32"/>
          <w:szCs w:val="32"/>
          <w:highlight w:val="none"/>
        </w:rPr>
      </w:pPr>
    </w:p>
    <w:p w14:paraId="057803F2">
      <w:pPr>
        <w:pStyle w:val="27"/>
        <w:spacing w:beforeLines="0" w:afterLines="0" w:line="460" w:lineRule="exact"/>
        <w:ind w:left="0"/>
        <w:jc w:val="center"/>
        <w:rPr>
          <w:rFonts w:hint="eastAsia" w:ascii="宋体" w:hAnsi="宋体" w:eastAsia="宋体" w:cs="宋体"/>
          <w:sz w:val="32"/>
          <w:szCs w:val="32"/>
          <w:highlight w:val="none"/>
        </w:rPr>
      </w:pPr>
    </w:p>
    <w:p w14:paraId="4D65C59C">
      <w:pPr>
        <w:pStyle w:val="27"/>
        <w:spacing w:beforeLines="0" w:afterLines="0" w:line="460" w:lineRule="exact"/>
        <w:ind w:left="0"/>
        <w:jc w:val="center"/>
        <w:rPr>
          <w:rFonts w:hint="eastAsia" w:ascii="宋体" w:hAnsi="宋体" w:eastAsia="宋体" w:cs="宋体"/>
          <w:sz w:val="32"/>
          <w:szCs w:val="32"/>
          <w:highlight w:val="none"/>
        </w:rPr>
      </w:pPr>
    </w:p>
    <w:p w14:paraId="3C934DF6">
      <w:pPr>
        <w:pStyle w:val="27"/>
        <w:spacing w:beforeLines="0" w:afterLines="0" w:line="460" w:lineRule="exact"/>
        <w:ind w:left="0"/>
        <w:jc w:val="center"/>
        <w:rPr>
          <w:rFonts w:hint="eastAsia" w:ascii="宋体" w:hAnsi="宋体" w:eastAsia="宋体" w:cs="宋体"/>
          <w:sz w:val="32"/>
          <w:szCs w:val="32"/>
          <w:highlight w:val="none"/>
        </w:rPr>
      </w:pPr>
    </w:p>
    <w:p w14:paraId="37DF860A">
      <w:pPr>
        <w:pStyle w:val="27"/>
        <w:spacing w:beforeLines="0" w:afterLines="0" w:line="46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689C7C05">
      <w:pPr>
        <w:pStyle w:val="27"/>
        <w:spacing w:beforeLines="0" w:afterLines="0" w:line="460" w:lineRule="exact"/>
        <w:ind w:left="0" w:firstLine="420" w:firstLineChars="200"/>
        <w:jc w:val="both"/>
        <w:rPr>
          <w:rFonts w:hint="eastAsia" w:ascii="宋体" w:hAnsi="宋体" w:eastAsia="宋体" w:cs="宋体"/>
          <w:sz w:val="21"/>
          <w:szCs w:val="21"/>
          <w:highlight w:val="none"/>
        </w:rPr>
      </w:pPr>
    </w:p>
    <w:p w14:paraId="1D8AB113">
      <w:pPr>
        <w:pStyle w:val="27"/>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1933B529">
      <w:pPr>
        <w:pStyle w:val="27"/>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6A3F3B34">
      <w:pPr>
        <w:pStyle w:val="27"/>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764F189B">
      <w:pPr>
        <w:pStyle w:val="27"/>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4E196A67">
      <w:pPr>
        <w:pStyle w:val="27"/>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32656BE6">
      <w:pPr>
        <w:pStyle w:val="27"/>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40C17104">
      <w:pPr>
        <w:pStyle w:val="27"/>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1B5D4864">
      <w:pPr>
        <w:pStyle w:val="27"/>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4A411E48">
      <w:pPr>
        <w:pStyle w:val="27"/>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4C64D571">
      <w:pPr>
        <w:pStyle w:val="27"/>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7898B7A8">
      <w:pPr>
        <w:pStyle w:val="27"/>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027782FE">
      <w:pPr>
        <w:pStyle w:val="27"/>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16837AA4">
      <w:pPr>
        <w:pStyle w:val="27"/>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48938E82">
      <w:pPr>
        <w:pStyle w:val="27"/>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224AF749">
      <w:pPr>
        <w:pStyle w:val="27"/>
        <w:spacing w:beforeLines="0" w:afterLines="0" w:line="46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32DB8251">
      <w:pPr>
        <w:pStyle w:val="27"/>
        <w:spacing w:beforeLines="0" w:afterLines="0" w:line="460" w:lineRule="exact"/>
        <w:ind w:left="0" w:firstLine="640" w:firstLineChars="200"/>
        <w:jc w:val="center"/>
        <w:rPr>
          <w:rFonts w:hint="eastAsia" w:ascii="宋体" w:hAnsi="宋体" w:eastAsia="宋体" w:cs="宋体"/>
          <w:bCs/>
          <w:sz w:val="32"/>
          <w:szCs w:val="32"/>
          <w:highlight w:val="none"/>
        </w:rPr>
      </w:pPr>
    </w:p>
    <w:p w14:paraId="375E8D02">
      <w:pPr>
        <w:pStyle w:val="27"/>
        <w:spacing w:beforeLines="0" w:afterLines="0" w:line="460" w:lineRule="exact"/>
        <w:ind w:left="0" w:firstLine="640" w:firstLineChars="20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0B190C48">
      <w:pPr>
        <w:pStyle w:val="27"/>
        <w:numPr>
          <w:ilvl w:val="0"/>
          <w:numId w:val="19"/>
        </w:numPr>
        <w:spacing w:beforeLines="0" w:afterLines="0" w:line="46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供应商不得</w:t>
      </w:r>
      <w:r>
        <w:rPr>
          <w:rFonts w:hint="eastAsia" w:ascii="宋体" w:hAnsi="宋体" w:eastAsia="宋体" w:cs="宋体"/>
          <w:sz w:val="21"/>
          <w:szCs w:val="21"/>
          <w:highlight w:val="none"/>
        </w:rPr>
        <w:t>擅自变更合同标的物内容；</w:t>
      </w:r>
    </w:p>
    <w:p w14:paraId="70DB427B">
      <w:pPr>
        <w:pStyle w:val="27"/>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不得以次充好、高投低配，确因在合同执行中不可抗力因素造成的，应提供相关依据；</w:t>
      </w:r>
    </w:p>
    <w:p w14:paraId="39CA6B4C">
      <w:pPr>
        <w:pStyle w:val="27"/>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5A90EA9E">
      <w:pPr>
        <w:pStyle w:val="27"/>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69969B5E">
      <w:pPr>
        <w:pStyle w:val="27"/>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5、供应商应提供需验收物品的清单、参数、使用手册、人员培训情况等资料；</w:t>
      </w:r>
    </w:p>
    <w:p w14:paraId="4CE03381">
      <w:pPr>
        <w:pStyle w:val="27"/>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2CB38D16">
      <w:pPr>
        <w:pStyle w:val="27"/>
        <w:spacing w:beforeLines="0" w:afterLines="0" w:line="46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24411BA4">
      <w:pPr>
        <w:pStyle w:val="3"/>
        <w:spacing w:before="0" w:after="0" w:line="520" w:lineRule="exact"/>
        <w:ind w:firstLine="0"/>
        <w:rPr>
          <w:rFonts w:hint="eastAsia" w:ascii="宋体" w:hAnsi="宋体" w:eastAsia="宋体" w:cs="宋体"/>
          <w:b w:val="0"/>
          <w:szCs w:val="36"/>
          <w:highlight w:val="none"/>
        </w:rPr>
      </w:pPr>
      <w:bookmarkStart w:id="64" w:name="_Toc220232392"/>
      <w:r>
        <w:rPr>
          <w:rFonts w:hint="eastAsia" w:ascii="宋体" w:hAnsi="宋体" w:eastAsia="宋体" w:cs="宋体"/>
          <w:b w:val="0"/>
          <w:highlight w:val="none"/>
        </w:rPr>
        <w:t>采购合同</w:t>
      </w:r>
      <w:bookmarkEnd w:id="64"/>
      <w:r>
        <w:rPr>
          <w:rFonts w:hint="eastAsia" w:ascii="宋体" w:hAnsi="宋体" w:eastAsia="宋体" w:cs="宋体"/>
          <w:b w:val="0"/>
          <w:highlight w:val="none"/>
        </w:rPr>
        <w:t>内容</w:t>
      </w:r>
    </w:p>
    <w:p w14:paraId="0D6C6120">
      <w:pPr>
        <w:spacing w:line="520" w:lineRule="exact"/>
        <w:ind w:firstLine="440" w:firstLineChars="200"/>
        <w:jc w:val="both"/>
        <w:rPr>
          <w:rFonts w:hint="eastAsia" w:ascii="宋体" w:hAnsi="宋体" w:eastAsia="宋体" w:cs="宋体"/>
          <w:szCs w:val="27"/>
          <w:highlight w:val="none"/>
        </w:rPr>
      </w:pPr>
    </w:p>
    <w:p w14:paraId="14FB9FB9">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38BAEADE">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02BE0562">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387507D0">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73FCD496">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004CDA63">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7C62516E">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cs="宋体"/>
          <w:szCs w:val="27"/>
          <w:highlight w:val="none"/>
          <w:lang w:eastAsia="zh-CN"/>
        </w:rPr>
        <w:t>民法典</w:t>
      </w:r>
      <w:r>
        <w:rPr>
          <w:rFonts w:hint="eastAsia" w:ascii="宋体" w:hAnsi="宋体" w:eastAsia="宋体" w:cs="宋体"/>
          <w:szCs w:val="27"/>
          <w:highlight w:val="none"/>
        </w:rPr>
        <w:t>》之规定，经甲乙双方充分协商，特订立本合同，以便共同遵守。</w:t>
      </w:r>
    </w:p>
    <w:p w14:paraId="798397D1">
      <w:pPr>
        <w:spacing w:line="360" w:lineRule="auto"/>
        <w:ind w:firstLine="44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产品的名称、品种、规格、数量和价格：（若产品过多则见附表，如有附表则必须加盖印章）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BCF1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1B8D4B9">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产品名称</w:t>
            </w:r>
          </w:p>
        </w:tc>
        <w:tc>
          <w:tcPr>
            <w:tcW w:w="1623" w:type="dxa"/>
            <w:noWrap w:val="0"/>
            <w:vAlign w:val="top"/>
          </w:tcPr>
          <w:p w14:paraId="056215BB">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规格型号</w:t>
            </w:r>
          </w:p>
        </w:tc>
        <w:tc>
          <w:tcPr>
            <w:tcW w:w="902" w:type="dxa"/>
            <w:noWrap w:val="0"/>
            <w:vAlign w:val="top"/>
          </w:tcPr>
          <w:p w14:paraId="39D12D1E">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0F6D6B47">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7D7DA81C">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26291B73">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6A798AC2">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041FA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8511513">
            <w:pPr>
              <w:spacing w:line="360" w:lineRule="auto"/>
              <w:ind w:firstLine="440" w:firstLineChars="200"/>
              <w:jc w:val="both"/>
              <w:rPr>
                <w:rFonts w:hint="eastAsia" w:ascii="宋体" w:hAnsi="宋体" w:eastAsia="宋体" w:cs="宋体"/>
                <w:highlight w:val="none"/>
              </w:rPr>
            </w:pPr>
          </w:p>
        </w:tc>
        <w:tc>
          <w:tcPr>
            <w:tcW w:w="1623" w:type="dxa"/>
            <w:noWrap w:val="0"/>
            <w:vAlign w:val="top"/>
          </w:tcPr>
          <w:p w14:paraId="739C4138">
            <w:pPr>
              <w:spacing w:line="360" w:lineRule="auto"/>
              <w:ind w:firstLine="440" w:firstLineChars="200"/>
              <w:jc w:val="both"/>
              <w:rPr>
                <w:rFonts w:hint="eastAsia" w:ascii="宋体" w:hAnsi="宋体" w:eastAsia="宋体" w:cs="宋体"/>
                <w:highlight w:val="none"/>
              </w:rPr>
            </w:pPr>
          </w:p>
        </w:tc>
        <w:tc>
          <w:tcPr>
            <w:tcW w:w="902" w:type="dxa"/>
            <w:noWrap w:val="0"/>
            <w:vAlign w:val="top"/>
          </w:tcPr>
          <w:p w14:paraId="704D049E">
            <w:pPr>
              <w:spacing w:line="360" w:lineRule="auto"/>
              <w:ind w:firstLine="440" w:firstLineChars="200"/>
              <w:jc w:val="both"/>
              <w:rPr>
                <w:rFonts w:hint="eastAsia" w:ascii="宋体" w:hAnsi="宋体" w:eastAsia="宋体" w:cs="宋体"/>
                <w:highlight w:val="none"/>
              </w:rPr>
            </w:pPr>
          </w:p>
        </w:tc>
        <w:tc>
          <w:tcPr>
            <w:tcW w:w="902" w:type="dxa"/>
            <w:noWrap w:val="0"/>
            <w:vAlign w:val="top"/>
          </w:tcPr>
          <w:p w14:paraId="4EE20944">
            <w:pPr>
              <w:spacing w:line="360" w:lineRule="auto"/>
              <w:ind w:firstLine="440" w:firstLineChars="200"/>
              <w:jc w:val="both"/>
              <w:rPr>
                <w:rFonts w:hint="eastAsia" w:ascii="宋体" w:hAnsi="宋体" w:eastAsia="宋体" w:cs="宋体"/>
                <w:highlight w:val="none"/>
              </w:rPr>
            </w:pPr>
          </w:p>
        </w:tc>
        <w:tc>
          <w:tcPr>
            <w:tcW w:w="1071" w:type="dxa"/>
            <w:noWrap w:val="0"/>
            <w:vAlign w:val="top"/>
          </w:tcPr>
          <w:p w14:paraId="1C3565CB">
            <w:pPr>
              <w:spacing w:line="360" w:lineRule="auto"/>
              <w:ind w:firstLine="440" w:firstLineChars="200"/>
              <w:jc w:val="both"/>
              <w:rPr>
                <w:rFonts w:hint="eastAsia" w:ascii="宋体" w:hAnsi="宋体" w:eastAsia="宋体" w:cs="宋体"/>
                <w:highlight w:val="none"/>
              </w:rPr>
            </w:pPr>
          </w:p>
        </w:tc>
        <w:tc>
          <w:tcPr>
            <w:tcW w:w="1250" w:type="dxa"/>
            <w:noWrap w:val="0"/>
            <w:vAlign w:val="top"/>
          </w:tcPr>
          <w:p w14:paraId="7E8A562A">
            <w:pPr>
              <w:spacing w:line="360" w:lineRule="auto"/>
              <w:ind w:firstLine="440" w:firstLineChars="200"/>
              <w:jc w:val="both"/>
              <w:rPr>
                <w:rFonts w:hint="eastAsia" w:ascii="宋体" w:hAnsi="宋体" w:eastAsia="宋体" w:cs="宋体"/>
                <w:highlight w:val="none"/>
              </w:rPr>
            </w:pPr>
          </w:p>
        </w:tc>
        <w:tc>
          <w:tcPr>
            <w:tcW w:w="1106" w:type="dxa"/>
            <w:noWrap w:val="0"/>
            <w:vAlign w:val="top"/>
          </w:tcPr>
          <w:p w14:paraId="33CA1A5E">
            <w:pPr>
              <w:spacing w:line="360" w:lineRule="auto"/>
              <w:ind w:firstLine="440" w:firstLineChars="200"/>
              <w:jc w:val="both"/>
              <w:rPr>
                <w:rFonts w:hint="eastAsia" w:ascii="宋体" w:hAnsi="宋体" w:eastAsia="宋体" w:cs="宋体"/>
                <w:highlight w:val="none"/>
              </w:rPr>
            </w:pPr>
          </w:p>
        </w:tc>
      </w:tr>
      <w:tr w14:paraId="6199A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910CF81">
            <w:pPr>
              <w:spacing w:line="360" w:lineRule="auto"/>
              <w:ind w:firstLine="440" w:firstLineChars="200"/>
              <w:jc w:val="both"/>
              <w:rPr>
                <w:rFonts w:hint="eastAsia" w:ascii="宋体" w:hAnsi="宋体" w:eastAsia="宋体" w:cs="宋体"/>
                <w:highlight w:val="none"/>
              </w:rPr>
            </w:pPr>
          </w:p>
        </w:tc>
        <w:tc>
          <w:tcPr>
            <w:tcW w:w="1623" w:type="dxa"/>
            <w:noWrap w:val="0"/>
            <w:vAlign w:val="top"/>
          </w:tcPr>
          <w:p w14:paraId="46AA8B1F">
            <w:pPr>
              <w:spacing w:line="360" w:lineRule="auto"/>
              <w:ind w:firstLine="440" w:firstLineChars="200"/>
              <w:jc w:val="both"/>
              <w:rPr>
                <w:rFonts w:hint="eastAsia" w:ascii="宋体" w:hAnsi="宋体" w:eastAsia="宋体" w:cs="宋体"/>
                <w:highlight w:val="none"/>
              </w:rPr>
            </w:pPr>
          </w:p>
        </w:tc>
        <w:tc>
          <w:tcPr>
            <w:tcW w:w="902" w:type="dxa"/>
            <w:noWrap w:val="0"/>
            <w:vAlign w:val="top"/>
          </w:tcPr>
          <w:p w14:paraId="1F95DC4C">
            <w:pPr>
              <w:spacing w:line="360" w:lineRule="auto"/>
              <w:ind w:firstLine="440" w:firstLineChars="200"/>
              <w:jc w:val="both"/>
              <w:rPr>
                <w:rFonts w:hint="eastAsia" w:ascii="宋体" w:hAnsi="宋体" w:eastAsia="宋体" w:cs="宋体"/>
                <w:highlight w:val="none"/>
              </w:rPr>
            </w:pPr>
          </w:p>
        </w:tc>
        <w:tc>
          <w:tcPr>
            <w:tcW w:w="902" w:type="dxa"/>
            <w:noWrap w:val="0"/>
            <w:vAlign w:val="top"/>
          </w:tcPr>
          <w:p w14:paraId="0ECD2398">
            <w:pPr>
              <w:spacing w:line="360" w:lineRule="auto"/>
              <w:ind w:firstLine="440" w:firstLineChars="200"/>
              <w:jc w:val="both"/>
              <w:rPr>
                <w:rFonts w:hint="eastAsia" w:ascii="宋体" w:hAnsi="宋体" w:eastAsia="宋体" w:cs="宋体"/>
                <w:highlight w:val="none"/>
              </w:rPr>
            </w:pPr>
          </w:p>
        </w:tc>
        <w:tc>
          <w:tcPr>
            <w:tcW w:w="1071" w:type="dxa"/>
            <w:noWrap w:val="0"/>
            <w:vAlign w:val="top"/>
          </w:tcPr>
          <w:p w14:paraId="2EABFBC8">
            <w:pPr>
              <w:spacing w:line="360" w:lineRule="auto"/>
              <w:ind w:firstLine="440" w:firstLineChars="200"/>
              <w:jc w:val="both"/>
              <w:rPr>
                <w:rFonts w:hint="eastAsia" w:ascii="宋体" w:hAnsi="宋体" w:eastAsia="宋体" w:cs="宋体"/>
                <w:highlight w:val="none"/>
              </w:rPr>
            </w:pPr>
          </w:p>
        </w:tc>
        <w:tc>
          <w:tcPr>
            <w:tcW w:w="1250" w:type="dxa"/>
            <w:noWrap w:val="0"/>
            <w:vAlign w:val="top"/>
          </w:tcPr>
          <w:p w14:paraId="4F5FDC3C">
            <w:pPr>
              <w:spacing w:line="360" w:lineRule="auto"/>
              <w:ind w:firstLine="440" w:firstLineChars="200"/>
              <w:jc w:val="both"/>
              <w:rPr>
                <w:rFonts w:hint="eastAsia" w:ascii="宋体" w:hAnsi="宋体" w:eastAsia="宋体" w:cs="宋体"/>
                <w:highlight w:val="none"/>
              </w:rPr>
            </w:pPr>
          </w:p>
        </w:tc>
        <w:tc>
          <w:tcPr>
            <w:tcW w:w="1106" w:type="dxa"/>
            <w:noWrap w:val="0"/>
            <w:vAlign w:val="top"/>
          </w:tcPr>
          <w:p w14:paraId="561B2672">
            <w:pPr>
              <w:spacing w:line="360" w:lineRule="auto"/>
              <w:ind w:firstLine="440" w:firstLineChars="200"/>
              <w:jc w:val="both"/>
              <w:rPr>
                <w:rFonts w:hint="eastAsia" w:ascii="宋体" w:hAnsi="宋体" w:eastAsia="宋体" w:cs="宋体"/>
                <w:highlight w:val="none"/>
              </w:rPr>
            </w:pPr>
          </w:p>
        </w:tc>
      </w:tr>
      <w:tr w14:paraId="752FE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43FA972">
            <w:pPr>
              <w:spacing w:line="360" w:lineRule="auto"/>
              <w:ind w:firstLine="440" w:firstLineChars="200"/>
              <w:jc w:val="both"/>
              <w:rPr>
                <w:rFonts w:hint="eastAsia" w:ascii="宋体" w:hAnsi="宋体" w:eastAsia="宋体" w:cs="宋体"/>
                <w:highlight w:val="none"/>
              </w:rPr>
            </w:pPr>
          </w:p>
        </w:tc>
        <w:tc>
          <w:tcPr>
            <w:tcW w:w="1623" w:type="dxa"/>
            <w:noWrap w:val="0"/>
            <w:vAlign w:val="top"/>
          </w:tcPr>
          <w:p w14:paraId="098DC563">
            <w:pPr>
              <w:spacing w:line="360" w:lineRule="auto"/>
              <w:ind w:firstLine="440" w:firstLineChars="200"/>
              <w:jc w:val="both"/>
              <w:rPr>
                <w:rFonts w:hint="eastAsia" w:ascii="宋体" w:hAnsi="宋体" w:eastAsia="宋体" w:cs="宋体"/>
                <w:highlight w:val="none"/>
              </w:rPr>
            </w:pPr>
          </w:p>
        </w:tc>
        <w:tc>
          <w:tcPr>
            <w:tcW w:w="902" w:type="dxa"/>
            <w:noWrap w:val="0"/>
            <w:vAlign w:val="top"/>
          </w:tcPr>
          <w:p w14:paraId="7464EF0A">
            <w:pPr>
              <w:spacing w:line="360" w:lineRule="auto"/>
              <w:ind w:firstLine="440" w:firstLineChars="200"/>
              <w:jc w:val="both"/>
              <w:rPr>
                <w:rFonts w:hint="eastAsia" w:ascii="宋体" w:hAnsi="宋体" w:eastAsia="宋体" w:cs="宋体"/>
                <w:highlight w:val="none"/>
              </w:rPr>
            </w:pPr>
          </w:p>
        </w:tc>
        <w:tc>
          <w:tcPr>
            <w:tcW w:w="902" w:type="dxa"/>
            <w:noWrap w:val="0"/>
            <w:vAlign w:val="top"/>
          </w:tcPr>
          <w:p w14:paraId="0DBC3C57">
            <w:pPr>
              <w:spacing w:line="360" w:lineRule="auto"/>
              <w:ind w:firstLine="440" w:firstLineChars="200"/>
              <w:jc w:val="both"/>
              <w:rPr>
                <w:rFonts w:hint="eastAsia" w:ascii="宋体" w:hAnsi="宋体" w:eastAsia="宋体" w:cs="宋体"/>
                <w:highlight w:val="none"/>
              </w:rPr>
            </w:pPr>
          </w:p>
        </w:tc>
        <w:tc>
          <w:tcPr>
            <w:tcW w:w="1071" w:type="dxa"/>
            <w:noWrap w:val="0"/>
            <w:vAlign w:val="top"/>
          </w:tcPr>
          <w:p w14:paraId="18AE1436">
            <w:pPr>
              <w:spacing w:line="360" w:lineRule="auto"/>
              <w:ind w:firstLine="440" w:firstLineChars="200"/>
              <w:jc w:val="both"/>
              <w:rPr>
                <w:rFonts w:hint="eastAsia" w:ascii="宋体" w:hAnsi="宋体" w:eastAsia="宋体" w:cs="宋体"/>
                <w:highlight w:val="none"/>
              </w:rPr>
            </w:pPr>
          </w:p>
        </w:tc>
        <w:tc>
          <w:tcPr>
            <w:tcW w:w="1250" w:type="dxa"/>
            <w:noWrap w:val="0"/>
            <w:vAlign w:val="top"/>
          </w:tcPr>
          <w:p w14:paraId="312E5C6B">
            <w:pPr>
              <w:spacing w:line="360" w:lineRule="auto"/>
              <w:ind w:firstLine="440" w:firstLineChars="200"/>
              <w:jc w:val="both"/>
              <w:rPr>
                <w:rFonts w:hint="eastAsia" w:ascii="宋体" w:hAnsi="宋体" w:eastAsia="宋体" w:cs="宋体"/>
                <w:highlight w:val="none"/>
              </w:rPr>
            </w:pPr>
          </w:p>
        </w:tc>
        <w:tc>
          <w:tcPr>
            <w:tcW w:w="1106" w:type="dxa"/>
            <w:noWrap w:val="0"/>
            <w:vAlign w:val="top"/>
          </w:tcPr>
          <w:p w14:paraId="7F6172E4">
            <w:pPr>
              <w:spacing w:line="360" w:lineRule="auto"/>
              <w:ind w:firstLine="440" w:firstLineChars="200"/>
              <w:jc w:val="both"/>
              <w:rPr>
                <w:rFonts w:hint="eastAsia" w:ascii="宋体" w:hAnsi="宋体" w:eastAsia="宋体" w:cs="宋体"/>
                <w:highlight w:val="none"/>
              </w:rPr>
            </w:pPr>
          </w:p>
        </w:tc>
      </w:tr>
      <w:tr w14:paraId="11C29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05432BD6">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5594DFAD">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8"/>
                <w:highlight w:val="none"/>
              </w:rPr>
              <w:t>备注：上述产品报价含产品生产、运输&lt;送达至甲方指定地点并下货&gt;、安装、调试、检验及售后服务、税金、劳保基金、人员培训等费用。</w:t>
            </w:r>
          </w:p>
        </w:tc>
      </w:tr>
    </w:tbl>
    <w:p w14:paraId="25C5F21D">
      <w:pPr>
        <w:spacing w:line="360" w:lineRule="auto"/>
        <w:ind w:firstLine="44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产品的技术标准（包括质量要求），按下列第（ ）项执行：</w:t>
      </w:r>
    </w:p>
    <w:p w14:paraId="0FA2BF04">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①按国家标准执行；②按部颁标准执行；③若无以上标准，则应不低于同行业质量标准；④有特殊要求的，按甲乙双方在合同中商定的技术条件、样品或补充的技术要求执行；</w:t>
      </w:r>
    </w:p>
    <w:p w14:paraId="09FA7598">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0A6618EC">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进口产品的质量标准为</w:t>
      </w:r>
      <w:r>
        <w:rPr>
          <w:rFonts w:hint="eastAsia" w:ascii="宋体" w:hAnsi="宋体" w:eastAsia="宋体" w:cs="宋体"/>
          <w:szCs w:val="27"/>
          <w:highlight w:val="none"/>
          <w:u w:val="single"/>
        </w:rPr>
        <w:t xml:space="preserve">                                             </w:t>
      </w:r>
      <w:r>
        <w:rPr>
          <w:rFonts w:hint="eastAsia" w:ascii="宋体" w:hAnsi="宋体" w:eastAsia="宋体" w:cs="宋体"/>
          <w:highlight w:val="none"/>
        </w:rPr>
        <w:t>。</w:t>
      </w:r>
    </w:p>
    <w:p w14:paraId="34398330">
      <w:pPr>
        <w:pStyle w:val="11"/>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7F4C949">
      <w:pPr>
        <w:pStyle w:val="11"/>
        <w:spacing w:line="360" w:lineRule="auto"/>
        <w:ind w:left="0" w:firstLine="482" w:firstLineChars="200"/>
        <w:jc w:val="both"/>
        <w:rPr>
          <w:rFonts w:hint="eastAsia" w:ascii="宋体" w:hAnsi="宋体" w:eastAsia="宋体" w:cs="宋体"/>
          <w:sz w:val="24"/>
          <w:highlight w:val="none"/>
        </w:rPr>
      </w:pPr>
      <w:r>
        <w:rPr>
          <w:rFonts w:hint="eastAsia" w:ascii="宋体" w:hAnsi="宋体" w:eastAsia="宋体" w:cs="宋体"/>
          <w:b/>
          <w:bCs/>
          <w:sz w:val="24"/>
          <w:highlight w:val="none"/>
        </w:rPr>
        <w:t>第三条</w:t>
      </w:r>
      <w:r>
        <w:rPr>
          <w:rFonts w:hint="eastAsia" w:ascii="宋体" w:hAnsi="宋体" w:eastAsia="宋体" w:cs="宋体"/>
          <w:sz w:val="24"/>
          <w:highlight w:val="none"/>
        </w:rPr>
        <w:t>产品的包装标准和包装物的供应与回收</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36B1285F">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（国家或行业主管部门有技术规定的，按技术规定执行；国家与行业主管部门无技术规定的，由甲乙双方商定。）</w:t>
      </w:r>
    </w:p>
    <w:p w14:paraId="16194336">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【注：合同中约定的包装标准应与乙方在投标文件中承诺的一致，且投标文件应作为合同附件与合同具有同等法律效力。】</w:t>
      </w:r>
    </w:p>
    <w:p w14:paraId="386CA116">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第四条  </w:t>
      </w:r>
      <w:r>
        <w:rPr>
          <w:rFonts w:hint="eastAsia" w:ascii="宋体" w:hAnsi="宋体" w:eastAsia="宋体" w:cs="宋体"/>
          <w:szCs w:val="27"/>
          <w:highlight w:val="none"/>
        </w:rPr>
        <w:t>产品的交货方法、到货地点和</w:t>
      </w:r>
      <w:r>
        <w:rPr>
          <w:rFonts w:hint="eastAsia" w:ascii="宋体" w:hAnsi="宋体" w:eastAsia="宋体" w:cs="宋体"/>
          <w:szCs w:val="27"/>
          <w:highlight w:val="none"/>
          <w:lang w:eastAsia="zh-CN"/>
        </w:rPr>
        <w:t>供货期</w:t>
      </w:r>
      <w:r>
        <w:rPr>
          <w:rFonts w:hint="eastAsia" w:ascii="宋体" w:hAnsi="宋体" w:eastAsia="宋体" w:cs="宋体"/>
          <w:szCs w:val="27"/>
          <w:highlight w:val="none"/>
        </w:rPr>
        <w:t>限</w:t>
      </w:r>
    </w:p>
    <w:p w14:paraId="1A7F2000">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1.交货方法，按下列第（ ）项执行：</w:t>
      </w:r>
    </w:p>
    <w:p w14:paraId="12EA7CC6">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①乙方送货上门；②乙方代运；③甲方自提自运。</w:t>
      </w:r>
    </w:p>
    <w:p w14:paraId="248C3F5D">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2.到货地点：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甲方指定的任何地点，安装并调试.)</w:t>
      </w:r>
    </w:p>
    <w:p w14:paraId="7D996C34">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3.产品的</w:t>
      </w:r>
      <w:r>
        <w:rPr>
          <w:rFonts w:hint="eastAsia" w:ascii="宋体" w:hAnsi="宋体" w:eastAsia="宋体" w:cs="宋体"/>
          <w:szCs w:val="27"/>
          <w:highlight w:val="none"/>
          <w:lang w:eastAsia="zh-CN"/>
        </w:rPr>
        <w:t>供货期</w:t>
      </w:r>
      <w:r>
        <w:rPr>
          <w:rFonts w:hint="eastAsia" w:ascii="宋体" w:hAnsi="宋体" w:eastAsia="宋体" w:cs="宋体"/>
          <w:szCs w:val="27"/>
          <w:highlight w:val="none"/>
        </w:rPr>
        <w:t>限</w:t>
      </w:r>
      <w:r>
        <w:rPr>
          <w:rFonts w:hint="eastAsia" w:ascii="宋体" w:hAnsi="宋体" w:eastAsia="宋体" w:cs="宋体"/>
          <w:szCs w:val="27"/>
          <w:highlight w:val="none"/>
          <w:u w:val="single"/>
        </w:rPr>
        <w:t>                         </w:t>
      </w:r>
      <w:r>
        <w:rPr>
          <w:rFonts w:hint="eastAsia" w:ascii="宋体" w:hAnsi="宋体" w:eastAsia="宋体" w:cs="宋体"/>
          <w:szCs w:val="27"/>
          <w:highlight w:val="none"/>
        </w:rPr>
        <w:t>。</w:t>
      </w:r>
    </w:p>
    <w:p w14:paraId="247F5E46">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第五条</w:t>
      </w:r>
      <w:r>
        <w:rPr>
          <w:rFonts w:hint="eastAsia" w:ascii="宋体" w:hAnsi="宋体" w:eastAsia="宋体" w:cs="宋体"/>
          <w:szCs w:val="27"/>
          <w:highlight w:val="none"/>
        </w:rPr>
        <w:t xml:space="preserve">  合同总价款</w:t>
      </w:r>
    </w:p>
    <w:p w14:paraId="52C73570">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合同总价款（大小写）：</w:t>
      </w:r>
      <w:r>
        <w:rPr>
          <w:rFonts w:hint="eastAsia" w:ascii="宋体" w:hAnsi="宋体" w:eastAsia="宋体" w:cs="宋体"/>
          <w:szCs w:val="27"/>
          <w:highlight w:val="none"/>
          <w:u w:val="single"/>
        </w:rPr>
        <w:t xml:space="preserve">                        </w:t>
      </w:r>
    </w:p>
    <w:p w14:paraId="0BA64432">
      <w:pPr>
        <w:numPr>
          <w:ilvl w:val="0"/>
          <w:numId w:val="20"/>
        </w:numPr>
        <w:spacing w:line="360" w:lineRule="auto"/>
        <w:ind w:left="0" w:firstLine="440" w:firstLineChars="200"/>
        <w:jc w:val="both"/>
        <w:rPr>
          <w:rFonts w:hint="eastAsia" w:ascii="宋体" w:hAnsi="宋体" w:eastAsia="宋体" w:cs="宋体"/>
          <w:highlight w:val="none"/>
        </w:rPr>
      </w:pPr>
      <w:r>
        <w:rPr>
          <w:rFonts w:hint="eastAsia" w:ascii="宋体" w:hAnsi="宋体" w:eastAsia="宋体" w:cs="宋体"/>
          <w:highlight w:val="none"/>
        </w:rPr>
        <w:t xml:space="preserve">付款条件                  </w:t>
      </w:r>
    </w:p>
    <w:p w14:paraId="5B9756B8">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6AC7E2F7">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656ECCF5">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37470A53">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3A5003D6">
      <w:pPr>
        <w:spacing w:line="360" w:lineRule="auto"/>
        <w:ind w:firstLine="440" w:firstLineChars="200"/>
        <w:jc w:val="both"/>
        <w:rPr>
          <w:rFonts w:hint="eastAsia" w:ascii="宋体" w:hAnsi="宋体" w:eastAsia="宋体" w:cs="宋体"/>
          <w:b/>
          <w:bCs/>
          <w:szCs w:val="27"/>
          <w:highlight w:val="non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45F4A97E">
      <w:pPr>
        <w:numPr>
          <w:ilvl w:val="0"/>
          <w:numId w:val="20"/>
        </w:numPr>
        <w:spacing w:line="360" w:lineRule="auto"/>
        <w:ind w:left="0"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验收方法</w:t>
      </w:r>
    </w:p>
    <w:p w14:paraId="174E60B5">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1.乙方安装调试后，在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天内通知甲方组织验收，采购代理机构保留受托参与本项目验收的权利。验收不合格的，乙方应负责重新提供达到本合同约定的质量要求的产品。</w:t>
      </w:r>
    </w:p>
    <w:p w14:paraId="372F6212">
      <w:pPr>
        <w:pStyle w:val="8"/>
        <w:spacing w:line="360" w:lineRule="auto"/>
        <w:ind w:firstLine="480" w:firstLineChars="200"/>
        <w:jc w:val="both"/>
        <w:rPr>
          <w:rFonts w:hint="eastAsia" w:ascii="宋体" w:hAnsi="宋体" w:eastAsia="宋体" w:cs="宋体"/>
          <w:sz w:val="24"/>
          <w:szCs w:val="27"/>
          <w:highlight w:val="none"/>
        </w:rPr>
      </w:pPr>
      <w:r>
        <w:rPr>
          <w:rFonts w:hint="eastAsia" w:ascii="宋体" w:hAnsi="宋体" w:eastAsia="宋体" w:cs="宋体"/>
          <w:sz w:val="24"/>
          <w:szCs w:val="27"/>
          <w:highlight w:val="none"/>
        </w:rPr>
        <w:t>2.甲、乙双方应严格履行合同有关条款，如果验收过程中发现乙方在没有征得采购人同意的情况下擅自变更合同标的物，将拒绝通过验收，由此引起的一切后果及损失由乙方承担。</w:t>
      </w:r>
    </w:p>
    <w:p w14:paraId="3FC098B1">
      <w:pPr>
        <w:pStyle w:val="8"/>
        <w:spacing w:line="360" w:lineRule="auto"/>
        <w:ind w:firstLine="480" w:firstLineChars="200"/>
        <w:jc w:val="both"/>
        <w:rPr>
          <w:rFonts w:hint="eastAsia" w:ascii="宋体" w:hAnsi="宋体" w:eastAsia="宋体" w:cs="宋体"/>
          <w:sz w:val="24"/>
          <w:szCs w:val="27"/>
          <w:highlight w:val="none"/>
        </w:rPr>
      </w:pPr>
      <w:r>
        <w:rPr>
          <w:rFonts w:hint="eastAsia" w:ascii="宋体" w:hAnsi="宋体" w:eastAsia="宋体" w:cs="宋体"/>
          <w:sz w:val="24"/>
          <w:szCs w:val="27"/>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C174927">
      <w:pPr>
        <w:pStyle w:val="8"/>
        <w:spacing w:line="360" w:lineRule="auto"/>
        <w:ind w:firstLine="480" w:firstLineChars="200"/>
        <w:jc w:val="both"/>
        <w:rPr>
          <w:rFonts w:hint="eastAsia" w:ascii="宋体" w:hAnsi="宋体" w:eastAsia="宋体" w:cs="宋体"/>
          <w:sz w:val="24"/>
          <w:szCs w:val="27"/>
          <w:highlight w:val="none"/>
          <w:lang w:val="en-US"/>
        </w:rPr>
      </w:pPr>
      <w:r>
        <w:rPr>
          <w:rFonts w:hint="eastAsia" w:ascii="宋体" w:hAnsi="宋体" w:eastAsia="宋体" w:cs="宋体"/>
          <w:sz w:val="24"/>
          <w:szCs w:val="27"/>
          <w:highlight w:val="none"/>
          <w:lang w:val="en-US"/>
        </w:rPr>
        <w:t>4、甲方视情况可以邀请参加本项目的其他投标人或者第三方机构参与验收，参与验收的投标人或者第三方机构的意见作为验收书的参考资料一并存档。</w:t>
      </w:r>
    </w:p>
    <w:p w14:paraId="3FADB203">
      <w:pPr>
        <w:pStyle w:val="8"/>
        <w:spacing w:line="360" w:lineRule="auto"/>
        <w:ind w:firstLine="480" w:firstLineChars="200"/>
        <w:jc w:val="both"/>
        <w:rPr>
          <w:rFonts w:hint="eastAsia" w:ascii="宋体" w:hAnsi="宋体" w:eastAsia="宋体" w:cs="宋体"/>
          <w:sz w:val="24"/>
          <w:szCs w:val="27"/>
          <w:highlight w:val="none"/>
        </w:rPr>
      </w:pPr>
      <w:r>
        <w:rPr>
          <w:rFonts w:hint="eastAsia" w:ascii="宋体" w:hAnsi="宋体" w:eastAsia="宋体" w:cs="宋体"/>
          <w:sz w:val="24"/>
          <w:szCs w:val="27"/>
          <w:highlight w:val="none"/>
          <w:lang w:val="en-US"/>
        </w:rPr>
        <w:t xml:space="preserve">   </w:t>
      </w:r>
      <w:r>
        <w:rPr>
          <w:rFonts w:hint="eastAsia" w:ascii="宋体" w:hAnsi="宋体" w:eastAsia="宋体" w:cs="宋体"/>
          <w:sz w:val="24"/>
          <w:szCs w:val="27"/>
          <w:highlight w:val="none"/>
        </w:rPr>
        <w:t>涉及安全、消防、环保等其他需要由质检或行业主管部门进行验收的项目，必须邀请相关部门或相关专家参与验收。</w:t>
      </w:r>
    </w:p>
    <w:p w14:paraId="2249CE7C">
      <w:pPr>
        <w:pStyle w:val="8"/>
        <w:spacing w:line="360" w:lineRule="auto"/>
        <w:ind w:firstLine="480" w:firstLineChars="200"/>
        <w:jc w:val="both"/>
        <w:rPr>
          <w:rFonts w:hint="eastAsia" w:ascii="宋体" w:hAnsi="宋体" w:eastAsia="宋体" w:cs="宋体"/>
          <w:b/>
          <w:bCs/>
          <w:sz w:val="24"/>
          <w:highlight w:val="none"/>
          <w:u w:val="single"/>
        </w:rPr>
      </w:pPr>
      <w:r>
        <w:rPr>
          <w:rFonts w:hint="eastAsia" w:ascii="宋体" w:hAnsi="宋体" w:eastAsia="宋体" w:cs="宋体"/>
          <w:sz w:val="24"/>
          <w:szCs w:val="27"/>
          <w:highlight w:val="none"/>
        </w:rPr>
        <w:t>检测、验收费用承担方式：</w:t>
      </w:r>
    </w:p>
    <w:p w14:paraId="02760E9C">
      <w:pPr>
        <w:spacing w:line="360" w:lineRule="auto"/>
        <w:ind w:firstLine="442" w:firstLineChars="200"/>
        <w:jc w:val="both"/>
        <w:rPr>
          <w:rFonts w:hint="eastAsia" w:ascii="宋体" w:hAnsi="宋体" w:eastAsia="宋体" w:cs="宋体"/>
          <w:highlight w:val="none"/>
        </w:rPr>
      </w:pPr>
      <w:r>
        <w:rPr>
          <w:rFonts w:hint="eastAsia" w:ascii="宋体" w:hAnsi="宋体" w:eastAsia="宋体" w:cs="宋体"/>
          <w:b/>
          <w:bCs/>
          <w:szCs w:val="27"/>
          <w:highlight w:val="none"/>
        </w:rPr>
        <w:t>第八条 </w:t>
      </w:r>
      <w:r>
        <w:rPr>
          <w:rFonts w:hint="eastAsia" w:ascii="宋体" w:hAnsi="宋体" w:eastAsia="宋体" w:cs="宋体"/>
          <w:szCs w:val="27"/>
          <w:highlight w:val="none"/>
        </w:rPr>
        <w:t xml:space="preserve"> 对产品提出异议的时间和办法</w:t>
      </w:r>
    </w:p>
    <w:p w14:paraId="45D46E30">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1.甲方在验收中，如果发现产品不符合合同约定的，应一面妥为保管，一面在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工作日内向乙方书面提出异议，并抄送采购代理机构，具体说明产品不符合规定的内容并附相关验收材料，同时提出不符合规定产品的处理意见。</w:t>
      </w:r>
    </w:p>
    <w:p w14:paraId="1B5DF34A">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2.甲方因使用、保管、保养不善等造成产品质量下降的，不得提出异议。</w:t>
      </w:r>
    </w:p>
    <w:p w14:paraId="14EB32D1">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 xml:space="preserve">3.乙方在接到甲方异议后，应在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 工作日内负责处理，否则，即视为默认甲方提出的异议和处理意见。</w:t>
      </w:r>
    </w:p>
    <w:p w14:paraId="3B23AAF1">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第九条</w:t>
      </w:r>
      <w:r>
        <w:rPr>
          <w:rFonts w:hint="eastAsia" w:ascii="宋体" w:hAnsi="宋体" w:eastAsia="宋体" w:cs="宋体"/>
          <w:szCs w:val="27"/>
          <w:highlight w:val="none"/>
        </w:rPr>
        <w:t xml:space="preserve">  乙方应提供完善周到的技术支持和售后服务，否则甲方视情节轻重从乙方的质量保证金中扣除部分或全部补偿甲方。</w:t>
      </w:r>
    </w:p>
    <w:p w14:paraId="2800EBF9">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1.保修</w:t>
      </w:r>
    </w:p>
    <w:p w14:paraId="1CE07299">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乙方对其所提供的货物免费保修</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年，保修期从</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开始。乙方应在接到报修通知后</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天内上门维修，负责更换有瑕疵的货物、部件或提供相应的质量保证期内的服务。由此造成的损失，甲方保留索赔的权利。</w:t>
      </w:r>
    </w:p>
    <w:p w14:paraId="5C15A0A3">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如果乙方在收到报修通知后</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天内没有弥补缺陷，甲方可采取必要的补救措施，但费用和风险由乙方承担。</w:t>
      </w:r>
    </w:p>
    <w:p w14:paraId="322146B2">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2.维修</w:t>
      </w:r>
    </w:p>
    <w:p w14:paraId="4C5D335E">
      <w:pPr>
        <w:pStyle w:val="11"/>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保修期届满后，乙方应对其提供的货物负有维修义务，但所涉及的费用由甲方承担。</w:t>
      </w:r>
    </w:p>
    <w:p w14:paraId="3606D218">
      <w:pPr>
        <w:spacing w:line="360" w:lineRule="auto"/>
        <w:ind w:firstLine="442" w:firstLineChars="200"/>
        <w:jc w:val="both"/>
        <w:rPr>
          <w:rFonts w:hint="eastAsia" w:ascii="宋体" w:hAnsi="宋体" w:eastAsia="宋体" w:cs="宋体"/>
          <w:highlight w:val="none"/>
        </w:rPr>
      </w:pPr>
      <w:r>
        <w:rPr>
          <w:rFonts w:hint="eastAsia" w:ascii="宋体" w:hAnsi="宋体" w:eastAsia="宋体" w:cs="宋体"/>
          <w:b/>
          <w:bCs/>
          <w:szCs w:val="27"/>
          <w:highlight w:val="none"/>
        </w:rPr>
        <w:t>第十条</w:t>
      </w:r>
      <w:r>
        <w:rPr>
          <w:rFonts w:hint="eastAsia" w:ascii="宋体" w:hAnsi="宋体" w:eastAsia="宋体" w:cs="宋体"/>
          <w:szCs w:val="27"/>
          <w:highlight w:val="none"/>
        </w:rPr>
        <w:t>  乙方的违约责任</w:t>
      </w:r>
    </w:p>
    <w:p w14:paraId="48A5B914">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1.乙方不能交货的，应向甲方偿付不能交货部分货款的</w:t>
      </w:r>
      <w:r>
        <w:rPr>
          <w:rFonts w:hint="eastAsia" w:ascii="宋体" w:hAnsi="宋体" w:eastAsia="宋体" w:cs="宋体"/>
          <w:szCs w:val="27"/>
          <w:highlight w:val="none"/>
          <w:u w:val="single"/>
        </w:rPr>
        <w:t>      %</w:t>
      </w:r>
      <w:r>
        <w:rPr>
          <w:rFonts w:hint="eastAsia" w:ascii="宋体" w:hAnsi="宋体" w:eastAsia="宋体" w:cs="宋体"/>
          <w:szCs w:val="27"/>
          <w:highlight w:val="none"/>
        </w:rPr>
        <w:t>（通用产品的幅度为1%－5%，专用产品的幅度为10%－30%）的违约金。</w:t>
      </w:r>
    </w:p>
    <w:p w14:paraId="7D188C46">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2.乙方所交产品不符合合同规定的，如果甲方同意利用，应当按质论价；如果甲方不能利用的，应根据产品的具体情况，由乙方负责包换或包修，并承担修理、调换或退货而支付的实际费用,</w:t>
      </w:r>
      <w:r>
        <w:rPr>
          <w:rFonts w:hint="eastAsia" w:ascii="宋体" w:hAnsi="宋体" w:eastAsia="宋体" w:cs="宋体"/>
          <w:highlight w:val="none"/>
        </w:rPr>
        <w:t>同时，乙方应按规定，对更换件相应延长质量保证期，并赔偿甲方相应的损失。</w:t>
      </w:r>
      <w:r>
        <w:rPr>
          <w:rFonts w:hint="eastAsia" w:ascii="宋体" w:hAnsi="宋体" w:eastAsia="宋体" w:cs="宋体"/>
          <w:szCs w:val="27"/>
          <w:highlight w:val="none"/>
        </w:rPr>
        <w:t>乙方不能修理或者不能调换的，按不能交货处理。</w:t>
      </w:r>
    </w:p>
    <w:p w14:paraId="27DB407E">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ascii="宋体" w:hAnsi="宋体" w:eastAsia="宋体" w:cs="宋体"/>
          <w:highlight w:val="none"/>
        </w:rPr>
        <w:t>每件货物包装箱内应附一份详细装箱单和质量证书。为进口件的，应出具报关手续和原产地、原产工厂证明、报关手续和商检证明等。</w:t>
      </w:r>
    </w:p>
    <w:p w14:paraId="5738964C">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4.</w:t>
      </w:r>
      <w:r>
        <w:rPr>
          <w:rFonts w:hint="eastAsia" w:ascii="宋体" w:hAnsi="宋体" w:eastAsia="宋体" w:cs="宋体"/>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ascii="宋体" w:hAnsi="宋体" w:eastAsia="宋体" w:cs="宋体"/>
          <w:szCs w:val="27"/>
          <w:highlight w:val="none"/>
        </w:rPr>
        <w:t>由此给甲方造成的损失由乙方承担。</w:t>
      </w:r>
    </w:p>
    <w:p w14:paraId="29877900">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5.乙方提前交货的产品、多交的产品和不符合合同规定的产品，甲方在代保管期内实际支付的保管、保养等费用以及非因甲方保管不善而发生的损失，应当由乙方承担。</w:t>
      </w:r>
    </w:p>
    <w:p w14:paraId="381E8AF8">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66E7EAA0">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7.任何一方未经对方同意而单方面终止合同的，应向对方赔偿相当于本合同总价款</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违约金。</w:t>
      </w:r>
    </w:p>
    <w:p w14:paraId="172A8FD7">
      <w:pPr>
        <w:spacing w:line="360" w:lineRule="auto"/>
        <w:ind w:firstLine="442" w:firstLineChars="200"/>
        <w:jc w:val="both"/>
        <w:rPr>
          <w:rFonts w:hint="eastAsia" w:ascii="宋体" w:hAnsi="宋体" w:eastAsia="宋体" w:cs="宋体"/>
          <w:highlight w:val="none"/>
        </w:rPr>
      </w:pPr>
      <w:r>
        <w:rPr>
          <w:rFonts w:hint="eastAsia" w:ascii="宋体" w:hAnsi="宋体" w:eastAsia="宋体" w:cs="宋体"/>
          <w:b/>
          <w:bCs/>
          <w:szCs w:val="27"/>
          <w:highlight w:val="none"/>
        </w:rPr>
        <w:t>第十一条</w:t>
      </w:r>
      <w:r>
        <w:rPr>
          <w:rFonts w:hint="eastAsia" w:ascii="宋体" w:hAnsi="宋体" w:eastAsia="宋体" w:cs="宋体"/>
          <w:szCs w:val="27"/>
          <w:highlight w:val="none"/>
        </w:rPr>
        <w:t>  甲方的违约责任</w:t>
      </w:r>
    </w:p>
    <w:p w14:paraId="3A00F7CA">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1.甲方中途退货，应向乙方偿付退货部分货款</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%（通用产品的幅度为1%~5%专用产品的幅度为15%-30%）的违约金。</w:t>
      </w:r>
    </w:p>
    <w:p w14:paraId="62F753C2">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2.甲方违反合同规定拒绝接货的，应当承担由此造成的损失。</w:t>
      </w:r>
    </w:p>
    <w:p w14:paraId="26722BF5">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3. 甲方未按照合同约定支付货款，应向乙方违约金</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元。</w:t>
      </w:r>
    </w:p>
    <w:p w14:paraId="54CE6587">
      <w:pPr>
        <w:spacing w:line="360" w:lineRule="auto"/>
        <w:ind w:firstLine="442" w:firstLineChars="200"/>
        <w:jc w:val="both"/>
        <w:rPr>
          <w:rFonts w:hint="eastAsia" w:ascii="宋体" w:hAnsi="宋体" w:eastAsia="宋体" w:cs="宋体"/>
          <w:b/>
          <w:highlight w:val="none"/>
        </w:rPr>
      </w:pPr>
      <w:r>
        <w:rPr>
          <w:rFonts w:hint="eastAsia" w:ascii="宋体" w:hAnsi="宋体" w:eastAsia="宋体" w:cs="宋体"/>
          <w:b/>
          <w:bCs/>
          <w:szCs w:val="27"/>
          <w:highlight w:val="none"/>
        </w:rPr>
        <w:t>第十二条 </w:t>
      </w:r>
      <w:r>
        <w:rPr>
          <w:rFonts w:hint="eastAsia" w:ascii="宋体" w:hAnsi="宋体" w:eastAsia="宋体" w:cs="宋体"/>
          <w:szCs w:val="27"/>
          <w:highlight w:val="none"/>
        </w:rPr>
        <w:t xml:space="preserve"> 不可抗力</w:t>
      </w:r>
    </w:p>
    <w:p w14:paraId="05951CC1">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2616202">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E08A78D">
      <w:pPr>
        <w:spacing w:line="360" w:lineRule="auto"/>
        <w:ind w:firstLine="44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szCs w:val="27"/>
          <w:highlight w:val="none"/>
        </w:rPr>
        <w:t>履约（或质量）保证金</w:t>
      </w:r>
    </w:p>
    <w:p w14:paraId="2CD5A5D0">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本项目不收取</w:t>
      </w:r>
      <w:r>
        <w:rPr>
          <w:rFonts w:hint="eastAsia" w:ascii="宋体" w:hAnsi="宋体" w:eastAsia="宋体" w:cs="宋体"/>
          <w:szCs w:val="27"/>
          <w:highlight w:val="none"/>
        </w:rPr>
        <w:t>履约保证金</w:t>
      </w:r>
      <w:r>
        <w:rPr>
          <w:rFonts w:hint="eastAsia" w:ascii="宋体" w:hAnsi="宋体" w:eastAsia="宋体" w:cs="宋体"/>
          <w:highlight w:val="none"/>
        </w:rPr>
        <w:t>。</w:t>
      </w:r>
      <w:r>
        <w:rPr>
          <w:rFonts w:hint="eastAsia" w:ascii="宋体" w:hAnsi="宋体" w:eastAsia="宋体" w:cs="宋体"/>
          <w:szCs w:val="27"/>
          <w:highlight w:val="none"/>
        </w:rPr>
        <w:t>确需收取履约保证金的，</w:t>
      </w:r>
      <w:r>
        <w:rPr>
          <w:rFonts w:hint="eastAsia" w:ascii="宋体" w:hAnsi="宋体" w:eastAsia="宋体" w:cs="宋体"/>
          <w:highlight w:val="none"/>
        </w:rPr>
        <w:t>甲方不得要求乙方以现款的形式提供。乙方提供的履约保证金按规定格式以银行保函形式提供，与此有关的费用由卖方承担。</w:t>
      </w:r>
    </w:p>
    <w:p w14:paraId="2020EB8C">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若确需质量保证金的，质量保证金不得超过合同总价款的</w:t>
      </w:r>
      <w:r>
        <w:rPr>
          <w:rFonts w:hint="eastAsia" w:ascii="宋体" w:hAnsi="宋体" w:eastAsia="宋体" w:cs="宋体"/>
          <w:highlight w:val="none"/>
          <w:lang w:val="en-US"/>
        </w:rPr>
        <w:t>5%。</w:t>
      </w:r>
    </w:p>
    <w:p w14:paraId="7A82BA87">
      <w:pPr>
        <w:spacing w:line="360" w:lineRule="auto"/>
        <w:ind w:firstLine="440" w:firstLineChars="200"/>
        <w:jc w:val="both"/>
        <w:rPr>
          <w:rFonts w:hint="eastAsia" w:ascii="宋体" w:hAnsi="宋体" w:eastAsia="宋体" w:cs="宋体"/>
          <w:highlight w:val="none"/>
        </w:rPr>
      </w:pPr>
    </w:p>
    <w:p w14:paraId="5FC4AD7C">
      <w:pPr>
        <w:pStyle w:val="28"/>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3</w:t>
      </w:r>
      <w:r>
        <w:rPr>
          <w:rFonts w:hint="eastAsia" w:ascii="宋体" w:hAnsi="宋体" w:eastAsia="宋体" w:cs="宋体"/>
          <w:szCs w:val="27"/>
          <w:highlight w:val="none"/>
        </w:rPr>
        <w:t>.</w:t>
      </w:r>
      <w:r>
        <w:rPr>
          <w:rFonts w:hint="eastAsia" w:ascii="宋体" w:hAnsi="宋体" w:eastAsia="宋体" w:cs="宋体"/>
          <w:highlight w:val="none"/>
        </w:rPr>
        <w:t>如乙方未能履行其合同规定的任何义务，甲方有权从履约保证金中取得补偿。</w:t>
      </w:r>
    </w:p>
    <w:p w14:paraId="44656FD7">
      <w:pPr>
        <w:spacing w:line="360" w:lineRule="auto"/>
        <w:ind w:firstLine="44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转让与分包</w:t>
      </w:r>
    </w:p>
    <w:p w14:paraId="36527054">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2DB0DDE1">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C728E63">
      <w:pPr>
        <w:spacing w:line="360" w:lineRule="auto"/>
        <w:ind w:firstLine="44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第十五条 </w:t>
      </w:r>
      <w:r>
        <w:rPr>
          <w:rFonts w:hint="eastAsia" w:ascii="宋体" w:hAnsi="宋体" w:eastAsia="宋体" w:cs="宋体"/>
          <w:bCs/>
          <w:highlight w:val="none"/>
        </w:rPr>
        <w:t>合同文件及资料的使用</w:t>
      </w:r>
    </w:p>
    <w:p w14:paraId="6B16E791">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63D52308">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0FBD1CCD">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第十六条 </w:t>
      </w:r>
      <w:r>
        <w:rPr>
          <w:rFonts w:hint="eastAsia" w:ascii="宋体" w:hAnsi="宋体" w:eastAsia="宋体" w:cs="宋体"/>
          <w:szCs w:val="27"/>
          <w:highlight w:val="none"/>
        </w:rPr>
        <w:t>合同纠纷调处</w:t>
      </w:r>
    </w:p>
    <w:p w14:paraId="51E0DDB3">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.按本合同规定应该偿付的违约金、赔偿金、保管保养费和各种经济损失，应当在明确责任后10天内，按银行规定的结算办法付清，否则按逾期付款处理。但任何一方不得自行扣发货物或扣付货款来充抵。</w:t>
      </w:r>
    </w:p>
    <w:p w14:paraId="39A584C9">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3633F596">
      <w:pPr>
        <w:pStyle w:val="27"/>
        <w:spacing w:beforeLines="0" w:afterLines="0"/>
        <w:ind w:left="0" w:firstLine="440" w:firstLineChars="200"/>
        <w:jc w:val="both"/>
        <w:rPr>
          <w:rFonts w:hint="eastAsia" w:ascii="宋体" w:hAnsi="宋体" w:eastAsia="宋体" w:cs="宋体"/>
          <w:highlight w:val="none"/>
          <w:lang w:val="en-US"/>
        </w:rPr>
      </w:pPr>
      <w:r>
        <w:rPr>
          <w:rFonts w:hint="eastAsia" w:ascii="宋体" w:hAnsi="宋体" w:eastAsia="宋体" w:cs="宋体"/>
          <w:szCs w:val="27"/>
          <w:highlight w:val="none"/>
          <w:lang w:val="en-US"/>
        </w:rPr>
        <w:t>3、甲、乙双方均有权利向本项目具有监管职能的政府采购监督管理部门举报反映对方在合同履约中的违法违纪行为。</w:t>
      </w:r>
    </w:p>
    <w:p w14:paraId="5ACA79BD">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第十七条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21C3DCA">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份，自双方当事人签字盖章之日起生效。</w:t>
      </w:r>
    </w:p>
    <w:p w14:paraId="58DA9AA2">
      <w:pPr>
        <w:spacing w:line="360" w:lineRule="auto"/>
        <w:ind w:firstLine="440" w:firstLineChars="200"/>
        <w:jc w:val="both"/>
        <w:rPr>
          <w:rFonts w:hint="eastAsia" w:ascii="宋体" w:hAnsi="宋体" w:eastAsia="宋体" w:cs="宋体"/>
          <w:szCs w:val="27"/>
          <w:highlight w:val="none"/>
        </w:rPr>
      </w:pPr>
    </w:p>
    <w:p w14:paraId="226C10A3">
      <w:pPr>
        <w:spacing w:line="360" w:lineRule="auto"/>
        <w:ind w:firstLine="440" w:firstLineChars="200"/>
        <w:jc w:val="both"/>
        <w:rPr>
          <w:rFonts w:hint="eastAsia" w:ascii="宋体" w:hAnsi="宋体" w:eastAsia="宋体" w:cs="宋体"/>
          <w:szCs w:val="27"/>
          <w:highlight w:val="none"/>
        </w:rPr>
      </w:pPr>
    </w:p>
    <w:p w14:paraId="615EEEEB">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44FE0094">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7EA3DABD">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1FF1B2EE">
      <w:pPr>
        <w:spacing w:line="360" w:lineRule="auto"/>
        <w:ind w:firstLine="44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0C021E5B">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3716D18F">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0480EFB9">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7563FF89">
      <w:pPr>
        <w:spacing w:line="640" w:lineRule="exact"/>
        <w:ind w:firstLine="1650" w:firstLineChars="750"/>
        <w:jc w:val="both"/>
        <w:rPr>
          <w:rFonts w:hint="eastAsia" w:ascii="宋体" w:hAnsi="宋体" w:eastAsia="宋体" w:cs="宋体"/>
          <w:szCs w:val="27"/>
          <w:highlight w:val="none"/>
          <w:u w:val="single"/>
        </w:rPr>
      </w:pPr>
    </w:p>
    <w:p w14:paraId="440614A4">
      <w:pPr>
        <w:spacing w:line="500" w:lineRule="exact"/>
        <w:rPr>
          <w:rFonts w:hint="eastAsia" w:ascii="宋体" w:hAnsi="宋体" w:eastAsia="宋体" w:cs="宋体"/>
          <w:sz w:val="24"/>
          <w:highlight w:val="none"/>
        </w:rPr>
      </w:pP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245C1A99">
      <w:pPr>
        <w:spacing w:line="500" w:lineRule="exact"/>
        <w:rPr>
          <w:rFonts w:hint="eastAsia" w:ascii="宋体" w:hAnsi="宋体" w:eastAsia="宋体" w:cs="宋体"/>
          <w:b/>
          <w:bCs/>
          <w:sz w:val="24"/>
          <w:highlight w:val="none"/>
        </w:rPr>
      </w:pPr>
    </w:p>
    <w:p w14:paraId="06703CD7">
      <w:pPr>
        <w:pStyle w:val="23"/>
        <w:ind w:left="440" w:firstLine="220"/>
        <w:jc w:val="center"/>
        <w:rPr>
          <w:rFonts w:hint="eastAsia" w:ascii="宋体" w:hAnsi="宋体" w:eastAsia="宋体" w:cs="宋体"/>
          <w:b/>
          <w:sz w:val="32"/>
          <w:szCs w:val="32"/>
          <w:highlight w:val="none"/>
        </w:rPr>
      </w:pPr>
      <w:r>
        <w:rPr>
          <w:rFonts w:hint="eastAsia" w:ascii="宋体" w:hAnsi="宋体" w:eastAsia="宋体" w:cs="宋体"/>
          <w:highlight w:val="none"/>
        </w:rPr>
        <w:br w:type="column"/>
      </w:r>
      <w:r>
        <w:rPr>
          <w:rFonts w:hint="eastAsia" w:ascii="宋体" w:hAnsi="宋体" w:eastAsia="宋体" w:cs="宋体"/>
          <w:b/>
          <w:sz w:val="32"/>
          <w:szCs w:val="32"/>
          <w:highlight w:val="none"/>
        </w:rPr>
        <w:t>周口市政府采购合同融资政策告知函</w:t>
      </w:r>
    </w:p>
    <w:p w14:paraId="0E42013E">
      <w:pPr>
        <w:pStyle w:val="23"/>
        <w:ind w:firstLine="240"/>
        <w:rPr>
          <w:rFonts w:hint="eastAsia" w:ascii="宋体" w:hAnsi="宋体" w:eastAsia="宋体" w:cs="宋体"/>
          <w:sz w:val="24"/>
          <w:szCs w:val="24"/>
          <w:highlight w:val="none"/>
        </w:rPr>
      </w:pPr>
    </w:p>
    <w:p w14:paraId="23274A16">
      <w:pPr>
        <w:pStyle w:val="23"/>
        <w:ind w:firstLine="240"/>
        <w:rPr>
          <w:rFonts w:hint="eastAsia" w:ascii="宋体" w:hAnsi="宋体" w:eastAsia="宋体" w:cs="宋体"/>
          <w:sz w:val="24"/>
          <w:highlight w:val="none"/>
        </w:rPr>
      </w:pPr>
    </w:p>
    <w:p w14:paraId="4FFEC9BD">
      <w:pPr>
        <w:pStyle w:val="23"/>
        <w:ind w:firstLine="240"/>
        <w:rPr>
          <w:rFonts w:hint="eastAsia" w:ascii="宋体" w:hAnsi="宋体" w:eastAsia="宋体" w:cs="宋体"/>
          <w:sz w:val="24"/>
          <w:highlight w:val="none"/>
        </w:rPr>
      </w:pPr>
    </w:p>
    <w:p w14:paraId="150E24EB">
      <w:pPr>
        <w:pStyle w:val="23"/>
        <w:ind w:firstLine="240"/>
        <w:rPr>
          <w:rFonts w:hint="eastAsia" w:ascii="宋体" w:hAnsi="宋体" w:eastAsia="宋体" w:cs="宋体"/>
          <w:sz w:val="24"/>
          <w:highlight w:val="none"/>
        </w:rPr>
      </w:pPr>
      <w:r>
        <w:rPr>
          <w:rFonts w:hint="eastAsia" w:ascii="宋体" w:hAnsi="宋体" w:eastAsia="宋体" w:cs="宋体"/>
          <w:sz w:val="24"/>
          <w:highlight w:val="none"/>
        </w:rPr>
        <w:t>各供应商：</w:t>
      </w:r>
    </w:p>
    <w:p w14:paraId="0DC6DC05">
      <w:pPr>
        <w:pStyle w:val="23"/>
        <w:ind w:firstLine="240"/>
        <w:rPr>
          <w:rFonts w:hint="eastAsia" w:ascii="宋体" w:hAnsi="宋体" w:eastAsia="宋体" w:cs="宋体"/>
          <w:sz w:val="24"/>
          <w:highlight w:val="none"/>
        </w:rPr>
      </w:pPr>
      <w:r>
        <w:rPr>
          <w:rFonts w:hint="eastAsia" w:ascii="宋体" w:hAnsi="宋体" w:eastAsia="宋体" w:cs="宋体"/>
          <w:sz w:val="24"/>
          <w:highlight w:val="none"/>
        </w:rPr>
        <w:t>欢迎贵公司参与周口市政府采购活动！</w:t>
      </w:r>
    </w:p>
    <w:p w14:paraId="75C81AE5">
      <w:pPr>
        <w:pStyle w:val="23"/>
        <w:ind w:firstLine="240"/>
        <w:rPr>
          <w:rFonts w:hint="eastAsia" w:ascii="宋体" w:hAnsi="宋体" w:eastAsia="宋体" w:cs="宋体"/>
          <w:sz w:val="24"/>
          <w:highlight w:val="none"/>
        </w:rPr>
      </w:pPr>
      <w:r>
        <w:rPr>
          <w:rFonts w:hint="eastAsia" w:ascii="宋体" w:hAnsi="宋体" w:eastAsia="宋体" w:cs="宋体"/>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9D2EB85">
      <w:pPr>
        <w:pStyle w:val="23"/>
        <w:ind w:firstLine="24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贷款渠道和提供贷款的金融机构，可在河南省政府采购网“河南省政府采购合同融资平台”查询联系。</w:t>
      </w:r>
      <w:r>
        <w:rPr>
          <w:rFonts w:hint="eastAsia" w:ascii="宋体" w:hAnsi="宋体"/>
          <w:color w:val="000000" w:themeColor="text1"/>
          <w:sz w:val="24"/>
          <w:szCs w:val="24"/>
          <w14:textFill>
            <w14:solidFill>
              <w14:schemeClr w14:val="tx1"/>
            </w14:solidFill>
          </w14:textFill>
        </w:rPr>
        <w:t>投标人须将此函附于投标文件中。</w:t>
      </w:r>
    </w:p>
    <w:p w14:paraId="3B51A640">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938C994">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607476D">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A819B5E">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1C7BF19">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3CAFD63">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DC89EA7">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ABC0784">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716C13D">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BCFDCE5">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7F4C2B3">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BD4AF36">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643BFE2">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B7533F2">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88FDBB2">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F6FFF8E">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457E60E">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8E7AC5C">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095F39D">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AA2D1AB">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3C1A27F">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1C339F7">
      <w:pPr>
        <w:spacing w:before="1"/>
        <w:ind w:left="218"/>
        <w:rPr>
          <w:rFonts w:hint="eastAsia" w:ascii="宋体" w:hAnsi="宋体" w:eastAsia="宋体" w:cs="宋体"/>
          <w:b/>
          <w:sz w:val="28"/>
          <w:highlight w:val="none"/>
        </w:rPr>
      </w:pPr>
    </w:p>
    <w:p w14:paraId="079A9554"/>
    <w:sectPr>
      <w:pgSz w:w="11850" w:h="16790"/>
      <w:pgMar w:top="1440" w:right="1080" w:bottom="1440" w:left="1080" w:header="0" w:footer="721"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Droid Sans">
    <w:altName w:val="宋体"/>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6B4FB">
    <w:pPr>
      <w:pStyle w:val="6"/>
      <w:spacing w:line="14" w:lineRule="auto"/>
      <w:rPr>
        <w:sz w:val="20"/>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00E749">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100E749">
                    <w:pPr>
                      <w:pStyle w:val="12"/>
                    </w:pPr>
                    <w:r>
                      <w:fldChar w:fldCharType="begin"/>
                    </w:r>
                    <w:r>
                      <w:instrText xml:space="preserve"> PAGE  \* MERGEFORMAT </w:instrText>
                    </w:r>
                    <w:r>
                      <w:fldChar w:fldCharType="separate"/>
                    </w:r>
                    <w:r>
                      <w:t>1</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285C23CB">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285C23CB">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87639">
    <w:pPr>
      <w:pStyle w:val="6"/>
      <w:spacing w:line="14" w:lineRule="auto"/>
      <w:rPr>
        <w:sz w:val="20"/>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B06601">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3B06601">
                    <w:pPr>
                      <w:pStyle w:val="12"/>
                    </w:pPr>
                    <w:r>
                      <w:fldChar w:fldCharType="begin"/>
                    </w:r>
                    <w:r>
                      <w:instrText xml:space="preserve"> PAGE  \* MERGEFORMAT </w:instrText>
                    </w:r>
                    <w:r>
                      <w:fldChar w:fldCharType="separate"/>
                    </w:r>
                    <w:r>
                      <w:t>1</w:t>
                    </w:r>
                    <w:r>
                      <w:fldChar w:fldCharType="end"/>
                    </w:r>
                  </w:p>
                </w:txbxContent>
              </v:textbox>
            </v:shape>
          </w:pict>
        </mc:Fallback>
      </mc:AlternateContent>
    </w:r>
    <w:r>
      <w:rPr>
        <w:lang w:val="en-US" w:bidi="ar-SA"/>
      </w:rPr>
      <mc:AlternateContent>
        <mc:Choice Requires="wps">
          <w:drawing>
            <wp:anchor distT="0" distB="0" distL="114300" distR="114300" simplePos="0" relativeHeight="251660288"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6"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7E9964A6">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6192;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Huy7WsAAgAAEAQAAA4AAAAAAAAAAQAgAAAAKAEAAGRy&#10;cy9lMm9Eb2MueG1sUEsFBgAAAAAGAAYAWQEAAJoFAAAAAA==&#10;">
              <v:fill on="f" focussize="0,0"/>
              <v:stroke on="f"/>
              <v:imagedata o:title=""/>
              <o:lock v:ext="edit" aspectratio="f"/>
              <v:textbox inset="0mm,0mm,0mm,0mm">
                <w:txbxContent>
                  <w:p w14:paraId="7E9964A6">
                    <w:pPr>
                      <w:spacing w:before="12"/>
                      <w:ind w:left="20"/>
                      <w:rPr>
                        <w:rFonts w:ascii="Times New Roman"/>
                        <w:sz w:val="18"/>
                      </w:rPr>
                    </w:pPr>
                    <w:r>
                      <w:rPr>
                        <w:rFonts w:ascii="Times New Roman"/>
                        <w:sz w:val="1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27F48">
    <w:pPr>
      <w:pStyle w:val="1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07CFD2">
                          <w:pPr>
                            <w:pStyle w:val="12"/>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1407CFD2">
                    <w:pPr>
                      <w:pStyle w:val="12"/>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87456">
    <w:pPr>
      <w:pStyle w:val="6"/>
      <w:spacing w:line="14" w:lineRule="auto"/>
      <w:rPr>
        <w:sz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EC3A36">
                          <w:pPr>
                            <w:pStyle w:val="12"/>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1EC3A36">
                    <w:pPr>
                      <w:pStyle w:val="12"/>
                    </w:pPr>
                    <w:r>
                      <w:fldChar w:fldCharType="begin"/>
                    </w:r>
                    <w:r>
                      <w:instrText xml:space="preserve"> PAGE  \* MERGEFORMAT </w:instrText>
                    </w:r>
                    <w:r>
                      <w:fldChar w:fldCharType="separate"/>
                    </w:r>
                    <w:r>
                      <w:t>10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E0556"/>
    <w:multiLevelType w:val="singleLevel"/>
    <w:tmpl w:val="89AE0556"/>
    <w:lvl w:ilvl="0" w:tentative="0">
      <w:start w:val="1"/>
      <w:numFmt w:val="decimal"/>
      <w:suff w:val="nothing"/>
      <w:lvlText w:val="%1、"/>
      <w:lvlJc w:val="left"/>
    </w:lvl>
  </w:abstractNum>
  <w:abstractNum w:abstractNumId="1">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3">
    <w:nsid w:val="B5D71249"/>
    <w:multiLevelType w:val="singleLevel"/>
    <w:tmpl w:val="B5D71249"/>
    <w:lvl w:ilvl="0" w:tentative="0">
      <w:start w:val="26"/>
      <w:numFmt w:val="decimal"/>
      <w:suff w:val="nothing"/>
      <w:lvlText w:val="%1、"/>
      <w:lvlJc w:val="left"/>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5">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7">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E9538BC"/>
    <w:multiLevelType w:val="singleLevel"/>
    <w:tmpl w:val="5E9538BC"/>
    <w:lvl w:ilvl="0" w:tentative="0">
      <w:start w:val="1"/>
      <w:numFmt w:val="chineseCounting"/>
      <w:lvlText w:val="第%1部分"/>
      <w:lvlJc w:val="left"/>
      <w:rPr>
        <w:rFonts w:hint="eastAsia"/>
      </w:rPr>
    </w:lvl>
  </w:abstractNum>
  <w:abstractNum w:abstractNumId="19">
    <w:nsid w:val="6058BAAF"/>
    <w:multiLevelType w:val="singleLevel"/>
    <w:tmpl w:val="6058BAAF"/>
    <w:lvl w:ilvl="0" w:tentative="0">
      <w:start w:val="1"/>
      <w:numFmt w:val="decimal"/>
      <w:suff w:val="nothing"/>
      <w:lvlText w:val="%1、"/>
      <w:lvlJc w:val="left"/>
    </w:lvl>
  </w:abstractNum>
  <w:num w:numId="1">
    <w:abstractNumId w:val="18"/>
  </w:num>
  <w:num w:numId="2">
    <w:abstractNumId w:val="11"/>
  </w:num>
  <w:num w:numId="3">
    <w:abstractNumId w:val="16"/>
  </w:num>
  <w:num w:numId="4">
    <w:abstractNumId w:val="5"/>
  </w:num>
  <w:num w:numId="5">
    <w:abstractNumId w:val="4"/>
  </w:num>
  <w:num w:numId="6">
    <w:abstractNumId w:val="12"/>
  </w:num>
  <w:num w:numId="7">
    <w:abstractNumId w:val="10"/>
  </w:num>
  <w:num w:numId="8">
    <w:abstractNumId w:val="1"/>
  </w:num>
  <w:num w:numId="9">
    <w:abstractNumId w:val="17"/>
  </w:num>
  <w:num w:numId="10">
    <w:abstractNumId w:val="15"/>
  </w:num>
  <w:num w:numId="11">
    <w:abstractNumId w:val="8"/>
  </w:num>
  <w:num w:numId="12">
    <w:abstractNumId w:val="7"/>
  </w:num>
  <w:num w:numId="13">
    <w:abstractNumId w:val="6"/>
  </w:num>
  <w:num w:numId="14">
    <w:abstractNumId w:val="2"/>
  </w:num>
  <w:num w:numId="15">
    <w:abstractNumId w:val="14"/>
  </w:num>
  <w:num w:numId="16">
    <w:abstractNumId w:val="3"/>
  </w:num>
  <w:num w:numId="17">
    <w:abstractNumId w:val="13"/>
  </w:num>
  <w:num w:numId="18">
    <w:abstractNumId w:val="0"/>
  </w:num>
  <w:num w:numId="19">
    <w:abstractNumId w:val="19"/>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037A4"/>
    <w:rsid w:val="04FD0C1C"/>
    <w:rsid w:val="06176614"/>
    <w:rsid w:val="09063A89"/>
    <w:rsid w:val="09D633B1"/>
    <w:rsid w:val="0A8A693C"/>
    <w:rsid w:val="0E31423F"/>
    <w:rsid w:val="14B363B3"/>
    <w:rsid w:val="174F6F43"/>
    <w:rsid w:val="21C76D47"/>
    <w:rsid w:val="252C160A"/>
    <w:rsid w:val="2EE769F6"/>
    <w:rsid w:val="30901D07"/>
    <w:rsid w:val="31077AEF"/>
    <w:rsid w:val="354B26A0"/>
    <w:rsid w:val="36415851"/>
    <w:rsid w:val="39C26CD1"/>
    <w:rsid w:val="3B4C0F20"/>
    <w:rsid w:val="3C764FC0"/>
    <w:rsid w:val="3F370CE7"/>
    <w:rsid w:val="44722203"/>
    <w:rsid w:val="48CD7C44"/>
    <w:rsid w:val="490E3CB9"/>
    <w:rsid w:val="4B090BDC"/>
    <w:rsid w:val="4C231829"/>
    <w:rsid w:val="4CFB4554"/>
    <w:rsid w:val="51766DCC"/>
    <w:rsid w:val="51A8262F"/>
    <w:rsid w:val="57ED7101"/>
    <w:rsid w:val="58B96A14"/>
    <w:rsid w:val="5B7C46CC"/>
    <w:rsid w:val="5BB80E9E"/>
    <w:rsid w:val="5BE81E0A"/>
    <w:rsid w:val="5D2F7357"/>
    <w:rsid w:val="6227661D"/>
    <w:rsid w:val="6A3947AC"/>
    <w:rsid w:val="6B5B0B88"/>
    <w:rsid w:val="71EB5EA5"/>
    <w:rsid w:val="747A5D82"/>
    <w:rsid w:val="75422471"/>
    <w:rsid w:val="79C155BA"/>
    <w:rsid w:val="7BA4658F"/>
    <w:rsid w:val="7C8F0691"/>
    <w:rsid w:val="7F52082C"/>
    <w:rsid w:val="7F9935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6">
    <w:name w:val="Body Text"/>
    <w:basedOn w:val="1"/>
    <w:next w:val="7"/>
    <w:qFormat/>
    <w:uiPriority w:val="1"/>
    <w:rPr>
      <w:sz w:val="24"/>
      <w:szCs w:val="24"/>
    </w:rPr>
  </w:style>
  <w:style w:type="paragraph" w:customStyle="1" w:styleId="7">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8">
    <w:name w:val="Body Text Indent"/>
    <w:basedOn w:val="1"/>
    <w:next w:val="9"/>
    <w:qFormat/>
    <w:uiPriority w:val="0"/>
    <w:pPr>
      <w:spacing w:after="120"/>
      <w:ind w:left="420" w:leftChars="200"/>
    </w:pPr>
    <w:rPr>
      <w:sz w:val="20"/>
    </w:rPr>
  </w:style>
  <w:style w:type="paragraph" w:styleId="9">
    <w:name w:val="envelope return"/>
    <w:basedOn w:val="1"/>
    <w:qFormat/>
    <w:uiPriority w:val="0"/>
    <w:pPr>
      <w:snapToGrid w:val="0"/>
    </w:pPr>
    <w:rPr>
      <w:rFonts w:ascii="Arial" w:hAnsi="Arial"/>
    </w:rPr>
  </w:style>
  <w:style w:type="paragraph" w:styleId="10">
    <w:name w:val="Plain Text"/>
    <w:basedOn w:val="1"/>
    <w:next w:val="1"/>
    <w:qFormat/>
    <w:uiPriority w:val="0"/>
    <w:rPr>
      <w:rFonts w:ascii="宋体" w:hAnsi="Courier New"/>
    </w:rPr>
  </w:style>
  <w:style w:type="paragraph" w:styleId="11">
    <w:name w:val="Body Text Indent 2"/>
    <w:basedOn w:val="1"/>
    <w:qFormat/>
    <w:uiPriority w:val="0"/>
    <w:pPr>
      <w:ind w:left="630" w:firstLine="645"/>
    </w:pPr>
    <w:rPr>
      <w:rFonts w:ascii="Arial" w:hAnsi="Arial" w:eastAsia="仿宋_GB2312"/>
      <w:sz w:val="32"/>
    </w:rPr>
  </w:style>
  <w:style w:type="paragraph" w:styleId="12">
    <w:name w:val="footer"/>
    <w:basedOn w:val="1"/>
    <w:qFormat/>
    <w:uiPriority w:val="0"/>
    <w:pPr>
      <w:tabs>
        <w:tab w:val="center" w:pos="4153"/>
        <w:tab w:val="right" w:pos="8306"/>
      </w:tabs>
      <w:snapToGrid w:val="0"/>
    </w:pPr>
    <w:rPr>
      <w:sz w:val="18"/>
      <w:szCs w:val="18"/>
    </w:rPr>
  </w:style>
  <w:style w:type="paragraph" w:styleId="13">
    <w:name w:val="header"/>
    <w:basedOn w:val="1"/>
    <w:next w:val="14"/>
    <w:qFormat/>
    <w:uiPriority w:val="0"/>
    <w:pPr>
      <w:pBdr>
        <w:bottom w:val="single" w:color="auto" w:sz="6" w:space="1"/>
      </w:pBdr>
      <w:tabs>
        <w:tab w:val="center" w:pos="4153"/>
        <w:tab w:val="right" w:pos="8306"/>
      </w:tabs>
      <w:snapToGrid w:val="0"/>
      <w:jc w:val="center"/>
    </w:pPr>
    <w:rPr>
      <w:sz w:val="18"/>
      <w:szCs w:val="18"/>
    </w:rPr>
  </w:style>
  <w:style w:type="paragraph" w:customStyle="1" w:styleId="14">
    <w:name w:val="Quote1"/>
    <w:basedOn w:val="1"/>
    <w:next w:val="1"/>
    <w:qFormat/>
    <w:uiPriority w:val="99"/>
    <w:pPr>
      <w:widowControl/>
      <w:wordWrap w:val="0"/>
      <w:spacing w:before="200" w:after="160"/>
      <w:ind w:left="864" w:right="864"/>
      <w:jc w:val="center"/>
    </w:pPr>
    <w:rPr>
      <w:i/>
      <w:color w:val="404040"/>
    </w:rPr>
  </w:style>
  <w:style w:type="paragraph" w:styleId="15">
    <w:name w:val="toc 1"/>
    <w:basedOn w:val="1"/>
    <w:next w:val="1"/>
    <w:qFormat/>
    <w:uiPriority w:val="1"/>
    <w:pPr>
      <w:spacing w:before="186"/>
      <w:ind w:left="218"/>
    </w:pPr>
    <w:rPr>
      <w:sz w:val="28"/>
      <w:szCs w:val="28"/>
    </w:rPr>
  </w:style>
  <w:style w:type="paragraph" w:styleId="16">
    <w:name w:val="footnote text"/>
    <w:basedOn w:val="1"/>
    <w:qFormat/>
    <w:uiPriority w:val="99"/>
    <w:pPr>
      <w:snapToGrid w:val="0"/>
    </w:pPr>
    <w:rPr>
      <w:sz w:val="18"/>
      <w:szCs w:val="18"/>
    </w:rPr>
  </w:style>
  <w:style w:type="paragraph" w:styleId="17">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8">
    <w:name w:val="Body Text First Indent"/>
    <w:basedOn w:val="6"/>
    <w:next w:val="19"/>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9">
    <w:name w:val="Body Text First Indent 2"/>
    <w:basedOn w:val="8"/>
    <w:next w:val="1"/>
    <w:unhideWhenUsed/>
    <w:qFormat/>
    <w:uiPriority w:val="0"/>
    <w:pPr>
      <w:widowControl/>
      <w:ind w:firstLine="200" w:firstLineChars="200"/>
    </w:pPr>
    <w:rPr>
      <w:rFonts w:ascii="Calibri" w:hAnsi="Calibri" w:cs="Times New Roman"/>
      <w:sz w:val="28"/>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3">
    <w:name w:val="BodyText1I"/>
    <w:basedOn w:val="24"/>
    <w:qFormat/>
    <w:uiPriority w:val="99"/>
    <w:pPr>
      <w:ind w:firstLine="420" w:firstLineChars="100"/>
    </w:pPr>
  </w:style>
  <w:style w:type="paragraph" w:customStyle="1" w:styleId="24">
    <w:name w:val="BodyText"/>
    <w:basedOn w:val="1"/>
    <w:qFormat/>
    <w:uiPriority w:val="99"/>
    <w:pPr>
      <w:spacing w:after="120"/>
    </w:pPr>
  </w:style>
  <w:style w:type="paragraph" w:styleId="25">
    <w:name w:val="List Paragraph"/>
    <w:basedOn w:val="1"/>
    <w:qFormat/>
    <w:uiPriority w:val="1"/>
    <w:pPr>
      <w:ind w:left="218" w:firstLine="239"/>
    </w:pPr>
  </w:style>
  <w:style w:type="paragraph" w:customStyle="1" w:styleId="26">
    <w:name w:val="正文文本缩进1"/>
    <w:basedOn w:val="1"/>
    <w:qFormat/>
    <w:uiPriority w:val="0"/>
    <w:pPr>
      <w:widowControl/>
      <w:spacing w:line="400" w:lineRule="exact"/>
      <w:ind w:firstLine="420" w:firstLineChars="200"/>
    </w:pPr>
    <w:rPr>
      <w:sz w:val="20"/>
      <w:szCs w:val="20"/>
    </w:rPr>
  </w:style>
  <w:style w:type="paragraph" w:customStyle="1" w:styleId="27">
    <w:name w:val="正文1"/>
    <w:basedOn w:val="1"/>
    <w:qFormat/>
    <w:uiPriority w:val="0"/>
    <w:pPr>
      <w:widowControl/>
      <w:topLinePunct/>
      <w:spacing w:beforeLines="50" w:afterLines="50" w:line="300" w:lineRule="auto"/>
      <w:ind w:left="420"/>
    </w:pPr>
  </w:style>
  <w:style w:type="paragraph" w:customStyle="1" w:styleId="28">
    <w:name w:val="Char Char Char Char Char Char Char1 Char"/>
    <w:basedOn w:val="1"/>
    <w:qFormat/>
    <w:uiPriority w:val="0"/>
    <w:rPr>
      <w:rFonts w:ascii="Tahoma" w:hAnsi="Tahoma"/>
    </w:rPr>
  </w:style>
  <w:style w:type="paragraph" w:customStyle="1" w:styleId="29">
    <w:name w:val="样式3"/>
    <w:basedOn w:val="10"/>
    <w:qFormat/>
    <w:uiPriority w:val="0"/>
    <w:pPr>
      <w:spacing w:line="240" w:lineRule="atLeast"/>
      <w:outlineLvl w:val="0"/>
    </w:pPr>
    <w:rPr>
      <w:rFonts w:ascii="Times New Roman" w:hAnsi="Calibri" w:cs="Droid Sans"/>
      <w:sz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17836</Words>
  <Characters>18619</Characters>
  <Lines>0</Lines>
  <Paragraphs>0</Paragraphs>
  <TotalTime>60</TotalTime>
  <ScaleCrop>false</ScaleCrop>
  <LinksUpToDate>false</LinksUpToDate>
  <CharactersWithSpaces>19463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2025-05-22T14:09:00Z</dcterms:created>
  <dc:creator>lenovo</dc:creator>
  <cp:lastModifiedBy>user</cp:lastModifiedBy>
  <dcterms:modified xsi:type="dcterms:W3CDTF">2025-09-10T07:33:36Z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eyJoZGlkIjoiMGI2ZDFmZmVjNjhiYmI3Nzg5YTgxNzM4YzkzMWZjMzEiLCJ1c2VySWQiOiIxMDQyNjE2NTI1In0=</vt:lpwstr>
  </property>
  <property fmtid="{D5CDD505-2E9C-101B-9397-08002B2CF9AE}" pid="4" name="ICV">
    <vt:lpwstr>189D3B8703A24867B629946C48284C60_13</vt:lpwstr>
  </property>
</Properties>
</file>