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50EF2">
      <w:pPr>
        <w:spacing w:after="120"/>
        <w:jc w:val="center"/>
        <w:rPr>
          <w:rFonts w:hint="eastAsia" w:ascii="宋体" w:hAnsi="宋体" w:eastAsia="宋体" w:cs="宋体"/>
          <w:b/>
          <w:color w:val="000000" w:themeColor="text1"/>
          <w:sz w:val="32"/>
          <w14:textFill>
            <w14:solidFill>
              <w14:schemeClr w14:val="tx1"/>
            </w14:solidFill>
          </w14:textFill>
        </w:rPr>
      </w:pPr>
      <w:r>
        <w:rPr>
          <w:rFonts w:ascii="宋体" w:hAnsi="宋体" w:eastAsia="宋体" w:cs="宋体"/>
          <w:b/>
          <w:color w:val="000000" w:themeColor="text1"/>
          <w:spacing w:val="36"/>
          <w:sz w:val="52"/>
          <w14:textFill>
            <w14:solidFill>
              <w14:schemeClr w14:val="tx1"/>
            </w14:solidFill>
          </w14:textFill>
        </w:rPr>
        <w:drawing>
          <wp:anchor distT="0" distB="0" distL="114300" distR="114300" simplePos="0" relativeHeight="251659264" behindDoc="1" locked="0" layoutInCell="1" allowOverlap="1">
            <wp:simplePos x="0" y="0"/>
            <wp:positionH relativeFrom="column">
              <wp:posOffset>-919480</wp:posOffset>
            </wp:positionH>
            <wp:positionV relativeFrom="paragraph">
              <wp:posOffset>0</wp:posOffset>
            </wp:positionV>
            <wp:extent cx="7035800" cy="9662160"/>
            <wp:effectExtent l="0" t="0" r="0" b="0"/>
            <wp:wrapTight wrapText="bothSides">
              <wp:wrapPolygon>
                <wp:start x="0" y="0"/>
                <wp:lineTo x="0" y="21549"/>
                <wp:lineTo x="21524" y="21549"/>
                <wp:lineTo x="21524" y="0"/>
                <wp:lineTo x="0" y="0"/>
              </wp:wrapPolygon>
            </wp:wrapTight>
            <wp:docPr id="96980747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807478" name="图片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7035497" cy="9662160"/>
                    </a:xfrm>
                    <a:prstGeom prst="rect">
                      <a:avLst/>
                    </a:prstGeom>
                    <a:noFill/>
                    <a:ln>
                      <a:noFill/>
                    </a:ln>
                  </pic:spPr>
                </pic:pic>
              </a:graphicData>
            </a:graphic>
          </wp:anchor>
        </w:drawing>
      </w:r>
    </w:p>
    <w:p w14:paraId="3E5B4B6E">
      <w:pPr>
        <w:spacing w:line="560" w:lineRule="auto"/>
        <w:jc w:val="center"/>
        <w:rPr>
          <w:rFonts w:hint="eastAsia" w:ascii="宋体" w:hAnsi="宋体" w:eastAsia="宋体" w:cs="宋体"/>
          <w:b/>
          <w:color w:val="000000" w:themeColor="text1"/>
          <w:sz w:val="32"/>
          <w14:textFill>
            <w14:solidFill>
              <w14:schemeClr w14:val="tx1"/>
            </w14:solidFill>
          </w14:textFill>
        </w:rPr>
      </w:pPr>
      <w:r>
        <w:rPr>
          <w:rFonts w:ascii="宋体" w:hAnsi="宋体" w:eastAsia="宋体" w:cs="宋体"/>
          <w:b/>
          <w:color w:val="000000" w:themeColor="text1"/>
          <w:sz w:val="32"/>
          <w14:textFill>
            <w14:solidFill>
              <w14:schemeClr w14:val="tx1"/>
            </w14:solidFill>
          </w14:textFill>
        </w:rPr>
        <w:t>目     录</w:t>
      </w:r>
    </w:p>
    <w:p w14:paraId="4F699BEB">
      <w:pPr>
        <w:rPr>
          <w:rFonts w:hint="eastAsia" w:ascii="宋体" w:hAnsi="宋体" w:eastAsia="宋体" w:cs="宋体"/>
          <w:b/>
          <w:color w:val="000000" w:themeColor="text1"/>
          <w:sz w:val="32"/>
          <w14:textFill>
            <w14:solidFill>
              <w14:schemeClr w14:val="tx1"/>
            </w14:solidFill>
          </w14:textFill>
        </w:rPr>
      </w:pPr>
    </w:p>
    <w:p w14:paraId="218F61DC">
      <w:pPr>
        <w:spacing w:line="800" w:lineRule="auto"/>
        <w:rPr>
          <w:rFonts w:hint="eastAsia" w:ascii="宋体" w:hAnsi="宋体" w:eastAsia="宋体" w:cs="宋体"/>
          <w:b/>
          <w:color w:val="000000" w:themeColor="text1"/>
          <w:sz w:val="32"/>
          <w14:textFill>
            <w14:solidFill>
              <w14:schemeClr w14:val="tx1"/>
            </w14:solidFill>
          </w14:textFill>
        </w:rPr>
      </w:pPr>
      <w:r>
        <w:rPr>
          <w:rFonts w:ascii="宋体" w:hAnsi="宋体" w:eastAsia="宋体" w:cs="宋体"/>
          <w:b/>
          <w:color w:val="000000" w:themeColor="text1"/>
          <w:sz w:val="32"/>
          <w14:textFill>
            <w14:solidFill>
              <w14:schemeClr w14:val="tx1"/>
            </w14:solidFill>
          </w14:textFill>
        </w:rPr>
        <w:t>第一章  竞争性磋商邀请函 .........................3</w:t>
      </w:r>
    </w:p>
    <w:p w14:paraId="14AA0672">
      <w:pPr>
        <w:spacing w:line="800" w:lineRule="auto"/>
        <w:rPr>
          <w:rFonts w:hint="eastAsia" w:ascii="宋体" w:hAnsi="宋体" w:eastAsia="宋体" w:cs="宋体"/>
          <w:b/>
          <w:color w:val="000000" w:themeColor="text1"/>
          <w:sz w:val="32"/>
          <w14:textFill>
            <w14:solidFill>
              <w14:schemeClr w14:val="tx1"/>
            </w14:solidFill>
          </w14:textFill>
        </w:rPr>
      </w:pPr>
      <w:r>
        <w:rPr>
          <w:rFonts w:ascii="宋体" w:hAnsi="宋体" w:eastAsia="宋体" w:cs="宋体"/>
          <w:b/>
          <w:color w:val="000000" w:themeColor="text1"/>
          <w:sz w:val="32"/>
          <w14:textFill>
            <w14:solidFill>
              <w14:schemeClr w14:val="tx1"/>
            </w14:solidFill>
          </w14:textFill>
        </w:rPr>
        <w:t>第二章  供应商须知 ...............................6</w:t>
      </w:r>
    </w:p>
    <w:p w14:paraId="59C60EDE">
      <w:pPr>
        <w:spacing w:line="800" w:lineRule="auto"/>
        <w:rPr>
          <w:rFonts w:hint="eastAsia" w:ascii="宋体" w:hAnsi="宋体" w:eastAsia="宋体" w:cs="宋体"/>
          <w:b/>
          <w:color w:val="000000" w:themeColor="text1"/>
          <w:sz w:val="32"/>
          <w14:textFill>
            <w14:solidFill>
              <w14:schemeClr w14:val="tx1"/>
            </w14:solidFill>
          </w14:textFill>
        </w:rPr>
      </w:pPr>
      <w:r>
        <w:rPr>
          <w:rFonts w:ascii="宋体" w:hAnsi="宋体" w:eastAsia="宋体" w:cs="宋体"/>
          <w:b/>
          <w:color w:val="000000" w:themeColor="text1"/>
          <w:sz w:val="32"/>
          <w14:textFill>
            <w14:solidFill>
              <w14:schemeClr w14:val="tx1"/>
            </w14:solidFill>
          </w14:textFill>
        </w:rPr>
        <w:t>第三章  采购需求.................................2</w:t>
      </w:r>
      <w:r>
        <w:rPr>
          <w:rFonts w:hint="eastAsia" w:ascii="宋体" w:hAnsi="宋体" w:eastAsia="宋体" w:cs="宋体"/>
          <w:b/>
          <w:color w:val="000000" w:themeColor="text1"/>
          <w:sz w:val="32"/>
          <w14:textFill>
            <w14:solidFill>
              <w14:schemeClr w14:val="tx1"/>
            </w14:solidFill>
          </w14:textFill>
        </w:rPr>
        <w:t>9</w:t>
      </w:r>
    </w:p>
    <w:p w14:paraId="1E35311E">
      <w:pPr>
        <w:spacing w:line="800" w:lineRule="auto"/>
        <w:rPr>
          <w:rFonts w:hint="eastAsia" w:ascii="宋体" w:hAnsi="宋体" w:eastAsia="宋体" w:cs="宋体"/>
          <w:b/>
          <w:color w:val="000000" w:themeColor="text1"/>
          <w:sz w:val="32"/>
          <w14:textFill>
            <w14:solidFill>
              <w14:schemeClr w14:val="tx1"/>
            </w14:solidFill>
          </w14:textFill>
        </w:rPr>
      </w:pPr>
      <w:r>
        <w:rPr>
          <w:rFonts w:ascii="宋体" w:hAnsi="宋体" w:eastAsia="宋体" w:cs="宋体"/>
          <w:b/>
          <w:color w:val="000000" w:themeColor="text1"/>
          <w:sz w:val="32"/>
          <w14:textFill>
            <w14:solidFill>
              <w14:schemeClr w14:val="tx1"/>
            </w14:solidFill>
          </w14:textFill>
        </w:rPr>
        <w:t>第四章  响应性文件内容及格式.....................</w:t>
      </w:r>
      <w:r>
        <w:rPr>
          <w:rFonts w:hint="eastAsia" w:ascii="宋体" w:hAnsi="宋体" w:eastAsia="宋体" w:cs="宋体"/>
          <w:b/>
          <w:color w:val="000000" w:themeColor="text1"/>
          <w:sz w:val="32"/>
          <w14:textFill>
            <w14:solidFill>
              <w14:schemeClr w14:val="tx1"/>
            </w14:solidFill>
          </w14:textFill>
        </w:rPr>
        <w:t>36</w:t>
      </w:r>
    </w:p>
    <w:p w14:paraId="79AA16E6">
      <w:pPr>
        <w:spacing w:line="800" w:lineRule="auto"/>
        <w:rPr>
          <w:rFonts w:hint="eastAsia" w:ascii="宋体" w:hAnsi="宋体" w:eastAsia="宋体" w:cs="宋体"/>
          <w:b/>
          <w:color w:val="000000" w:themeColor="text1"/>
          <w:sz w:val="32"/>
          <w14:textFill>
            <w14:solidFill>
              <w14:schemeClr w14:val="tx1"/>
            </w14:solidFill>
          </w14:textFill>
        </w:rPr>
      </w:pPr>
      <w:r>
        <w:rPr>
          <w:rFonts w:ascii="宋体" w:hAnsi="宋体" w:eastAsia="宋体" w:cs="宋体"/>
          <w:b/>
          <w:color w:val="000000" w:themeColor="text1"/>
          <w:sz w:val="32"/>
          <w14:textFill>
            <w14:solidFill>
              <w14:schemeClr w14:val="tx1"/>
            </w14:solidFill>
          </w14:textFill>
        </w:rPr>
        <w:t>第五章  合同主要条款 合同签订指引、供应商履约验收指引4</w:t>
      </w:r>
      <w:r>
        <w:rPr>
          <w:rFonts w:hint="eastAsia" w:ascii="宋体" w:hAnsi="宋体" w:eastAsia="宋体" w:cs="宋体"/>
          <w:b/>
          <w:color w:val="000000" w:themeColor="text1"/>
          <w:sz w:val="32"/>
          <w14:textFill>
            <w14:solidFill>
              <w14:schemeClr w14:val="tx1"/>
            </w14:solidFill>
          </w14:textFill>
        </w:rPr>
        <w:t>9</w:t>
      </w:r>
    </w:p>
    <w:p w14:paraId="0D3D6EF1">
      <w:pPr>
        <w:spacing w:line="800" w:lineRule="auto"/>
        <w:rPr>
          <w:rFonts w:hint="eastAsia" w:ascii="宋体" w:hAnsi="宋体" w:eastAsia="宋体" w:cs="宋体"/>
          <w:b/>
          <w:color w:val="000000" w:themeColor="text1"/>
          <w:sz w:val="32"/>
          <w14:textFill>
            <w14:solidFill>
              <w14:schemeClr w14:val="tx1"/>
            </w14:solidFill>
          </w14:textFill>
        </w:rPr>
      </w:pPr>
    </w:p>
    <w:p w14:paraId="08D5D0EC">
      <w:pPr>
        <w:spacing w:line="800" w:lineRule="auto"/>
        <w:rPr>
          <w:rFonts w:hint="eastAsia" w:ascii="宋体" w:hAnsi="宋体" w:eastAsia="宋体" w:cs="宋体"/>
          <w:b/>
          <w:color w:val="000000" w:themeColor="text1"/>
          <w:sz w:val="32"/>
          <w14:textFill>
            <w14:solidFill>
              <w14:schemeClr w14:val="tx1"/>
            </w14:solidFill>
          </w14:textFill>
        </w:rPr>
      </w:pPr>
    </w:p>
    <w:p w14:paraId="0DBC9826">
      <w:pPr>
        <w:spacing w:line="800" w:lineRule="auto"/>
        <w:rPr>
          <w:rFonts w:hint="eastAsia" w:ascii="宋体" w:hAnsi="宋体" w:eastAsia="宋体" w:cs="宋体"/>
          <w:b/>
          <w:color w:val="000000" w:themeColor="text1"/>
          <w:sz w:val="32"/>
          <w14:textFill>
            <w14:solidFill>
              <w14:schemeClr w14:val="tx1"/>
            </w14:solidFill>
          </w14:textFill>
        </w:rPr>
      </w:pPr>
    </w:p>
    <w:p w14:paraId="172595F1">
      <w:pPr>
        <w:spacing w:line="800" w:lineRule="auto"/>
        <w:ind w:firstLine="2249"/>
        <w:rPr>
          <w:rFonts w:hint="eastAsia" w:ascii="宋体" w:hAnsi="宋体" w:eastAsia="宋体" w:cs="宋体"/>
          <w:b/>
          <w:color w:val="000000" w:themeColor="text1"/>
          <w:sz w:val="32"/>
          <w14:textFill>
            <w14:solidFill>
              <w14:schemeClr w14:val="tx1"/>
            </w14:solidFill>
          </w14:textFill>
        </w:rPr>
      </w:pPr>
      <w:r>
        <w:rPr>
          <w:rFonts w:ascii="宋体" w:hAnsi="宋体" w:eastAsia="宋体" w:cs="宋体"/>
          <w:b/>
          <w:color w:val="000000" w:themeColor="text1"/>
          <w:sz w:val="32"/>
          <w14:textFill>
            <w14:solidFill>
              <w14:schemeClr w14:val="tx1"/>
            </w14:solidFill>
          </w14:textFill>
        </w:rPr>
        <w:t xml:space="preserve">     </w:t>
      </w:r>
    </w:p>
    <w:p w14:paraId="17F5F181">
      <w:pPr>
        <w:ind w:firstLine="420"/>
        <w:jc w:val="left"/>
        <w:rPr>
          <w:rFonts w:ascii="Times New Roman" w:hAnsi="Times New Roman" w:eastAsia="Times New Roman" w:cs="Times New Roman"/>
          <w:color w:val="000000" w:themeColor="text1"/>
          <w:sz w:val="22"/>
          <w14:textFill>
            <w14:solidFill>
              <w14:schemeClr w14:val="tx1"/>
            </w14:solidFill>
          </w14:textFill>
        </w:rPr>
      </w:pPr>
    </w:p>
    <w:p w14:paraId="513EA91F">
      <w:pPr>
        <w:ind w:firstLine="420"/>
        <w:jc w:val="left"/>
        <w:rPr>
          <w:rFonts w:ascii="Times New Roman" w:hAnsi="Times New Roman" w:cs="Times New Roman"/>
          <w:color w:val="000000" w:themeColor="text1"/>
          <w:sz w:val="22"/>
          <w14:textFill>
            <w14:solidFill>
              <w14:schemeClr w14:val="tx1"/>
            </w14:solidFill>
          </w14:textFill>
        </w:rPr>
      </w:pPr>
    </w:p>
    <w:p w14:paraId="6BEADA22">
      <w:pPr>
        <w:pStyle w:val="2"/>
        <w:ind w:firstLine="210"/>
        <w:rPr>
          <w:color w:val="000000" w:themeColor="text1"/>
          <w14:textFill>
            <w14:solidFill>
              <w14:schemeClr w14:val="tx1"/>
            </w14:solidFill>
          </w14:textFill>
        </w:rPr>
      </w:pPr>
    </w:p>
    <w:p w14:paraId="2BBF3C52">
      <w:pPr>
        <w:pStyle w:val="2"/>
        <w:ind w:firstLine="210"/>
        <w:rPr>
          <w:color w:val="000000" w:themeColor="text1"/>
          <w14:textFill>
            <w14:solidFill>
              <w14:schemeClr w14:val="tx1"/>
            </w14:solidFill>
          </w14:textFill>
        </w:rPr>
      </w:pPr>
    </w:p>
    <w:p w14:paraId="6279D3E7">
      <w:pPr>
        <w:ind w:firstLine="420"/>
        <w:jc w:val="left"/>
        <w:rPr>
          <w:rFonts w:hint="eastAsia" w:ascii="仿宋_GB2312" w:hAnsi="仿宋_GB2312" w:eastAsia="仿宋_GB2312" w:cs="仿宋_GB2312"/>
          <w:b/>
          <w:color w:val="000000" w:themeColor="text1"/>
          <w:sz w:val="32"/>
          <w14:textFill>
            <w14:solidFill>
              <w14:schemeClr w14:val="tx1"/>
            </w14:solidFill>
          </w14:textFill>
        </w:rPr>
      </w:pPr>
      <w:r>
        <w:rPr>
          <w:rFonts w:ascii="仿宋_GB2312" w:hAnsi="仿宋_GB2312" w:eastAsia="仿宋_GB2312" w:cs="仿宋_GB2312"/>
          <w:b/>
          <w:color w:val="000000" w:themeColor="text1"/>
          <w:sz w:val="32"/>
          <w14:textFill>
            <w14:solidFill>
              <w14:schemeClr w14:val="tx1"/>
            </w14:solidFill>
          </w14:textFill>
        </w:rPr>
        <w:t xml:space="preserve"> </w:t>
      </w:r>
    </w:p>
    <w:p w14:paraId="76C33502">
      <w:pPr>
        <w:jc w:val="center"/>
        <w:rPr>
          <w:rFonts w:hint="eastAsia" w:ascii="宋体" w:hAnsi="宋体" w:eastAsia="宋体" w:cs="宋体"/>
          <w:b/>
          <w:color w:val="000000" w:themeColor="text1"/>
          <w:sz w:val="32"/>
          <w14:textFill>
            <w14:solidFill>
              <w14:schemeClr w14:val="tx1"/>
            </w14:solidFill>
          </w14:textFill>
        </w:rPr>
      </w:pPr>
      <w:r>
        <w:rPr>
          <w:rFonts w:ascii="宋体" w:hAnsi="宋体" w:eastAsia="宋体" w:cs="宋体"/>
          <w:b/>
          <w:color w:val="000000" w:themeColor="text1"/>
          <w:sz w:val="32"/>
          <w14:textFill>
            <w14:solidFill>
              <w14:schemeClr w14:val="tx1"/>
            </w14:solidFill>
          </w14:textFill>
        </w:rPr>
        <w:t>第一章    竞争性磋商邀请函</w:t>
      </w:r>
    </w:p>
    <w:p w14:paraId="39D583BD">
      <w:pPr>
        <w:ind w:firstLine="48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项目概况</w:t>
      </w:r>
    </w:p>
    <w:p w14:paraId="4F2BC6CC">
      <w:pPr>
        <w:spacing w:line="360" w:lineRule="auto"/>
        <w:ind w:firstLine="48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周口市水利局主要拦河闸水文监测设施水毁修复设备采购项目</w:t>
      </w:r>
      <w:r>
        <w:rPr>
          <w:rFonts w:ascii="宋体" w:hAnsi="宋体" w:eastAsia="宋体" w:cs="宋体"/>
          <w:color w:val="000000" w:themeColor="text1"/>
          <w:sz w:val="24"/>
          <w14:textFill>
            <w14:solidFill>
              <w14:schemeClr w14:val="tx1"/>
            </w14:solidFill>
          </w14:textFill>
        </w:rPr>
        <w:t>的潜在供应商应在周口市公共资源交易中心网获取采购文件，并于</w:t>
      </w:r>
      <w:r>
        <w:rPr>
          <w:rFonts w:hint="eastAsia" w:ascii="宋体" w:hAnsi="宋体" w:eastAsia="宋体" w:cs="宋体"/>
          <w:color w:val="000000" w:themeColor="text1"/>
          <w:sz w:val="24"/>
          <w14:textFill>
            <w14:solidFill>
              <w14:schemeClr w14:val="tx1"/>
            </w14:solidFill>
          </w14:textFill>
        </w:rPr>
        <w:t>2025</w:t>
      </w:r>
      <w:r>
        <w:rPr>
          <w:rFonts w:ascii="宋体" w:hAnsi="宋体" w:eastAsia="宋体" w:cs="宋体"/>
          <w:color w:val="000000" w:themeColor="text1"/>
          <w:sz w:val="24"/>
          <w14:textFill>
            <w14:solidFill>
              <w14:schemeClr w14:val="tx1"/>
            </w14:solidFill>
          </w14:textFill>
        </w:rPr>
        <w:t xml:space="preserve"> 年</w:t>
      </w:r>
      <w:r>
        <w:rPr>
          <w:rFonts w:hint="eastAsia" w:ascii="宋体" w:hAnsi="宋体" w:eastAsia="宋体" w:cs="宋体"/>
          <w:color w:val="000000" w:themeColor="text1"/>
          <w:sz w:val="24"/>
          <w:lang w:val="en-US" w:eastAsia="zh-CN"/>
          <w14:textFill>
            <w14:solidFill>
              <w14:schemeClr w14:val="tx1"/>
            </w14:solidFill>
          </w14:textFill>
        </w:rPr>
        <w:t>10</w:t>
      </w:r>
      <w:r>
        <w:rPr>
          <w:rFonts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lang w:val="en-US" w:eastAsia="zh-CN"/>
          <w14:textFill>
            <w14:solidFill>
              <w14:schemeClr w14:val="tx1"/>
            </w14:solidFill>
          </w14:textFill>
        </w:rPr>
        <w:t>9</w:t>
      </w:r>
      <w:r>
        <w:rPr>
          <w:rFonts w:ascii="宋体" w:hAnsi="宋体" w:eastAsia="宋体" w:cs="宋体"/>
          <w:color w:val="000000" w:themeColor="text1"/>
          <w:sz w:val="24"/>
          <w14:textFill>
            <w14:solidFill>
              <w14:schemeClr w14:val="tx1"/>
            </w14:solidFill>
          </w14:textFill>
        </w:rPr>
        <w:t>日</w:t>
      </w:r>
      <w:r>
        <w:rPr>
          <w:rFonts w:hint="eastAsia" w:ascii="宋体" w:hAnsi="宋体" w:eastAsia="宋体" w:cs="宋体"/>
          <w:color w:val="000000" w:themeColor="text1"/>
          <w:sz w:val="24"/>
          <w:lang w:val="en-US" w:eastAsia="zh-CN"/>
          <w14:textFill>
            <w14:solidFill>
              <w14:schemeClr w14:val="tx1"/>
            </w14:solidFill>
          </w14:textFill>
        </w:rPr>
        <w:t>10</w:t>
      </w:r>
      <w:r>
        <w:rPr>
          <w:rFonts w:ascii="宋体" w:hAnsi="宋体" w:eastAsia="宋体" w:cs="宋体"/>
          <w:color w:val="000000" w:themeColor="text1"/>
          <w:sz w:val="24"/>
          <w14:textFill>
            <w14:solidFill>
              <w14:schemeClr w14:val="tx1"/>
            </w14:solidFill>
          </w14:textFill>
        </w:rPr>
        <w:t xml:space="preserve">    点</w:t>
      </w:r>
      <w:r>
        <w:rPr>
          <w:rFonts w:hint="eastAsia" w:ascii="宋体" w:hAnsi="宋体" w:eastAsia="宋体" w:cs="宋体"/>
          <w:color w:val="000000" w:themeColor="text1"/>
          <w:sz w:val="24"/>
          <w:lang w:val="en-US" w:eastAsia="zh-CN"/>
          <w14:textFill>
            <w14:solidFill>
              <w14:schemeClr w14:val="tx1"/>
            </w14:solidFill>
          </w14:textFill>
        </w:rPr>
        <w:t>00</w:t>
      </w:r>
      <w:r>
        <w:rPr>
          <w:rFonts w:ascii="宋体" w:hAnsi="宋体" w:eastAsia="宋体" w:cs="宋体"/>
          <w:color w:val="000000" w:themeColor="text1"/>
          <w:sz w:val="24"/>
          <w14:textFill>
            <w14:solidFill>
              <w14:schemeClr w14:val="tx1"/>
            </w14:solidFill>
          </w14:textFill>
        </w:rPr>
        <w:t>分（北京时间）前提交响应文件。</w:t>
      </w:r>
    </w:p>
    <w:p w14:paraId="5D76517B">
      <w:pPr>
        <w:spacing w:line="360" w:lineRule="auto"/>
        <w:jc w:val="left"/>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一、项目基本情况</w:t>
      </w:r>
    </w:p>
    <w:p w14:paraId="1F20BF91">
      <w:pPr>
        <w:spacing w:line="3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项目编号：</w:t>
      </w:r>
      <w:r>
        <w:rPr>
          <w:rFonts w:hint="eastAsia" w:ascii="宋体" w:hAnsi="宋体" w:eastAsia="宋体" w:cs="宋体"/>
          <w:color w:val="000000" w:themeColor="text1"/>
          <w:sz w:val="24"/>
          <w14:textFill>
            <w14:solidFill>
              <w14:schemeClr w14:val="tx1"/>
            </w14:solidFill>
          </w14:textFill>
        </w:rPr>
        <w:t>周财磋商采购-2025-100</w:t>
      </w:r>
    </w:p>
    <w:p w14:paraId="4661D606">
      <w:pPr>
        <w:spacing w:line="360" w:lineRule="auto"/>
        <w:ind w:firstLine="480"/>
        <w:rPr>
          <w:rFonts w:ascii="Times New Roman" w:hAnsi="Times New Roman" w:eastAsia="Times New Roman" w:cs="Times New Roman"/>
          <w:color w:val="000000" w:themeColor="text1"/>
          <w:sz w:val="24"/>
          <w:u w:val="single"/>
          <w14:textFill>
            <w14:solidFill>
              <w14:schemeClr w14:val="tx1"/>
            </w14:solidFill>
          </w14:textFill>
        </w:rPr>
      </w:pPr>
      <w:r>
        <w:rPr>
          <w:rFonts w:ascii="宋体" w:hAnsi="宋体" w:eastAsia="宋体" w:cs="宋体"/>
          <w:color w:val="000000" w:themeColor="text1"/>
          <w:sz w:val="24"/>
          <w14:textFill>
            <w14:solidFill>
              <w14:schemeClr w14:val="tx1"/>
            </w14:solidFill>
          </w14:textFill>
        </w:rPr>
        <w:t>项目名称：</w:t>
      </w:r>
      <w:r>
        <w:rPr>
          <w:rFonts w:hint="eastAsia" w:ascii="宋体" w:hAnsi="宋体" w:eastAsia="宋体" w:cs="宋体"/>
          <w:color w:val="000000" w:themeColor="text1"/>
          <w:sz w:val="24"/>
          <w14:textFill>
            <w14:solidFill>
              <w14:schemeClr w14:val="tx1"/>
            </w14:solidFill>
          </w14:textFill>
        </w:rPr>
        <w:t>周口市水利局主要拦河闸水文监测设施水毁修复设备采购项目</w:t>
      </w:r>
    </w:p>
    <w:p w14:paraId="325C6E6F">
      <w:pPr>
        <w:spacing w:line="360" w:lineRule="auto"/>
        <w:ind w:firstLine="48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采购方式：竞争性磋商</w:t>
      </w:r>
    </w:p>
    <w:p w14:paraId="1F057264">
      <w:pPr>
        <w:spacing w:line="360" w:lineRule="auto"/>
        <w:ind w:firstLine="48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预算金额：</w:t>
      </w:r>
      <w:r>
        <w:rPr>
          <w:rFonts w:hint="eastAsia" w:ascii="宋体" w:hAnsi="宋体" w:eastAsia="宋体" w:cs="宋体"/>
          <w:color w:val="000000" w:themeColor="text1"/>
          <w:sz w:val="24"/>
          <w14:textFill>
            <w14:solidFill>
              <w14:schemeClr w14:val="tx1"/>
            </w14:solidFill>
          </w14:textFill>
        </w:rPr>
        <w:t>99.8814万元</w:t>
      </w:r>
    </w:p>
    <w:p w14:paraId="2F02268B">
      <w:pPr>
        <w:spacing w:line="360" w:lineRule="auto"/>
        <w:ind w:firstLine="48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最高限价：</w:t>
      </w:r>
      <w:r>
        <w:rPr>
          <w:rFonts w:hint="eastAsia" w:ascii="宋体" w:hAnsi="宋体" w:eastAsia="宋体" w:cs="宋体"/>
          <w:color w:val="000000" w:themeColor="text1"/>
          <w:sz w:val="24"/>
          <w14:textFill>
            <w14:solidFill>
              <w14:schemeClr w14:val="tx1"/>
            </w14:solidFill>
          </w14:textFill>
        </w:rPr>
        <w:t>99.8814万元</w:t>
      </w:r>
    </w:p>
    <w:p w14:paraId="008D6F87">
      <w:pPr>
        <w:spacing w:line="3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包划分：</w:t>
      </w:r>
      <w:r>
        <w:rPr>
          <w:rFonts w:hint="eastAsia" w:ascii="宋体" w:hAnsi="宋体" w:eastAsia="宋体" w:cs="宋体"/>
          <w:color w:val="000000" w:themeColor="text1"/>
          <w:sz w:val="24"/>
          <w14:textFill>
            <w14:solidFill>
              <w14:schemeClr w14:val="tx1"/>
            </w14:solidFill>
          </w14:textFill>
        </w:rPr>
        <w:t>1</w:t>
      </w:r>
      <w:r>
        <w:rPr>
          <w:rFonts w:ascii="宋体" w:hAnsi="宋体" w:eastAsia="宋体" w:cs="宋体"/>
          <w:color w:val="000000" w:themeColor="text1"/>
          <w:sz w:val="24"/>
          <w14:textFill>
            <w14:solidFill>
              <w14:schemeClr w14:val="tx1"/>
            </w14:solidFill>
          </w14:textFill>
        </w:rPr>
        <w:t>个包</w:t>
      </w:r>
    </w:p>
    <w:tbl>
      <w:tblPr>
        <w:tblStyle w:val="8"/>
        <w:tblW w:w="0" w:type="auto"/>
        <w:tblInd w:w="0" w:type="dxa"/>
        <w:tblLayout w:type="autofit"/>
        <w:tblCellMar>
          <w:top w:w="0" w:type="dxa"/>
          <w:left w:w="10" w:type="dxa"/>
          <w:bottom w:w="0" w:type="dxa"/>
          <w:right w:w="10" w:type="dxa"/>
        </w:tblCellMar>
      </w:tblPr>
      <w:tblGrid>
        <w:gridCol w:w="1526"/>
        <w:gridCol w:w="4111"/>
        <w:gridCol w:w="2221"/>
      </w:tblGrid>
      <w:tr w14:paraId="5AE55B06">
        <w:tblPrEx>
          <w:tblCellMar>
            <w:top w:w="0" w:type="dxa"/>
            <w:left w:w="10" w:type="dxa"/>
            <w:bottom w:w="0" w:type="dxa"/>
            <w:right w:w="10" w:type="dxa"/>
          </w:tblCellMar>
        </w:tblPrEx>
        <w:trPr>
          <w:trHeight w:val="1" w:hRule="atLeast"/>
        </w:trPr>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FC3707">
            <w:pPr>
              <w:spacing w:line="360" w:lineRule="auto"/>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shd w:val="clear" w:color="auto" w:fill="FFFFFF"/>
                <w14:textFill>
                  <w14:solidFill>
                    <w14:schemeClr w14:val="tx1"/>
                  </w14:solidFill>
                </w14:textFill>
              </w:rPr>
              <w:t>包号</w:t>
            </w:r>
          </w:p>
        </w:tc>
        <w:tc>
          <w:tcPr>
            <w:tcW w:w="41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D7EF19">
            <w:pPr>
              <w:spacing w:line="360" w:lineRule="auto"/>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shd w:val="clear" w:color="auto" w:fill="FFFFFF"/>
                <w14:textFill>
                  <w14:solidFill>
                    <w14:schemeClr w14:val="tx1"/>
                  </w14:solidFill>
                </w14:textFill>
              </w:rPr>
              <w:t>包名称</w:t>
            </w:r>
          </w:p>
        </w:tc>
        <w:tc>
          <w:tcPr>
            <w:tcW w:w="22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FC5212">
            <w:pPr>
              <w:spacing w:line="360" w:lineRule="auto"/>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shd w:val="clear" w:color="auto" w:fill="FFFFFF"/>
                <w14:textFill>
                  <w14:solidFill>
                    <w14:schemeClr w14:val="tx1"/>
                  </w14:solidFill>
                </w14:textFill>
              </w:rPr>
              <w:t>包最高限价万元</w:t>
            </w:r>
          </w:p>
        </w:tc>
      </w:tr>
      <w:tr w14:paraId="3F693204">
        <w:tblPrEx>
          <w:tblCellMar>
            <w:top w:w="0" w:type="dxa"/>
            <w:left w:w="10" w:type="dxa"/>
            <w:bottom w:w="0" w:type="dxa"/>
            <w:right w:w="10" w:type="dxa"/>
          </w:tblCellMar>
        </w:tblPrEx>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1E7E5">
            <w:pPr>
              <w:spacing w:line="360" w:lineRule="auto"/>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shd w:val="clear" w:color="auto" w:fill="FFFFFF"/>
                <w14:textFill>
                  <w14:solidFill>
                    <w14:schemeClr w14:val="tx1"/>
                  </w14:solidFill>
                </w14:textFill>
              </w:rPr>
              <w:t>1</w:t>
            </w:r>
          </w:p>
        </w:tc>
        <w:tc>
          <w:tcPr>
            <w:tcW w:w="41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8A198E">
            <w:pPr>
              <w:spacing w:line="360" w:lineRule="auto"/>
              <w:rPr>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周口市水利局主要拦河闸水文监测设施水毁修复设备采购项目</w:t>
            </w:r>
          </w:p>
        </w:tc>
        <w:tc>
          <w:tcPr>
            <w:tcW w:w="22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031C81">
            <w:pPr>
              <w:spacing w:line="360" w:lineRule="auto"/>
              <w:ind w:firstLine="48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99.8814</w:t>
            </w:r>
          </w:p>
        </w:tc>
      </w:tr>
    </w:tbl>
    <w:p w14:paraId="41B0A349">
      <w:pPr>
        <w:spacing w:line="360" w:lineRule="auto"/>
        <w:ind w:firstLine="48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采购需求：</w:t>
      </w:r>
      <w:r>
        <w:rPr>
          <w:rFonts w:hint="eastAsia" w:ascii="宋体" w:hAnsi="宋体" w:eastAsia="宋体" w:cs="宋体"/>
          <w:color w:val="000000" w:themeColor="text1"/>
          <w:sz w:val="24"/>
          <w14:textFill>
            <w14:solidFill>
              <w14:schemeClr w14:val="tx1"/>
            </w14:solidFill>
          </w14:textFill>
        </w:rPr>
        <w:t>周口市水利局主要拦河闸水文监测设施水毁修复设备采购项目，详见竞争性磋商文件</w:t>
      </w:r>
      <w:r>
        <w:rPr>
          <w:rFonts w:ascii="宋体" w:hAnsi="宋体" w:eastAsia="宋体" w:cs="宋体"/>
          <w:color w:val="000000" w:themeColor="text1"/>
          <w:sz w:val="24"/>
          <w14:textFill>
            <w14:solidFill>
              <w14:schemeClr w14:val="tx1"/>
            </w14:solidFill>
          </w14:textFill>
        </w:rPr>
        <w:t>（包括但不限于标的的名称、数量、简要技术需求或服务要求等）</w:t>
      </w:r>
    </w:p>
    <w:p w14:paraId="30750D93">
      <w:pPr>
        <w:spacing w:line="360" w:lineRule="auto"/>
        <w:ind w:firstLine="48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合同履行期限：</w:t>
      </w:r>
      <w:r>
        <w:rPr>
          <w:rFonts w:hint="eastAsia" w:ascii="宋体" w:hAnsi="宋体" w:eastAsia="宋体" w:cs="宋体"/>
          <w:color w:val="000000" w:themeColor="text1"/>
          <w:sz w:val="24"/>
          <w14:textFill>
            <w14:solidFill>
              <w14:schemeClr w14:val="tx1"/>
            </w14:solidFill>
          </w14:textFill>
        </w:rPr>
        <w:t>合同签订后60日历天</w:t>
      </w:r>
    </w:p>
    <w:p w14:paraId="15968304">
      <w:pPr>
        <w:spacing w:line="360" w:lineRule="auto"/>
        <w:ind w:firstLine="480" w:firstLineChars="20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是否接受进口产品：否</w:t>
      </w:r>
    </w:p>
    <w:p w14:paraId="4A2CF649">
      <w:pPr>
        <w:spacing w:line="360" w:lineRule="auto"/>
        <w:ind w:firstLine="480" w:firstLineChars="20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本项目是否接受联合体投标：否</w:t>
      </w:r>
    </w:p>
    <w:p w14:paraId="39F13373">
      <w:pPr>
        <w:spacing w:line="360" w:lineRule="auto"/>
        <w:ind w:firstLine="480" w:firstLineChars="20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本项目是否为只面向中小企业采购：否</w:t>
      </w:r>
    </w:p>
    <w:p w14:paraId="754F8FF3">
      <w:pPr>
        <w:spacing w:line="360" w:lineRule="auto"/>
        <w:jc w:val="left"/>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二、申请人的资格要求：</w:t>
      </w:r>
    </w:p>
    <w:p w14:paraId="085260EE">
      <w:pPr>
        <w:spacing w:line="360" w:lineRule="auto"/>
        <w:ind w:firstLine="540"/>
        <w:rPr>
          <w:rFonts w:ascii="Times New Roman" w:hAnsi="Times New Roman" w:eastAsia="Times New Roman" w:cs="Times New Roman"/>
          <w:color w:val="000000" w:themeColor="text1"/>
          <w:sz w:val="24"/>
          <w14:textFill>
            <w14:solidFill>
              <w14:schemeClr w14:val="tx1"/>
            </w14:solidFill>
          </w14:textFill>
        </w:rPr>
      </w:pPr>
      <w:r>
        <w:rPr>
          <w:rFonts w:ascii="Times New Roman" w:hAnsi="Times New Roman" w:eastAsia="Times New Roman" w:cs="Times New Roman"/>
          <w:color w:val="000000" w:themeColor="text1"/>
          <w:sz w:val="24"/>
          <w14:textFill>
            <w14:solidFill>
              <w14:schemeClr w14:val="tx1"/>
            </w14:solidFill>
          </w14:textFill>
        </w:rPr>
        <w:t>1.</w:t>
      </w:r>
      <w:r>
        <w:rPr>
          <w:rFonts w:ascii="宋体" w:hAnsi="宋体" w:eastAsia="宋体" w:cs="宋体"/>
          <w:color w:val="000000" w:themeColor="text1"/>
          <w:sz w:val="24"/>
          <w14:textFill>
            <w14:solidFill>
              <w14:schemeClr w14:val="tx1"/>
            </w14:solidFill>
          </w14:textFill>
        </w:rPr>
        <w:t>满足《中华人民共和国政府采购法》第二十二条规定；</w:t>
      </w:r>
    </w:p>
    <w:p w14:paraId="5B5D437B">
      <w:pPr>
        <w:spacing w:line="360" w:lineRule="auto"/>
        <w:ind w:firstLine="48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w:t>
      </w:r>
      <w:r>
        <w:rPr>
          <w:rFonts w:ascii="Times New Roman" w:hAnsi="Times New Roman" w:eastAsia="Times New Roman" w:cs="Times New Roman"/>
          <w:color w:val="000000" w:themeColor="text1"/>
          <w:sz w:val="24"/>
          <w14:textFill>
            <w14:solidFill>
              <w14:schemeClr w14:val="tx1"/>
            </w14:solidFill>
          </w14:textFill>
        </w:rPr>
        <w:t>1</w:t>
      </w:r>
      <w:r>
        <w:rPr>
          <w:rFonts w:ascii="宋体" w:hAnsi="宋体" w:eastAsia="宋体" w:cs="宋体"/>
          <w:color w:val="000000" w:themeColor="text1"/>
          <w:sz w:val="24"/>
          <w14:textFill>
            <w14:solidFill>
              <w14:schemeClr w14:val="tx1"/>
            </w14:solidFill>
          </w14:textFill>
        </w:rPr>
        <w:t>）具有独立承担民事责任的能力；</w:t>
      </w:r>
      <w:r>
        <w:rPr>
          <w:rFonts w:ascii="Times New Roman" w:hAnsi="Times New Roman" w:eastAsia="Times New Roman" w:cs="Times New Roman"/>
          <w:color w:val="000000" w:themeColor="text1"/>
          <w:sz w:val="24"/>
          <w14:textFill>
            <w14:solidFill>
              <w14:schemeClr w14:val="tx1"/>
            </w14:solidFill>
          </w14:textFill>
        </w:rPr>
        <w:t xml:space="preserve"> </w:t>
      </w:r>
    </w:p>
    <w:p w14:paraId="23F2A84B">
      <w:pPr>
        <w:spacing w:line="360" w:lineRule="auto"/>
        <w:ind w:firstLine="48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w:t>
      </w:r>
      <w:r>
        <w:rPr>
          <w:rFonts w:ascii="Times New Roman" w:hAnsi="Times New Roman" w:eastAsia="Times New Roman" w:cs="Times New Roman"/>
          <w:color w:val="000000" w:themeColor="text1"/>
          <w:sz w:val="24"/>
          <w14:textFill>
            <w14:solidFill>
              <w14:schemeClr w14:val="tx1"/>
            </w14:solidFill>
          </w14:textFill>
        </w:rPr>
        <w:t>2</w:t>
      </w:r>
      <w:r>
        <w:rPr>
          <w:rFonts w:ascii="宋体" w:hAnsi="宋体" w:eastAsia="宋体" w:cs="宋体"/>
          <w:color w:val="000000" w:themeColor="text1"/>
          <w:sz w:val="24"/>
          <w14:textFill>
            <w14:solidFill>
              <w14:schemeClr w14:val="tx1"/>
            </w14:solidFill>
          </w14:textFill>
        </w:rPr>
        <w:t>）具有良好的商业信誉和健全的财务会计制度；</w:t>
      </w:r>
      <w:r>
        <w:rPr>
          <w:rFonts w:ascii="Times New Roman" w:hAnsi="Times New Roman" w:eastAsia="Times New Roman" w:cs="Times New Roman"/>
          <w:color w:val="000000" w:themeColor="text1"/>
          <w:sz w:val="24"/>
          <w14:textFill>
            <w14:solidFill>
              <w14:schemeClr w14:val="tx1"/>
            </w14:solidFill>
          </w14:textFill>
        </w:rPr>
        <w:t xml:space="preserve"> </w:t>
      </w:r>
    </w:p>
    <w:p w14:paraId="2F2EFA39">
      <w:pPr>
        <w:spacing w:line="360" w:lineRule="auto"/>
        <w:ind w:firstLine="48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w:t>
      </w:r>
      <w:r>
        <w:rPr>
          <w:rFonts w:ascii="Times New Roman" w:hAnsi="Times New Roman" w:eastAsia="Times New Roman" w:cs="Times New Roman"/>
          <w:color w:val="000000" w:themeColor="text1"/>
          <w:sz w:val="24"/>
          <w14:textFill>
            <w14:solidFill>
              <w14:schemeClr w14:val="tx1"/>
            </w14:solidFill>
          </w14:textFill>
        </w:rPr>
        <w:t>3</w:t>
      </w:r>
      <w:r>
        <w:rPr>
          <w:rFonts w:ascii="宋体" w:hAnsi="宋体" w:eastAsia="宋体" w:cs="宋体"/>
          <w:color w:val="000000" w:themeColor="text1"/>
          <w:sz w:val="24"/>
          <w14:textFill>
            <w14:solidFill>
              <w14:schemeClr w14:val="tx1"/>
            </w14:solidFill>
          </w14:textFill>
        </w:rPr>
        <w:t>）具有履行合同所必需的设备和专业技术能力；</w:t>
      </w:r>
      <w:r>
        <w:rPr>
          <w:rFonts w:ascii="Times New Roman" w:hAnsi="Times New Roman" w:eastAsia="Times New Roman" w:cs="Times New Roman"/>
          <w:color w:val="000000" w:themeColor="text1"/>
          <w:sz w:val="24"/>
          <w14:textFill>
            <w14:solidFill>
              <w14:schemeClr w14:val="tx1"/>
            </w14:solidFill>
          </w14:textFill>
        </w:rPr>
        <w:t xml:space="preserve"> </w:t>
      </w:r>
    </w:p>
    <w:p w14:paraId="3842204B">
      <w:pPr>
        <w:spacing w:line="360" w:lineRule="auto"/>
        <w:ind w:firstLine="48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w:t>
      </w:r>
      <w:r>
        <w:rPr>
          <w:rFonts w:ascii="Times New Roman" w:hAnsi="Times New Roman" w:eastAsia="Times New Roman" w:cs="Times New Roman"/>
          <w:color w:val="000000" w:themeColor="text1"/>
          <w:sz w:val="24"/>
          <w14:textFill>
            <w14:solidFill>
              <w14:schemeClr w14:val="tx1"/>
            </w14:solidFill>
          </w14:textFill>
        </w:rPr>
        <w:t>4</w:t>
      </w:r>
      <w:r>
        <w:rPr>
          <w:rFonts w:ascii="宋体" w:hAnsi="宋体" w:eastAsia="宋体" w:cs="宋体"/>
          <w:color w:val="000000" w:themeColor="text1"/>
          <w:sz w:val="24"/>
          <w14:textFill>
            <w14:solidFill>
              <w14:schemeClr w14:val="tx1"/>
            </w14:solidFill>
          </w14:textFill>
        </w:rPr>
        <w:t>）有依法缴纳税收和社会保障资金的良好记录；</w:t>
      </w:r>
      <w:r>
        <w:rPr>
          <w:rFonts w:ascii="Times New Roman" w:hAnsi="Times New Roman" w:eastAsia="Times New Roman" w:cs="Times New Roman"/>
          <w:color w:val="000000" w:themeColor="text1"/>
          <w:sz w:val="24"/>
          <w14:textFill>
            <w14:solidFill>
              <w14:schemeClr w14:val="tx1"/>
            </w14:solidFill>
          </w14:textFill>
        </w:rPr>
        <w:t xml:space="preserve"> </w:t>
      </w:r>
    </w:p>
    <w:p w14:paraId="5BDDB0F1">
      <w:pPr>
        <w:spacing w:line="360" w:lineRule="auto"/>
        <w:ind w:firstLine="48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w:t>
      </w:r>
      <w:r>
        <w:rPr>
          <w:rFonts w:ascii="Times New Roman" w:hAnsi="Times New Roman" w:eastAsia="Times New Roman" w:cs="Times New Roman"/>
          <w:color w:val="000000" w:themeColor="text1"/>
          <w:sz w:val="24"/>
          <w14:textFill>
            <w14:solidFill>
              <w14:schemeClr w14:val="tx1"/>
            </w14:solidFill>
          </w14:textFill>
        </w:rPr>
        <w:t>5</w:t>
      </w:r>
      <w:r>
        <w:rPr>
          <w:rFonts w:ascii="宋体" w:hAnsi="宋体" w:eastAsia="宋体" w:cs="宋体"/>
          <w:color w:val="000000" w:themeColor="text1"/>
          <w:sz w:val="24"/>
          <w14:textFill>
            <w14:solidFill>
              <w14:schemeClr w14:val="tx1"/>
            </w14:solidFill>
          </w14:textFill>
        </w:rPr>
        <w:t>）参加政府采购活动前三年内，在经营活动中没有重大违法记录；</w:t>
      </w:r>
      <w:r>
        <w:rPr>
          <w:rFonts w:ascii="Times New Roman" w:hAnsi="Times New Roman" w:eastAsia="Times New Roman" w:cs="Times New Roman"/>
          <w:color w:val="000000" w:themeColor="text1"/>
          <w:sz w:val="24"/>
          <w14:textFill>
            <w14:solidFill>
              <w14:schemeClr w14:val="tx1"/>
            </w14:solidFill>
          </w14:textFill>
        </w:rPr>
        <w:t xml:space="preserve"> </w:t>
      </w:r>
    </w:p>
    <w:p w14:paraId="62D9E344">
      <w:pPr>
        <w:spacing w:line="360" w:lineRule="auto"/>
        <w:ind w:firstLine="48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w:t>
      </w:r>
      <w:r>
        <w:rPr>
          <w:rFonts w:ascii="Times New Roman" w:hAnsi="Times New Roman" w:eastAsia="Times New Roman" w:cs="Times New Roman"/>
          <w:color w:val="000000" w:themeColor="text1"/>
          <w:sz w:val="24"/>
          <w14:textFill>
            <w14:solidFill>
              <w14:schemeClr w14:val="tx1"/>
            </w14:solidFill>
          </w14:textFill>
        </w:rPr>
        <w:t>6</w:t>
      </w:r>
      <w:r>
        <w:rPr>
          <w:rFonts w:ascii="宋体" w:hAnsi="宋体" w:eastAsia="宋体" w:cs="宋体"/>
          <w:color w:val="000000" w:themeColor="text1"/>
          <w:sz w:val="24"/>
          <w14:textFill>
            <w14:solidFill>
              <w14:schemeClr w14:val="tx1"/>
            </w14:solidFill>
          </w14:textFill>
        </w:rPr>
        <w:t>）法律、行政法规规定的其他条件。</w:t>
      </w:r>
      <w:r>
        <w:rPr>
          <w:rFonts w:ascii="Times New Roman" w:hAnsi="Times New Roman" w:eastAsia="Times New Roman" w:cs="Times New Roman"/>
          <w:color w:val="000000" w:themeColor="text1"/>
          <w:sz w:val="24"/>
          <w14:textFill>
            <w14:solidFill>
              <w14:schemeClr w14:val="tx1"/>
            </w14:solidFill>
          </w14:textFill>
        </w:rPr>
        <w:t xml:space="preserve"> </w:t>
      </w:r>
    </w:p>
    <w:p w14:paraId="5BF0A01D">
      <w:pPr>
        <w:spacing w:line="360" w:lineRule="auto"/>
        <w:ind w:firstLine="540"/>
        <w:rPr>
          <w:rFonts w:ascii="Times New Roman" w:hAnsi="Times New Roman" w:eastAsia="Times New Roman" w:cs="Times New Roman"/>
          <w:color w:val="000000" w:themeColor="text1"/>
          <w:sz w:val="24"/>
          <w14:textFill>
            <w14:solidFill>
              <w14:schemeClr w14:val="tx1"/>
            </w14:solidFill>
          </w14:textFill>
        </w:rPr>
      </w:pPr>
      <w:r>
        <w:rPr>
          <w:rFonts w:ascii="Times New Roman" w:hAnsi="Times New Roman" w:eastAsia="Times New Roman" w:cs="Times New Roman"/>
          <w:color w:val="000000" w:themeColor="text1"/>
          <w:sz w:val="24"/>
          <w14:textFill>
            <w14:solidFill>
              <w14:schemeClr w14:val="tx1"/>
            </w14:solidFill>
          </w14:textFill>
        </w:rPr>
        <w:t>2.</w:t>
      </w:r>
      <w:r>
        <w:rPr>
          <w:rFonts w:ascii="宋体" w:hAnsi="宋体" w:eastAsia="宋体" w:cs="宋体"/>
          <w:color w:val="000000" w:themeColor="text1"/>
          <w:sz w:val="24"/>
          <w14:textFill>
            <w14:solidFill>
              <w14:schemeClr w14:val="tx1"/>
            </w14:solidFill>
          </w14:textFill>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000000" w:themeColor="text1"/>
          <w:sz w:val="24"/>
          <w14:textFill>
            <w14:solidFill>
              <w14:schemeClr w14:val="tx1"/>
            </w14:solidFill>
          </w14:textFill>
        </w:rPr>
        <w:t xml:space="preserve"> </w:t>
      </w:r>
    </w:p>
    <w:p w14:paraId="393B4E67">
      <w:pPr>
        <w:adjustRightInd w:val="0"/>
        <w:snapToGrid w:val="0"/>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ascii="Times New Roman" w:hAnsi="Times New Roman" w:eastAsia="Times New Roman" w:cs="Times New Roman"/>
          <w:color w:val="000000" w:themeColor="text1"/>
          <w:sz w:val="24"/>
          <w14:textFill>
            <w14:solidFill>
              <w14:schemeClr w14:val="tx1"/>
            </w14:solidFill>
          </w14:textFill>
        </w:rPr>
        <w:t>3.</w:t>
      </w:r>
      <w:r>
        <w:rPr>
          <w:rFonts w:ascii="宋体" w:hAnsi="宋体" w:eastAsia="宋体" w:cs="宋体"/>
          <w:color w:val="000000" w:themeColor="text1"/>
          <w:sz w:val="24"/>
          <w14:textFill>
            <w14:solidFill>
              <w14:schemeClr w14:val="tx1"/>
            </w14:solidFill>
          </w14:textFill>
        </w:rPr>
        <w:t>本项目的特定资格要求：</w:t>
      </w:r>
      <w:r>
        <w:rPr>
          <w:rFonts w:hint="eastAsia" w:ascii="宋体" w:hAnsi="宋体" w:cs="宋体"/>
          <w:bCs/>
          <w:color w:val="000000" w:themeColor="text1"/>
          <w:sz w:val="24"/>
          <w14:textFill>
            <w14:solidFill>
              <w14:schemeClr w14:val="tx1"/>
            </w14:solidFill>
          </w14:textFill>
        </w:rPr>
        <w:t>根据《关于在政府采购活动中查询及使用信用记录有关问题的通知》（财库[2016]125号）和豫财购【2016】15号的规定，</w:t>
      </w:r>
      <w:r>
        <w:rPr>
          <w:rFonts w:hint="eastAsia" w:ascii="宋体" w:hAnsi="宋体" w:cs="宋体"/>
          <w:color w:val="000000" w:themeColor="text1"/>
          <w:sz w:val="24"/>
          <w14:textFill>
            <w14:solidFill>
              <w14:schemeClr w14:val="tx1"/>
            </w14:solidFill>
          </w14:textFill>
        </w:rPr>
        <w:t>对列入失信被执行人、重大税收违法失信主体、政府采购严重违法失信行为记录名单，拒绝其参与本次政府采购活动</w:t>
      </w:r>
      <w:r>
        <w:rPr>
          <w:rFonts w:hint="eastAsia" w:ascii="宋体" w:hAnsi="宋体" w:cs="宋体"/>
          <w:bCs/>
          <w:color w:val="000000" w:themeColor="text1"/>
          <w:sz w:val="24"/>
          <w14:textFill>
            <w14:solidFill>
              <w14:schemeClr w14:val="tx1"/>
            </w14:solidFill>
          </w14:textFill>
        </w:rPr>
        <w:t>。供应商须通过“信用中国”网站（www.creditchina.gov.cn)、“中国执行信息公开网”（zxgk.court.gov.cn）对“列入失信被执行人、重大税收违法失信主体名单、政府采购严重违法失信行为记录名单”企业和法定代表人的查询，通</w:t>
      </w:r>
      <w:r>
        <w:rPr>
          <w:rFonts w:hint="eastAsia" w:ascii="宋体" w:hAnsi="宋体" w:cs="宋体"/>
          <w:color w:val="000000" w:themeColor="text1"/>
          <w:sz w:val="24"/>
          <w14:textFill>
            <w14:solidFill>
              <w14:schemeClr w14:val="tx1"/>
            </w14:solidFill>
          </w14:textFill>
        </w:rPr>
        <w:t>过“中国政府采购网”（www.ccgp.gov.cn）对“政府采购严重违法失信行为信息记录”企业信用记录查询（</w:t>
      </w:r>
      <w:r>
        <w:rPr>
          <w:rFonts w:hint="eastAsia" w:ascii="宋体" w:hAnsi="宋体" w:cs="宋体"/>
          <w:bCs/>
          <w:color w:val="000000" w:themeColor="text1"/>
          <w:sz w:val="24"/>
          <w14:textFill>
            <w14:solidFill>
              <w14:schemeClr w14:val="tx1"/>
            </w14:solidFill>
          </w14:textFill>
        </w:rPr>
        <w:t>在投标文件中附加盖公章的网页查询扫描件，查询日期为公告发布之日后有效</w:t>
      </w:r>
      <w:r>
        <w:rPr>
          <w:rFonts w:hint="eastAsia" w:ascii="宋体" w:hAnsi="宋体" w:cs="宋体"/>
          <w:color w:val="000000" w:themeColor="text1"/>
          <w:sz w:val="24"/>
          <w14:textFill>
            <w14:solidFill>
              <w14:schemeClr w14:val="tx1"/>
            </w14:solidFill>
          </w14:textFill>
        </w:rPr>
        <w:t>）。</w:t>
      </w:r>
    </w:p>
    <w:p w14:paraId="333BA567">
      <w:pPr>
        <w:spacing w:line="360" w:lineRule="auto"/>
        <w:jc w:val="left"/>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三、获取采购文件</w:t>
      </w:r>
    </w:p>
    <w:p w14:paraId="12452E0C">
      <w:pPr>
        <w:spacing w:line="360" w:lineRule="auto"/>
        <w:ind w:firstLine="54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时间：</w:t>
      </w:r>
      <w:r>
        <w:rPr>
          <w:rFonts w:hint="eastAsia" w:ascii="宋体" w:hAnsi="宋体" w:eastAsia="宋体" w:cs="宋体"/>
          <w:color w:val="000000" w:themeColor="text1"/>
          <w:sz w:val="24"/>
          <w:u w:val="single"/>
          <w14:textFill>
            <w14:solidFill>
              <w14:schemeClr w14:val="tx1"/>
            </w14:solidFill>
          </w14:textFill>
        </w:rPr>
        <w:t>2025</w:t>
      </w:r>
      <w:r>
        <w:rPr>
          <w:rFonts w:ascii="宋体" w:hAnsi="宋体" w:eastAsia="宋体" w:cs="宋体"/>
          <w:color w:val="000000" w:themeColor="text1"/>
          <w:sz w:val="24"/>
          <w:u w:val="single"/>
          <w14:textFill>
            <w14:solidFill>
              <w14:schemeClr w14:val="tx1"/>
            </w14:solidFill>
          </w14:textFill>
        </w:rPr>
        <w:t>年</w:t>
      </w:r>
      <w:r>
        <w:rPr>
          <w:rFonts w:hint="eastAsia" w:ascii="Times New Roman" w:hAnsi="Times New Roman" w:eastAsia="宋体" w:cs="Times New Roman"/>
          <w:color w:val="000000" w:themeColor="text1"/>
          <w:sz w:val="24"/>
          <w:u w:val="single"/>
          <w:lang w:val="en-US" w:eastAsia="zh-CN"/>
          <w14:textFill>
            <w14:solidFill>
              <w14:schemeClr w14:val="tx1"/>
            </w14:solidFill>
          </w14:textFill>
        </w:rPr>
        <w:t>9</w:t>
      </w:r>
      <w:r>
        <w:rPr>
          <w:rFonts w:ascii="宋体" w:hAnsi="宋体" w:eastAsia="宋体" w:cs="宋体"/>
          <w:color w:val="000000" w:themeColor="text1"/>
          <w:sz w:val="24"/>
          <w:u w:val="single"/>
          <w14:textFill>
            <w14:solidFill>
              <w14:schemeClr w14:val="tx1"/>
            </w14:solidFill>
          </w14:textFill>
        </w:rPr>
        <w:t>月</w:t>
      </w:r>
      <w:r>
        <w:rPr>
          <w:rFonts w:hint="eastAsia" w:ascii="Times New Roman" w:hAnsi="Times New Roman" w:eastAsia="宋体" w:cs="Times New Roman"/>
          <w:color w:val="000000" w:themeColor="text1"/>
          <w:sz w:val="24"/>
          <w:u w:val="single"/>
          <w:lang w:val="en-US" w:eastAsia="zh-CN"/>
          <w14:textFill>
            <w14:solidFill>
              <w14:schemeClr w14:val="tx1"/>
            </w14:solidFill>
          </w14:textFill>
        </w:rPr>
        <w:t>24</w:t>
      </w:r>
      <w:r>
        <w:rPr>
          <w:rFonts w:ascii="宋体" w:hAnsi="宋体" w:eastAsia="宋体" w:cs="宋体"/>
          <w:color w:val="000000" w:themeColor="text1"/>
          <w:sz w:val="24"/>
          <w:u w:val="single"/>
          <w14:textFill>
            <w14:solidFill>
              <w14:schemeClr w14:val="tx1"/>
            </w14:solidFill>
          </w14:textFill>
        </w:rPr>
        <w:t>日</w:t>
      </w:r>
      <w:r>
        <w:rPr>
          <w:rFonts w:ascii="宋体" w:hAnsi="宋体" w:eastAsia="宋体" w:cs="宋体"/>
          <w:color w:val="000000" w:themeColor="text1"/>
          <w:sz w:val="24"/>
          <w14:textFill>
            <w14:solidFill>
              <w14:schemeClr w14:val="tx1"/>
            </w14:solidFill>
          </w14:textFill>
        </w:rPr>
        <w:t>至</w:t>
      </w:r>
      <w:r>
        <w:rPr>
          <w:rFonts w:hint="eastAsia" w:ascii="Times New Roman" w:hAnsi="Times New Roman" w:cs="Times New Roman"/>
          <w:color w:val="000000" w:themeColor="text1"/>
          <w:sz w:val="24"/>
          <w:u w:val="single"/>
          <w14:textFill>
            <w14:solidFill>
              <w14:schemeClr w14:val="tx1"/>
            </w14:solidFill>
          </w14:textFill>
        </w:rPr>
        <w:t>2025</w:t>
      </w:r>
      <w:r>
        <w:rPr>
          <w:rFonts w:ascii="Times New Roman" w:hAnsi="Times New Roman" w:eastAsia="Times New Roman" w:cs="Times New Roman"/>
          <w:color w:val="000000" w:themeColor="text1"/>
          <w:sz w:val="24"/>
          <w:u w:val="single"/>
          <w14:textFill>
            <w14:solidFill>
              <w14:schemeClr w14:val="tx1"/>
            </w14:solidFill>
          </w14:textFill>
        </w:rPr>
        <w:t xml:space="preserve"> </w:t>
      </w:r>
      <w:r>
        <w:rPr>
          <w:rFonts w:ascii="宋体" w:hAnsi="宋体" w:eastAsia="宋体" w:cs="宋体"/>
          <w:color w:val="000000" w:themeColor="text1"/>
          <w:sz w:val="24"/>
          <w:u w:val="single"/>
          <w14:textFill>
            <w14:solidFill>
              <w14:schemeClr w14:val="tx1"/>
            </w14:solidFill>
          </w14:textFill>
        </w:rPr>
        <w:t>年</w:t>
      </w:r>
      <w:r>
        <w:rPr>
          <w:rFonts w:hint="eastAsia" w:ascii="Times New Roman" w:hAnsi="Times New Roman" w:eastAsia="宋体" w:cs="Times New Roman"/>
          <w:color w:val="000000" w:themeColor="text1"/>
          <w:sz w:val="24"/>
          <w:u w:val="single"/>
          <w:lang w:val="en-US" w:eastAsia="zh-CN"/>
          <w14:textFill>
            <w14:solidFill>
              <w14:schemeClr w14:val="tx1"/>
            </w14:solidFill>
          </w14:textFill>
        </w:rPr>
        <w:t>9</w:t>
      </w:r>
      <w:r>
        <w:rPr>
          <w:rFonts w:ascii="宋体" w:hAnsi="宋体" w:eastAsia="宋体" w:cs="宋体"/>
          <w:color w:val="000000" w:themeColor="text1"/>
          <w:sz w:val="24"/>
          <w:u w:val="single"/>
          <w14:textFill>
            <w14:solidFill>
              <w14:schemeClr w14:val="tx1"/>
            </w14:solidFill>
          </w14:textFill>
        </w:rPr>
        <w:t>月</w:t>
      </w:r>
      <w:r>
        <w:rPr>
          <w:rFonts w:hint="eastAsia" w:ascii="Times New Roman" w:hAnsi="Times New Roman" w:eastAsia="宋体" w:cs="Times New Roman"/>
          <w:color w:val="000000" w:themeColor="text1"/>
          <w:sz w:val="24"/>
          <w:u w:val="single"/>
          <w:lang w:val="en-US" w:eastAsia="zh-CN"/>
          <w14:textFill>
            <w14:solidFill>
              <w14:schemeClr w14:val="tx1"/>
            </w14:solidFill>
          </w14:textFill>
        </w:rPr>
        <w:t>30</w:t>
      </w:r>
      <w:r>
        <w:rPr>
          <w:rFonts w:ascii="宋体" w:hAnsi="宋体" w:eastAsia="宋体" w:cs="宋体"/>
          <w:color w:val="000000" w:themeColor="text1"/>
          <w:sz w:val="24"/>
          <w:u w:val="single"/>
          <w14:textFill>
            <w14:solidFill>
              <w14:schemeClr w14:val="tx1"/>
            </w14:solidFill>
          </w14:textFill>
        </w:rPr>
        <w:t>日</w:t>
      </w:r>
      <w:r>
        <w:rPr>
          <w:rFonts w:hint="eastAsia" w:ascii="宋体" w:hAnsi="宋体" w:eastAsia="宋体" w:cs="宋体"/>
          <w:color w:val="000000" w:themeColor="text1"/>
          <w:sz w:val="24"/>
          <w:u w:val="single"/>
          <w:lang w:val="en-US" w:eastAsia="zh-CN"/>
          <w14:textFill>
            <w14:solidFill>
              <w14:schemeClr w14:val="tx1"/>
            </w14:solidFill>
          </w14:textFill>
        </w:rPr>
        <w:t>23:59分</w:t>
      </w:r>
      <w:bookmarkStart w:id="0" w:name="_GoBack"/>
      <w:bookmarkEnd w:id="0"/>
      <w:r>
        <w:rPr>
          <w:rFonts w:ascii="宋体" w:hAnsi="宋体" w:eastAsia="宋体" w:cs="宋体"/>
          <w:color w:val="000000" w:themeColor="text1"/>
          <w:sz w:val="24"/>
          <w14:textFill>
            <w14:solidFill>
              <w14:schemeClr w14:val="tx1"/>
            </w14:solidFill>
          </w14:textFill>
        </w:rPr>
        <w:t>（北京时间，法定节假日除外</w:t>
      </w:r>
      <w:r>
        <w:rPr>
          <w:rFonts w:ascii="Times New Roman" w:hAnsi="Times New Roman" w:eastAsia="Times New Roman" w:cs="Times New Roman"/>
          <w:color w:val="000000" w:themeColor="text1"/>
          <w:sz w:val="24"/>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w:t>
      </w:r>
    </w:p>
    <w:p w14:paraId="03043CBC">
      <w:pPr>
        <w:spacing w:line="360" w:lineRule="auto"/>
        <w:ind w:firstLine="480"/>
        <w:jc w:val="left"/>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地点：周口市公共资源交易中心网（http://jyzx.zhoukou.gov.cn）</w:t>
      </w:r>
    </w:p>
    <w:p w14:paraId="549A9884">
      <w:pPr>
        <w:spacing w:line="360" w:lineRule="auto"/>
        <w:ind w:firstLine="480"/>
        <w:jc w:val="left"/>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49D9DDD7">
      <w:pPr>
        <w:spacing w:line="360" w:lineRule="auto"/>
        <w:ind w:firstLine="54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售价：</w:t>
      </w:r>
      <w:r>
        <w:rPr>
          <w:rFonts w:ascii="Times New Roman" w:hAnsi="Times New Roman" w:eastAsia="Times New Roman" w:cs="Times New Roman"/>
          <w:color w:val="000000" w:themeColor="text1"/>
          <w:sz w:val="24"/>
          <w14:textFill>
            <w14:solidFill>
              <w14:schemeClr w14:val="tx1"/>
            </w14:solidFill>
          </w14:textFill>
        </w:rPr>
        <w:t>0</w:t>
      </w:r>
    </w:p>
    <w:p w14:paraId="46206270">
      <w:pPr>
        <w:spacing w:line="360" w:lineRule="auto"/>
        <w:jc w:val="left"/>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四、响应文件提交</w:t>
      </w:r>
    </w:p>
    <w:p w14:paraId="636D3AA7">
      <w:pPr>
        <w:spacing w:line="360" w:lineRule="auto"/>
        <w:ind w:firstLine="480"/>
        <w:rPr>
          <w:rFonts w:ascii="Times New Roman" w:hAnsi="Times New Roman" w:eastAsia="Times New Roman" w:cs="Times New Roman"/>
          <w:color w:val="000000" w:themeColor="text1"/>
          <w:sz w:val="24"/>
          <w:u w:val="single"/>
          <w14:textFill>
            <w14:solidFill>
              <w14:schemeClr w14:val="tx1"/>
            </w14:solidFill>
          </w14:textFill>
        </w:rPr>
      </w:pPr>
      <w:r>
        <w:rPr>
          <w:rFonts w:ascii="宋体" w:hAnsi="宋体" w:eastAsia="宋体" w:cs="宋体"/>
          <w:color w:val="000000" w:themeColor="text1"/>
          <w:sz w:val="24"/>
          <w14:textFill>
            <w14:solidFill>
              <w14:schemeClr w14:val="tx1"/>
            </w14:solidFill>
          </w14:textFill>
        </w:rPr>
        <w:t>截止时间：</w:t>
      </w:r>
      <w:r>
        <w:rPr>
          <w:rFonts w:hint="eastAsia" w:ascii="宋体" w:hAnsi="宋体" w:eastAsia="宋体" w:cs="宋体"/>
          <w:color w:val="000000" w:themeColor="text1"/>
          <w:sz w:val="24"/>
          <w:u w:val="single"/>
          <w14:textFill>
            <w14:solidFill>
              <w14:schemeClr w14:val="tx1"/>
            </w14:solidFill>
          </w14:textFill>
        </w:rPr>
        <w:t>2025</w:t>
      </w:r>
      <w:r>
        <w:rPr>
          <w:rFonts w:ascii="宋体" w:hAnsi="宋体" w:eastAsia="宋体" w:cs="宋体"/>
          <w:color w:val="000000" w:themeColor="text1"/>
          <w:sz w:val="24"/>
          <w:u w:val="single"/>
          <w14:textFill>
            <w14:solidFill>
              <w14:schemeClr w14:val="tx1"/>
            </w14:solidFill>
          </w14:textFill>
        </w:rPr>
        <w:t xml:space="preserve"> 年</w:t>
      </w:r>
      <w:r>
        <w:rPr>
          <w:rFonts w:hint="eastAsia" w:ascii="宋体" w:hAnsi="宋体" w:eastAsia="宋体" w:cs="宋体"/>
          <w:color w:val="000000" w:themeColor="text1"/>
          <w:sz w:val="24"/>
          <w:u w:val="single"/>
          <w:lang w:val="en-US" w:eastAsia="zh-CN"/>
          <w14:textFill>
            <w14:solidFill>
              <w14:schemeClr w14:val="tx1"/>
            </w14:solidFill>
          </w14:textFill>
        </w:rPr>
        <w:t>10</w:t>
      </w:r>
      <w:r>
        <w:rPr>
          <w:rFonts w:ascii="宋体" w:hAnsi="宋体" w:eastAsia="宋体" w:cs="宋体"/>
          <w:color w:val="000000" w:themeColor="text1"/>
          <w:sz w:val="24"/>
          <w:u w:val="single"/>
          <w14:textFill>
            <w14:solidFill>
              <w14:schemeClr w14:val="tx1"/>
            </w14:solidFill>
          </w14:textFill>
        </w:rPr>
        <w:t>月</w:t>
      </w:r>
      <w:r>
        <w:rPr>
          <w:rFonts w:hint="eastAsia" w:ascii="宋体" w:hAnsi="宋体" w:eastAsia="宋体" w:cs="宋体"/>
          <w:color w:val="000000" w:themeColor="text1"/>
          <w:sz w:val="24"/>
          <w:u w:val="single"/>
          <w:lang w:val="en-US" w:eastAsia="zh-CN"/>
          <w14:textFill>
            <w14:solidFill>
              <w14:schemeClr w14:val="tx1"/>
            </w14:solidFill>
          </w14:textFill>
        </w:rPr>
        <w:t>9</w:t>
      </w:r>
      <w:r>
        <w:rPr>
          <w:rFonts w:ascii="宋体" w:hAnsi="宋体" w:eastAsia="宋体" w:cs="宋体"/>
          <w:color w:val="000000" w:themeColor="text1"/>
          <w:sz w:val="24"/>
          <w:u w:val="single"/>
          <w14:textFill>
            <w14:solidFill>
              <w14:schemeClr w14:val="tx1"/>
            </w14:solidFill>
          </w14:textFill>
        </w:rPr>
        <w:t>日</w:t>
      </w:r>
      <w:r>
        <w:rPr>
          <w:rFonts w:hint="eastAsia" w:ascii="宋体" w:hAnsi="宋体" w:eastAsia="宋体" w:cs="宋体"/>
          <w:color w:val="000000" w:themeColor="text1"/>
          <w:sz w:val="24"/>
          <w:u w:val="single"/>
          <w:lang w:val="en-US" w:eastAsia="zh-CN"/>
          <w14:textFill>
            <w14:solidFill>
              <w14:schemeClr w14:val="tx1"/>
            </w14:solidFill>
          </w14:textFill>
        </w:rPr>
        <w:t>10</w:t>
      </w:r>
      <w:r>
        <w:rPr>
          <w:rFonts w:ascii="宋体" w:hAnsi="宋体" w:eastAsia="宋体" w:cs="宋体"/>
          <w:color w:val="000000" w:themeColor="text1"/>
          <w:sz w:val="24"/>
          <w:u w:val="single"/>
          <w14:textFill>
            <w14:solidFill>
              <w14:schemeClr w14:val="tx1"/>
            </w14:solidFill>
          </w14:textFill>
        </w:rPr>
        <w:t>点</w:t>
      </w:r>
      <w:r>
        <w:rPr>
          <w:rFonts w:hint="eastAsia" w:ascii="宋体" w:hAnsi="宋体" w:eastAsia="宋体" w:cs="宋体"/>
          <w:color w:val="000000" w:themeColor="text1"/>
          <w:sz w:val="24"/>
          <w:u w:val="single"/>
          <w:lang w:val="en-US" w:eastAsia="zh-CN"/>
          <w14:textFill>
            <w14:solidFill>
              <w14:schemeClr w14:val="tx1"/>
            </w14:solidFill>
          </w14:textFill>
        </w:rPr>
        <w:t>00</w:t>
      </w:r>
      <w:r>
        <w:rPr>
          <w:rFonts w:ascii="宋体" w:hAnsi="宋体" w:eastAsia="宋体" w:cs="宋体"/>
          <w:color w:val="000000" w:themeColor="text1"/>
          <w:sz w:val="24"/>
          <w:u w:val="single"/>
          <w14:textFill>
            <w14:solidFill>
              <w14:schemeClr w14:val="tx1"/>
            </w14:solidFill>
          </w14:textFill>
        </w:rPr>
        <w:t>分</w:t>
      </w:r>
      <w:r>
        <w:rPr>
          <w:rFonts w:ascii="宋体" w:hAnsi="宋体" w:eastAsia="宋体" w:cs="宋体"/>
          <w:color w:val="000000" w:themeColor="text1"/>
          <w:sz w:val="24"/>
          <w14:textFill>
            <w14:solidFill>
              <w14:schemeClr w14:val="tx1"/>
            </w14:solidFill>
          </w14:textFill>
        </w:rPr>
        <w:t>（北京时间）</w:t>
      </w:r>
    </w:p>
    <w:p w14:paraId="706FFBF2">
      <w:pPr>
        <w:spacing w:line="360" w:lineRule="auto"/>
        <w:ind w:firstLine="480"/>
        <w:rPr>
          <w:rFonts w:ascii="Times New Roman" w:hAnsi="Times New Roman" w:eastAsia="Times New Roman" w:cs="Times New Roman"/>
          <w:color w:val="000000" w:themeColor="text1"/>
          <w:sz w:val="24"/>
          <w:u w:val="single"/>
          <w14:textFill>
            <w14:solidFill>
              <w14:schemeClr w14:val="tx1"/>
            </w14:solidFill>
          </w14:textFill>
        </w:rPr>
      </w:pPr>
      <w:r>
        <w:rPr>
          <w:rFonts w:ascii="宋体" w:hAnsi="宋体" w:eastAsia="宋体" w:cs="宋体"/>
          <w:color w:val="000000" w:themeColor="text1"/>
          <w:sz w:val="24"/>
          <w14:textFill>
            <w14:solidFill>
              <w14:schemeClr w14:val="tx1"/>
            </w14:solidFill>
          </w14:textFill>
        </w:rPr>
        <w:t>地点：加密电子响应文件须在投标截止时间前通过</w:t>
      </w:r>
      <w:r>
        <w:rPr>
          <w:rFonts w:ascii="宋体" w:hAnsi="宋体" w:eastAsia="宋体" w:cs="宋体"/>
          <w:color w:val="000000" w:themeColor="text1"/>
          <w:spacing w:val="-6"/>
          <w:sz w:val="24"/>
          <w14:textFill>
            <w14:solidFill>
              <w14:schemeClr w14:val="tx1"/>
            </w14:solidFill>
          </w14:textFill>
        </w:rPr>
        <w:t>周口市公共资源交易中心网</w:t>
      </w:r>
      <w:r>
        <w:rPr>
          <w:rFonts w:ascii="宋体" w:hAnsi="宋体" w:eastAsia="宋体" w:cs="宋体"/>
          <w:color w:val="000000" w:themeColor="text1"/>
          <w:sz w:val="24"/>
          <w14:textFill>
            <w14:solidFill>
              <w14:schemeClr w14:val="tx1"/>
            </w14:solidFill>
          </w14:textFill>
        </w:rPr>
        <w:t>（网址</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HYPERLINK "http://jyzx.zhoukou.gov.cn/" \h</w:instrText>
      </w:r>
      <w:r>
        <w:rPr>
          <w:color w:val="000000" w:themeColor="text1"/>
          <w14:textFill>
            <w14:solidFill>
              <w14:schemeClr w14:val="tx1"/>
            </w14:solidFill>
          </w14:textFill>
        </w:rPr>
        <w:fldChar w:fldCharType="separate"/>
      </w:r>
      <w:r>
        <w:rPr>
          <w:rFonts w:ascii="Times New Roman" w:hAnsi="Times New Roman" w:eastAsia="Times New Roman" w:cs="Times New Roman"/>
          <w:color w:val="000000" w:themeColor="text1"/>
          <w:sz w:val="24"/>
          <w:u w:val="single"/>
          <w14:textFill>
            <w14:solidFill>
              <w14:schemeClr w14:val="tx1"/>
            </w14:solidFill>
          </w14:textFill>
        </w:rPr>
        <w:t>http://jyzx.zhoukou.gov.cn</w:t>
      </w:r>
      <w:r>
        <w:rPr>
          <w:color w:val="000000" w:themeColor="text1"/>
          <w14:textFill>
            <w14:solidFill>
              <w14:schemeClr w14:val="tx1"/>
            </w14:solidFill>
          </w14:textFill>
        </w:rPr>
        <w:fldChar w:fldCharType="end"/>
      </w:r>
      <w:r>
        <w:rPr>
          <w:rFonts w:ascii="宋体" w:hAnsi="宋体" w:eastAsia="宋体" w:cs="宋体"/>
          <w:color w:val="000000" w:themeColor="text1"/>
          <w:sz w:val="24"/>
          <w14:textFill>
            <w14:solidFill>
              <w14:schemeClr w14:val="tx1"/>
            </w14:solidFill>
          </w14:textFill>
        </w:rPr>
        <w:t>）。</w:t>
      </w:r>
    </w:p>
    <w:p w14:paraId="1321669B">
      <w:pPr>
        <w:spacing w:line="360" w:lineRule="auto"/>
        <w:jc w:val="left"/>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五、开启（竞争性磋商方式必须填写）</w:t>
      </w:r>
    </w:p>
    <w:p w14:paraId="036A0D2C">
      <w:pPr>
        <w:spacing w:line="360" w:lineRule="auto"/>
        <w:ind w:firstLine="480"/>
        <w:rPr>
          <w:rFonts w:ascii="Times New Roman" w:hAnsi="Times New Roman" w:eastAsia="Times New Roman" w:cs="Times New Roman"/>
          <w:color w:val="000000" w:themeColor="text1"/>
          <w:sz w:val="24"/>
          <w:u w:val="single"/>
          <w14:textFill>
            <w14:solidFill>
              <w14:schemeClr w14:val="tx1"/>
            </w14:solidFill>
          </w14:textFill>
        </w:rPr>
      </w:pPr>
      <w:r>
        <w:rPr>
          <w:rFonts w:ascii="宋体" w:hAnsi="宋体" w:eastAsia="宋体" w:cs="宋体"/>
          <w:color w:val="000000" w:themeColor="text1"/>
          <w:sz w:val="24"/>
          <w14:textFill>
            <w14:solidFill>
              <w14:schemeClr w14:val="tx1"/>
            </w14:solidFill>
          </w14:textFill>
        </w:rPr>
        <w:t>时间：</w:t>
      </w:r>
      <w:r>
        <w:rPr>
          <w:rFonts w:hint="eastAsia" w:ascii="宋体" w:hAnsi="宋体" w:eastAsia="宋体" w:cs="宋体"/>
          <w:color w:val="000000" w:themeColor="text1"/>
          <w:sz w:val="24"/>
          <w:u w:val="single"/>
          <w14:textFill>
            <w14:solidFill>
              <w14:schemeClr w14:val="tx1"/>
            </w14:solidFill>
          </w14:textFill>
        </w:rPr>
        <w:t>2025</w:t>
      </w:r>
      <w:r>
        <w:rPr>
          <w:rFonts w:ascii="宋体" w:hAnsi="宋体" w:eastAsia="宋体" w:cs="宋体"/>
          <w:color w:val="000000" w:themeColor="text1"/>
          <w:sz w:val="24"/>
          <w:u w:val="single"/>
          <w14:textFill>
            <w14:solidFill>
              <w14:schemeClr w14:val="tx1"/>
            </w14:solidFill>
          </w14:textFill>
        </w:rPr>
        <w:t xml:space="preserve"> 年</w:t>
      </w:r>
      <w:r>
        <w:rPr>
          <w:rFonts w:hint="eastAsia" w:ascii="宋体" w:hAnsi="宋体" w:eastAsia="宋体" w:cs="宋体"/>
          <w:color w:val="000000" w:themeColor="text1"/>
          <w:sz w:val="24"/>
          <w:u w:val="single"/>
          <w:lang w:val="en-US" w:eastAsia="zh-CN"/>
          <w14:textFill>
            <w14:solidFill>
              <w14:schemeClr w14:val="tx1"/>
            </w14:solidFill>
          </w14:textFill>
        </w:rPr>
        <w:t>10</w:t>
      </w:r>
      <w:r>
        <w:rPr>
          <w:rFonts w:ascii="宋体" w:hAnsi="宋体" w:eastAsia="宋体" w:cs="宋体"/>
          <w:color w:val="000000" w:themeColor="text1"/>
          <w:sz w:val="24"/>
          <w:u w:val="single"/>
          <w14:textFill>
            <w14:solidFill>
              <w14:schemeClr w14:val="tx1"/>
            </w14:solidFill>
          </w14:textFill>
        </w:rPr>
        <w:t>月</w:t>
      </w:r>
      <w:r>
        <w:rPr>
          <w:rFonts w:hint="eastAsia" w:ascii="宋体" w:hAnsi="宋体" w:eastAsia="宋体" w:cs="宋体"/>
          <w:color w:val="000000" w:themeColor="text1"/>
          <w:sz w:val="24"/>
          <w:u w:val="single"/>
          <w:lang w:val="en-US" w:eastAsia="zh-CN"/>
          <w14:textFill>
            <w14:solidFill>
              <w14:schemeClr w14:val="tx1"/>
            </w14:solidFill>
          </w14:textFill>
        </w:rPr>
        <w:t>9</w:t>
      </w:r>
      <w:r>
        <w:rPr>
          <w:rFonts w:ascii="宋体" w:hAnsi="宋体" w:eastAsia="宋体" w:cs="宋体"/>
          <w:color w:val="000000" w:themeColor="text1"/>
          <w:sz w:val="24"/>
          <w:u w:val="single"/>
          <w14:textFill>
            <w14:solidFill>
              <w14:schemeClr w14:val="tx1"/>
            </w14:solidFill>
          </w14:textFill>
        </w:rPr>
        <w:t>日</w:t>
      </w:r>
      <w:r>
        <w:rPr>
          <w:rFonts w:hint="eastAsia" w:ascii="宋体" w:hAnsi="宋体" w:eastAsia="宋体" w:cs="宋体"/>
          <w:color w:val="000000" w:themeColor="text1"/>
          <w:sz w:val="24"/>
          <w:u w:val="single"/>
          <w:lang w:val="en-US" w:eastAsia="zh-CN"/>
          <w14:textFill>
            <w14:solidFill>
              <w14:schemeClr w14:val="tx1"/>
            </w14:solidFill>
          </w14:textFill>
        </w:rPr>
        <w:t>10</w:t>
      </w:r>
      <w:r>
        <w:rPr>
          <w:rFonts w:ascii="宋体" w:hAnsi="宋体" w:eastAsia="宋体" w:cs="宋体"/>
          <w:color w:val="000000" w:themeColor="text1"/>
          <w:sz w:val="24"/>
          <w:u w:val="single"/>
          <w14:textFill>
            <w14:solidFill>
              <w14:schemeClr w14:val="tx1"/>
            </w14:solidFill>
          </w14:textFill>
        </w:rPr>
        <w:t>点</w:t>
      </w:r>
      <w:r>
        <w:rPr>
          <w:rFonts w:hint="eastAsia" w:ascii="宋体" w:hAnsi="宋体" w:eastAsia="宋体" w:cs="宋体"/>
          <w:color w:val="000000" w:themeColor="text1"/>
          <w:sz w:val="24"/>
          <w:u w:val="single"/>
          <w:lang w:val="en-US" w:eastAsia="zh-CN"/>
          <w14:textFill>
            <w14:solidFill>
              <w14:schemeClr w14:val="tx1"/>
            </w14:solidFill>
          </w14:textFill>
        </w:rPr>
        <w:t>00</w:t>
      </w:r>
      <w:r>
        <w:rPr>
          <w:rFonts w:ascii="宋体" w:hAnsi="宋体" w:eastAsia="宋体" w:cs="宋体"/>
          <w:color w:val="000000" w:themeColor="text1"/>
          <w:sz w:val="24"/>
          <w:u w:val="single"/>
          <w14:textFill>
            <w14:solidFill>
              <w14:schemeClr w14:val="tx1"/>
            </w14:solidFill>
          </w14:textFill>
        </w:rPr>
        <w:t>分</w:t>
      </w:r>
      <w:r>
        <w:rPr>
          <w:rFonts w:ascii="宋体" w:hAnsi="宋体" w:eastAsia="宋体" w:cs="宋体"/>
          <w:color w:val="000000" w:themeColor="text1"/>
          <w:sz w:val="24"/>
          <w14:textFill>
            <w14:solidFill>
              <w14:schemeClr w14:val="tx1"/>
            </w14:solidFill>
          </w14:textFill>
        </w:rPr>
        <w:t>（北京时间）</w:t>
      </w:r>
    </w:p>
    <w:p w14:paraId="168801B1">
      <w:pPr>
        <w:spacing w:line="360" w:lineRule="auto"/>
        <w:ind w:firstLine="480"/>
        <w:jc w:val="left"/>
        <w:rPr>
          <w:rFonts w:ascii="Times New Roman" w:hAnsi="Times New Roman" w:eastAsia="Times New Roman" w:cs="Times New Roman"/>
          <w:color w:val="000000" w:themeColor="text1"/>
          <w:sz w:val="24"/>
          <w:u w:val="single"/>
          <w14:textFill>
            <w14:solidFill>
              <w14:schemeClr w14:val="tx1"/>
            </w14:solidFill>
          </w14:textFill>
        </w:rPr>
      </w:pPr>
      <w:r>
        <w:rPr>
          <w:rFonts w:ascii="宋体" w:hAnsi="宋体" w:eastAsia="宋体" w:cs="宋体"/>
          <w:color w:val="000000" w:themeColor="text1"/>
          <w:sz w:val="24"/>
          <w14:textFill>
            <w14:solidFill>
              <w14:schemeClr w14:val="tx1"/>
            </w14:solidFill>
          </w14:textFill>
        </w:rPr>
        <w:t>地点：周口市公共资源交易中心开标室</w:t>
      </w:r>
    </w:p>
    <w:p w14:paraId="7AB59952">
      <w:pPr>
        <w:spacing w:line="360" w:lineRule="auto"/>
        <w:jc w:val="left"/>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六、公告期限</w:t>
      </w:r>
    </w:p>
    <w:p w14:paraId="23C7DD92">
      <w:pPr>
        <w:spacing w:line="360" w:lineRule="auto"/>
        <w:ind w:firstLine="48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自本公告发布之日起</w:t>
      </w:r>
      <w:r>
        <w:rPr>
          <w:rFonts w:ascii="Times New Roman" w:hAnsi="Times New Roman" w:eastAsia="Times New Roman" w:cs="Times New Roman"/>
          <w:color w:val="000000" w:themeColor="text1"/>
          <w:sz w:val="24"/>
          <w14:textFill>
            <w14:solidFill>
              <w14:schemeClr w14:val="tx1"/>
            </w14:solidFill>
          </w14:textFill>
        </w:rPr>
        <w:t>3</w:t>
      </w:r>
      <w:r>
        <w:rPr>
          <w:rFonts w:ascii="宋体" w:hAnsi="宋体" w:eastAsia="宋体" w:cs="宋体"/>
          <w:color w:val="000000" w:themeColor="text1"/>
          <w:sz w:val="24"/>
          <w14:textFill>
            <w14:solidFill>
              <w14:schemeClr w14:val="tx1"/>
            </w14:solidFill>
          </w14:textFill>
        </w:rPr>
        <w:t>个工作日。</w:t>
      </w:r>
    </w:p>
    <w:p w14:paraId="458BEA67">
      <w:pPr>
        <w:spacing w:line="360" w:lineRule="auto"/>
        <w:jc w:val="left"/>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七、其他补充事宜</w:t>
      </w:r>
    </w:p>
    <w:p w14:paraId="23AC4C62">
      <w:pPr>
        <w:spacing w:line="360" w:lineRule="auto"/>
        <w:jc w:val="left"/>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八、凡对本次采购提出询问，请按以下方式联系。</w:t>
      </w:r>
    </w:p>
    <w:p w14:paraId="23FB12B6">
      <w:pPr>
        <w:spacing w:line="360" w:lineRule="auto"/>
        <w:ind w:firstLine="480"/>
        <w:jc w:val="left"/>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1.采购人信息</w:t>
      </w:r>
    </w:p>
    <w:p w14:paraId="7209920D">
      <w:pPr>
        <w:spacing w:line="360" w:lineRule="auto"/>
        <w:ind w:firstLine="480"/>
        <w:jc w:val="left"/>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名 称：</w:t>
      </w:r>
      <w:r>
        <w:rPr>
          <w:rFonts w:hint="eastAsia" w:ascii="宋体" w:hAnsi="宋体" w:eastAsia="宋体" w:cs="宋体"/>
          <w:color w:val="000000" w:themeColor="text1"/>
          <w:sz w:val="24"/>
          <w14:textFill>
            <w14:solidFill>
              <w14:schemeClr w14:val="tx1"/>
            </w14:solidFill>
          </w14:textFill>
        </w:rPr>
        <w:t>周口市水利局</w:t>
      </w:r>
      <w:r>
        <w:rPr>
          <w:rFonts w:ascii="宋体" w:hAnsi="宋体" w:eastAsia="宋体" w:cs="宋体"/>
          <w:color w:val="000000" w:themeColor="text1"/>
          <w:sz w:val="24"/>
          <w14:textFill>
            <w14:solidFill>
              <w14:schemeClr w14:val="tx1"/>
            </w14:solidFill>
          </w14:textFill>
        </w:rPr>
        <w:t>　　　　　　　　　　　　</w:t>
      </w:r>
    </w:p>
    <w:p w14:paraId="7434F6EE">
      <w:pPr>
        <w:spacing w:line="360" w:lineRule="auto"/>
        <w:ind w:firstLine="480"/>
        <w:jc w:val="left"/>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地址：周口市七一路中段　　　　　　　　　　　</w:t>
      </w:r>
    </w:p>
    <w:p w14:paraId="2EF1EC31">
      <w:pPr>
        <w:spacing w:line="360" w:lineRule="auto"/>
        <w:ind w:firstLine="480"/>
        <w:jc w:val="left"/>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项目联系人：</w:t>
      </w:r>
      <w:r>
        <w:rPr>
          <w:rFonts w:hint="eastAsia" w:ascii="宋体" w:hAnsi="宋体" w:eastAsia="宋体" w:cs="宋体"/>
          <w:color w:val="000000" w:themeColor="text1"/>
          <w:sz w:val="24"/>
          <w14:textFill>
            <w14:solidFill>
              <w14:schemeClr w14:val="tx1"/>
            </w14:solidFill>
          </w14:textFill>
        </w:rPr>
        <w:t>刘应峰</w:t>
      </w:r>
      <w:r>
        <w:rPr>
          <w:rFonts w:ascii="宋体" w:hAnsi="宋体" w:eastAsia="宋体" w:cs="宋体"/>
          <w:color w:val="000000" w:themeColor="text1"/>
          <w:sz w:val="24"/>
          <w14:textFill>
            <w14:solidFill>
              <w14:schemeClr w14:val="tx1"/>
            </w14:solidFill>
          </w14:textFill>
        </w:rPr>
        <w:t xml:space="preserve">   联系方式：</w:t>
      </w:r>
      <w:r>
        <w:rPr>
          <w:rFonts w:hint="eastAsia" w:ascii="宋体" w:hAnsi="宋体" w:eastAsia="宋体" w:cs="宋体"/>
          <w:color w:val="000000" w:themeColor="text1"/>
          <w:sz w:val="24"/>
          <w14:textFill>
            <w14:solidFill>
              <w14:schemeClr w14:val="tx1"/>
            </w14:solidFill>
          </w14:textFill>
        </w:rPr>
        <w:t>15139408036</w:t>
      </w:r>
      <w:r>
        <w:rPr>
          <w:rFonts w:ascii="宋体" w:hAnsi="宋体" w:eastAsia="宋体" w:cs="宋体"/>
          <w:color w:val="000000" w:themeColor="text1"/>
          <w:sz w:val="24"/>
          <w14:textFill>
            <w14:solidFill>
              <w14:schemeClr w14:val="tx1"/>
            </w14:solidFill>
          </w14:textFill>
        </w:rPr>
        <w:t xml:space="preserve">　　　　 </w:t>
      </w:r>
    </w:p>
    <w:p w14:paraId="11FEE4A7">
      <w:pPr>
        <w:spacing w:line="360" w:lineRule="auto"/>
        <w:ind w:firstLine="480"/>
        <w:jc w:val="left"/>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2.采购代理机构信息</w:t>
      </w:r>
    </w:p>
    <w:p w14:paraId="7A968DC4">
      <w:pPr>
        <w:spacing w:line="360" w:lineRule="auto"/>
        <w:ind w:firstLine="480"/>
        <w:jc w:val="left"/>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名 称：周口市公共资源交易中心政府采购中心　　　　　　　　　　　　</w:t>
      </w:r>
    </w:p>
    <w:p w14:paraId="7CC993C2">
      <w:pPr>
        <w:spacing w:line="360" w:lineRule="auto"/>
        <w:ind w:firstLine="480"/>
        <w:jc w:val="left"/>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地　址：周口市光明路与政通路交叉口向北100米路东</w:t>
      </w:r>
    </w:p>
    <w:p w14:paraId="5C36678B">
      <w:pPr>
        <w:spacing w:line="360" w:lineRule="auto"/>
        <w:ind w:firstLine="480"/>
        <w:jc w:val="left"/>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项目联系人：</w:t>
      </w:r>
      <w:r>
        <w:rPr>
          <w:rFonts w:hint="eastAsia" w:ascii="宋体" w:hAnsi="宋体" w:eastAsia="宋体" w:cs="宋体"/>
          <w:color w:val="000000" w:themeColor="text1"/>
          <w:sz w:val="24"/>
          <w:lang w:val="en-US" w:eastAsia="zh-CN"/>
          <w14:textFill>
            <w14:solidFill>
              <w14:schemeClr w14:val="tx1"/>
            </w14:solidFill>
          </w14:textFill>
        </w:rPr>
        <w:t>刘宇</w:t>
      </w:r>
      <w:r>
        <w:rPr>
          <w:rFonts w:ascii="宋体" w:hAnsi="宋体" w:eastAsia="宋体" w:cs="宋体"/>
          <w:color w:val="000000" w:themeColor="text1"/>
          <w:sz w:val="24"/>
          <w14:textFill>
            <w14:solidFill>
              <w14:schemeClr w14:val="tx1"/>
            </w14:solidFill>
          </w14:textFill>
        </w:rPr>
        <w:t xml:space="preserve">       联系方式：</w:t>
      </w:r>
      <w:r>
        <w:rPr>
          <w:rFonts w:hint="eastAsia" w:ascii="宋体" w:hAnsi="宋体" w:cs="宋体"/>
          <w:color w:val="000000" w:themeColor="text1"/>
          <w:sz w:val="24"/>
          <w14:textFill>
            <w14:solidFill>
              <w14:schemeClr w14:val="tx1"/>
            </w14:solidFill>
          </w14:textFill>
        </w:rPr>
        <w:t>0394-8106517</w:t>
      </w:r>
      <w:r>
        <w:rPr>
          <w:rFonts w:ascii="宋体" w:hAnsi="宋体" w:eastAsia="宋体" w:cs="宋体"/>
          <w:color w:val="000000" w:themeColor="text1"/>
          <w:sz w:val="24"/>
          <w14:textFill>
            <w14:solidFill>
              <w14:schemeClr w14:val="tx1"/>
            </w14:solidFill>
          </w14:textFill>
        </w:rPr>
        <w:t>　　　　　　　　</w:t>
      </w:r>
    </w:p>
    <w:p w14:paraId="2E2F3942">
      <w:pPr>
        <w:spacing w:line="360" w:lineRule="auto"/>
        <w:ind w:firstLine="480"/>
        <w:jc w:val="left"/>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3.监督单位：</w:t>
      </w:r>
      <w:r>
        <w:rPr>
          <w:rFonts w:hint="eastAsia" w:ascii="宋体" w:hAnsi="宋体" w:cs="宋体"/>
          <w:color w:val="000000" w:themeColor="text1"/>
          <w:sz w:val="24"/>
          <w14:textFill>
            <w14:solidFill>
              <w14:schemeClr w14:val="tx1"/>
            </w14:solidFill>
          </w14:textFill>
        </w:rPr>
        <w:t>周口市财政局政府采购监督管理科</w:t>
      </w:r>
    </w:p>
    <w:p w14:paraId="64B452D2">
      <w:pPr>
        <w:ind w:firstLine="720"/>
        <w:jc w:val="left"/>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联系方式： </w:t>
      </w:r>
      <w:r>
        <w:rPr>
          <w:rFonts w:hint="eastAsia" w:ascii="宋体" w:hAnsi="宋体" w:cs="宋体"/>
          <w:color w:val="000000" w:themeColor="text1"/>
          <w:sz w:val="24"/>
          <w14:textFill>
            <w14:solidFill>
              <w14:schemeClr w14:val="tx1"/>
            </w14:solidFill>
          </w14:textFill>
        </w:rPr>
        <w:t>0394-8106976</w:t>
      </w:r>
    </w:p>
    <w:p w14:paraId="74DA24D1">
      <w:pPr>
        <w:ind w:firstLine="420"/>
        <w:jc w:val="left"/>
        <w:rPr>
          <w:rFonts w:ascii="Times New Roman" w:hAnsi="Times New Roman" w:eastAsia="Times New Roman" w:cs="Times New Roman"/>
          <w:color w:val="000000" w:themeColor="text1"/>
          <w:sz w:val="22"/>
          <w14:textFill>
            <w14:solidFill>
              <w14:schemeClr w14:val="tx1"/>
            </w14:solidFill>
          </w14:textFill>
        </w:rPr>
      </w:pPr>
    </w:p>
    <w:p w14:paraId="6FC360A8">
      <w:pPr>
        <w:spacing w:after="120" w:line="360" w:lineRule="auto"/>
        <w:ind w:firstLine="204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周口市公共资源交易中心政府采购中心</w:t>
      </w:r>
    </w:p>
    <w:p w14:paraId="355FFB40">
      <w:pPr>
        <w:tabs>
          <w:tab w:val="left" w:pos="0"/>
          <w:tab w:val="left" w:pos="993"/>
          <w:tab w:val="left" w:pos="1134"/>
        </w:tabs>
        <w:ind w:firstLine="36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2025</w:t>
      </w:r>
      <w:r>
        <w:rPr>
          <w:rFonts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lang w:val="en-US" w:eastAsia="zh-CN"/>
          <w14:textFill>
            <w14:solidFill>
              <w14:schemeClr w14:val="tx1"/>
            </w14:solidFill>
          </w14:textFill>
        </w:rPr>
        <w:t>9</w:t>
      </w:r>
      <w:r>
        <w:rPr>
          <w:rFonts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lang w:val="en-US" w:eastAsia="zh-CN"/>
          <w14:textFill>
            <w14:solidFill>
              <w14:schemeClr w14:val="tx1"/>
            </w14:solidFill>
          </w14:textFill>
        </w:rPr>
        <w:t>24</w:t>
      </w:r>
      <w:r>
        <w:rPr>
          <w:rFonts w:ascii="宋体" w:hAnsi="宋体" w:eastAsia="宋体" w:cs="宋体"/>
          <w:color w:val="000000" w:themeColor="text1"/>
          <w:sz w:val="24"/>
          <w14:textFill>
            <w14:solidFill>
              <w14:schemeClr w14:val="tx1"/>
            </w14:solidFill>
          </w14:textFill>
        </w:rPr>
        <w:t xml:space="preserve"> 日</w:t>
      </w:r>
    </w:p>
    <w:p w14:paraId="3E36A795">
      <w:pPr>
        <w:pStyle w:val="2"/>
        <w:ind w:firstLine="240"/>
        <w:rPr>
          <w:rFonts w:hint="eastAsia" w:ascii="宋体" w:hAnsi="宋体" w:eastAsia="宋体" w:cs="宋体"/>
          <w:color w:val="000000" w:themeColor="text1"/>
          <w:sz w:val="24"/>
          <w14:textFill>
            <w14:solidFill>
              <w14:schemeClr w14:val="tx1"/>
            </w14:solidFill>
          </w14:textFill>
        </w:rPr>
      </w:pPr>
    </w:p>
    <w:p w14:paraId="51C7D718">
      <w:pPr>
        <w:pStyle w:val="2"/>
        <w:ind w:firstLine="240"/>
        <w:rPr>
          <w:rFonts w:hint="eastAsia" w:ascii="宋体" w:hAnsi="宋体" w:eastAsia="宋体" w:cs="宋体"/>
          <w:color w:val="000000" w:themeColor="text1"/>
          <w:sz w:val="24"/>
          <w14:textFill>
            <w14:solidFill>
              <w14:schemeClr w14:val="tx1"/>
            </w14:solidFill>
          </w14:textFill>
        </w:rPr>
      </w:pPr>
    </w:p>
    <w:p w14:paraId="7A9396FF">
      <w:pPr>
        <w:pStyle w:val="2"/>
        <w:ind w:firstLine="240"/>
        <w:rPr>
          <w:rFonts w:hint="eastAsia" w:ascii="宋体" w:hAnsi="宋体" w:eastAsia="宋体" w:cs="宋体"/>
          <w:color w:val="000000" w:themeColor="text1"/>
          <w:sz w:val="24"/>
          <w14:textFill>
            <w14:solidFill>
              <w14:schemeClr w14:val="tx1"/>
            </w14:solidFill>
          </w14:textFill>
        </w:rPr>
      </w:pPr>
    </w:p>
    <w:p w14:paraId="0B14A854">
      <w:pPr>
        <w:pStyle w:val="2"/>
        <w:ind w:firstLine="240"/>
        <w:rPr>
          <w:rFonts w:hint="eastAsia" w:ascii="宋体" w:hAnsi="宋体" w:eastAsia="宋体" w:cs="宋体"/>
          <w:color w:val="000000" w:themeColor="text1"/>
          <w:sz w:val="24"/>
          <w14:textFill>
            <w14:solidFill>
              <w14:schemeClr w14:val="tx1"/>
            </w14:solidFill>
          </w14:textFill>
        </w:rPr>
      </w:pPr>
    </w:p>
    <w:p w14:paraId="328A6360">
      <w:pPr>
        <w:pStyle w:val="2"/>
        <w:ind w:firstLine="240"/>
        <w:rPr>
          <w:rFonts w:hint="eastAsia" w:ascii="宋体" w:hAnsi="宋体" w:eastAsia="宋体" w:cs="宋体"/>
          <w:color w:val="000000" w:themeColor="text1"/>
          <w:sz w:val="24"/>
          <w14:textFill>
            <w14:solidFill>
              <w14:schemeClr w14:val="tx1"/>
            </w14:solidFill>
          </w14:textFill>
        </w:rPr>
      </w:pPr>
    </w:p>
    <w:p w14:paraId="021330F2">
      <w:pPr>
        <w:pStyle w:val="2"/>
        <w:ind w:firstLine="240"/>
        <w:rPr>
          <w:rFonts w:hint="eastAsia" w:ascii="宋体" w:hAnsi="宋体" w:eastAsia="宋体" w:cs="宋体"/>
          <w:color w:val="000000" w:themeColor="text1"/>
          <w:sz w:val="24"/>
          <w14:textFill>
            <w14:solidFill>
              <w14:schemeClr w14:val="tx1"/>
            </w14:solidFill>
          </w14:textFill>
        </w:rPr>
      </w:pPr>
    </w:p>
    <w:p w14:paraId="354969F0">
      <w:pPr>
        <w:pStyle w:val="2"/>
        <w:ind w:firstLine="240"/>
        <w:rPr>
          <w:rFonts w:hint="eastAsia" w:ascii="宋体" w:hAnsi="宋体" w:eastAsia="宋体" w:cs="宋体"/>
          <w:color w:val="000000" w:themeColor="text1"/>
          <w:sz w:val="24"/>
          <w14:textFill>
            <w14:solidFill>
              <w14:schemeClr w14:val="tx1"/>
            </w14:solidFill>
          </w14:textFill>
        </w:rPr>
      </w:pPr>
    </w:p>
    <w:p w14:paraId="5C71F49B">
      <w:pPr>
        <w:pStyle w:val="2"/>
        <w:ind w:firstLine="240"/>
        <w:rPr>
          <w:rFonts w:hint="eastAsia" w:ascii="宋体" w:hAnsi="宋体" w:eastAsia="宋体" w:cs="宋体"/>
          <w:color w:val="000000" w:themeColor="text1"/>
          <w:sz w:val="24"/>
          <w14:textFill>
            <w14:solidFill>
              <w14:schemeClr w14:val="tx1"/>
            </w14:solidFill>
          </w14:textFill>
        </w:rPr>
      </w:pPr>
    </w:p>
    <w:p w14:paraId="1AC1B5AD">
      <w:pPr>
        <w:pStyle w:val="2"/>
        <w:ind w:firstLine="240"/>
        <w:rPr>
          <w:rFonts w:hint="eastAsia" w:ascii="宋体" w:hAnsi="宋体" w:eastAsia="宋体" w:cs="宋体"/>
          <w:color w:val="000000" w:themeColor="text1"/>
          <w:sz w:val="24"/>
          <w14:textFill>
            <w14:solidFill>
              <w14:schemeClr w14:val="tx1"/>
            </w14:solidFill>
          </w14:textFill>
        </w:rPr>
      </w:pPr>
    </w:p>
    <w:p w14:paraId="6F3C2684">
      <w:pPr>
        <w:pStyle w:val="2"/>
        <w:ind w:firstLine="240"/>
        <w:rPr>
          <w:rFonts w:hint="eastAsia" w:ascii="宋体" w:hAnsi="宋体" w:eastAsia="宋体" w:cs="宋体"/>
          <w:color w:val="000000" w:themeColor="text1"/>
          <w:sz w:val="24"/>
          <w14:textFill>
            <w14:solidFill>
              <w14:schemeClr w14:val="tx1"/>
            </w14:solidFill>
          </w14:textFill>
        </w:rPr>
      </w:pPr>
    </w:p>
    <w:p w14:paraId="14637FBF">
      <w:pPr>
        <w:pStyle w:val="2"/>
        <w:ind w:firstLine="240"/>
        <w:rPr>
          <w:rFonts w:hint="eastAsia" w:ascii="宋体" w:hAnsi="宋体" w:eastAsia="宋体" w:cs="宋体"/>
          <w:color w:val="000000" w:themeColor="text1"/>
          <w:sz w:val="24"/>
          <w14:textFill>
            <w14:solidFill>
              <w14:schemeClr w14:val="tx1"/>
            </w14:solidFill>
          </w14:textFill>
        </w:rPr>
      </w:pPr>
    </w:p>
    <w:p w14:paraId="48288A51">
      <w:pPr>
        <w:pStyle w:val="2"/>
        <w:ind w:firstLine="240"/>
        <w:rPr>
          <w:rFonts w:hint="eastAsia" w:ascii="宋体" w:hAnsi="宋体" w:eastAsia="宋体" w:cs="宋体"/>
          <w:color w:val="000000" w:themeColor="text1"/>
          <w:sz w:val="24"/>
          <w14:textFill>
            <w14:solidFill>
              <w14:schemeClr w14:val="tx1"/>
            </w14:solidFill>
          </w14:textFill>
        </w:rPr>
      </w:pPr>
    </w:p>
    <w:p w14:paraId="564F2DA6">
      <w:pPr>
        <w:pStyle w:val="2"/>
        <w:ind w:firstLine="240"/>
        <w:rPr>
          <w:rFonts w:hint="eastAsia" w:ascii="宋体" w:hAnsi="宋体" w:eastAsia="宋体" w:cs="宋体"/>
          <w:color w:val="000000" w:themeColor="text1"/>
          <w:sz w:val="24"/>
          <w14:textFill>
            <w14:solidFill>
              <w14:schemeClr w14:val="tx1"/>
            </w14:solidFill>
          </w14:textFill>
        </w:rPr>
      </w:pPr>
    </w:p>
    <w:p w14:paraId="36972C8C">
      <w:pPr>
        <w:pStyle w:val="2"/>
        <w:ind w:firstLine="240"/>
        <w:rPr>
          <w:rFonts w:hint="eastAsia" w:ascii="宋体" w:hAnsi="宋体" w:eastAsia="宋体" w:cs="宋体"/>
          <w:color w:val="000000" w:themeColor="text1"/>
          <w:sz w:val="24"/>
          <w14:textFill>
            <w14:solidFill>
              <w14:schemeClr w14:val="tx1"/>
            </w14:solidFill>
          </w14:textFill>
        </w:rPr>
      </w:pPr>
    </w:p>
    <w:p w14:paraId="6094B845">
      <w:pPr>
        <w:pStyle w:val="2"/>
        <w:ind w:firstLine="240"/>
        <w:rPr>
          <w:rFonts w:hint="eastAsia" w:ascii="宋体" w:hAnsi="宋体" w:eastAsia="宋体" w:cs="宋体"/>
          <w:color w:val="000000" w:themeColor="text1"/>
          <w:sz w:val="24"/>
          <w14:textFill>
            <w14:solidFill>
              <w14:schemeClr w14:val="tx1"/>
            </w14:solidFill>
          </w14:textFill>
        </w:rPr>
      </w:pPr>
    </w:p>
    <w:p w14:paraId="446E1EDC">
      <w:pPr>
        <w:pStyle w:val="2"/>
        <w:ind w:firstLine="240"/>
        <w:rPr>
          <w:rFonts w:hint="eastAsia" w:ascii="宋体" w:hAnsi="宋体" w:eastAsia="宋体" w:cs="宋体"/>
          <w:color w:val="000000" w:themeColor="text1"/>
          <w:sz w:val="24"/>
          <w14:textFill>
            <w14:solidFill>
              <w14:schemeClr w14:val="tx1"/>
            </w14:solidFill>
          </w14:textFill>
        </w:rPr>
      </w:pPr>
    </w:p>
    <w:p w14:paraId="4FA2B80F">
      <w:pPr>
        <w:tabs>
          <w:tab w:val="left" w:pos="0"/>
          <w:tab w:val="left" w:pos="993"/>
          <w:tab w:val="left" w:pos="1134"/>
        </w:tabs>
        <w:ind w:firstLine="3600"/>
        <w:rPr>
          <w:rFonts w:hint="eastAsia" w:ascii="宋体" w:hAnsi="宋体" w:eastAsia="宋体" w:cs="宋体"/>
          <w:b/>
          <w:color w:val="000000" w:themeColor="text1"/>
          <w:sz w:val="24"/>
          <w14:textFill>
            <w14:solidFill>
              <w14:schemeClr w14:val="tx1"/>
            </w14:solidFill>
          </w14:textFill>
        </w:rPr>
      </w:pPr>
    </w:p>
    <w:p w14:paraId="307C04FF">
      <w:pPr>
        <w:jc w:val="center"/>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第二章    供应商须知</w:t>
      </w:r>
    </w:p>
    <w:tbl>
      <w:tblPr>
        <w:tblStyle w:val="8"/>
        <w:tblW w:w="0" w:type="auto"/>
        <w:tblInd w:w="108" w:type="dxa"/>
        <w:tblLayout w:type="autofit"/>
        <w:tblCellMar>
          <w:top w:w="0" w:type="dxa"/>
          <w:left w:w="10" w:type="dxa"/>
          <w:bottom w:w="0" w:type="dxa"/>
          <w:right w:w="10" w:type="dxa"/>
        </w:tblCellMar>
      </w:tblPr>
      <w:tblGrid>
        <w:gridCol w:w="856"/>
        <w:gridCol w:w="1671"/>
        <w:gridCol w:w="5887"/>
      </w:tblGrid>
      <w:tr w14:paraId="2AD56B39">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D8738B">
            <w:pPr>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供应商须知前附表</w:t>
            </w:r>
          </w:p>
        </w:tc>
      </w:tr>
      <w:tr w14:paraId="61BD2118">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7F275F">
            <w:pPr>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序号</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165429">
            <w:pPr>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条款</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A76AE7">
            <w:pP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内  容</w:t>
            </w:r>
          </w:p>
        </w:tc>
      </w:tr>
      <w:tr w14:paraId="11A928F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B7541">
            <w:pPr>
              <w:numPr>
                <w:ilvl w:val="0"/>
                <w:numId w:val="1"/>
              </w:numPr>
              <w:tabs>
                <w:tab w:val="left" w:pos="420"/>
              </w:tabs>
              <w:ind w:left="420" w:hanging="420"/>
              <w:jc w:val="center"/>
              <w:rPr>
                <w:rFonts w:hint="eastAsia"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BE08CA">
            <w:pPr>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项目概况</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6426D8">
            <w:pPr>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1）项目名称：</w:t>
            </w:r>
            <w:r>
              <w:rPr>
                <w:rFonts w:hint="eastAsia" w:ascii="宋体" w:hAnsi="宋体" w:eastAsia="宋体" w:cs="宋体"/>
                <w:color w:val="000000" w:themeColor="text1"/>
                <w:sz w:val="24"/>
                <w14:textFill>
                  <w14:solidFill>
                    <w14:schemeClr w14:val="tx1"/>
                  </w14:solidFill>
                </w14:textFill>
              </w:rPr>
              <w:t>周口市水利局主要拦河闸水文监测设施水毁修复设备采购项目</w:t>
            </w:r>
          </w:p>
          <w:p w14:paraId="5532F0CD">
            <w:pPr>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2）采购内容：</w:t>
            </w:r>
            <w:r>
              <w:rPr>
                <w:rFonts w:hint="eastAsia" w:ascii="宋体" w:hAnsi="宋体" w:eastAsia="宋体" w:cs="宋体"/>
                <w:color w:val="000000" w:themeColor="text1"/>
                <w:sz w:val="24"/>
                <w14:textFill>
                  <w14:solidFill>
                    <w14:schemeClr w14:val="tx1"/>
                  </w14:solidFill>
                </w14:textFill>
              </w:rPr>
              <w:t>周口市水利局主要拦河闸水文监测设施水毁修复设备采购项目</w:t>
            </w:r>
          </w:p>
          <w:p w14:paraId="1E4CDB7D">
            <w:pPr>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3）采购人：</w:t>
            </w:r>
            <w:r>
              <w:rPr>
                <w:rFonts w:hint="eastAsia" w:ascii="宋体" w:hAnsi="宋体" w:eastAsia="宋体" w:cs="宋体"/>
                <w:color w:val="000000" w:themeColor="text1"/>
                <w:sz w:val="24"/>
                <w14:textFill>
                  <w14:solidFill>
                    <w14:schemeClr w14:val="tx1"/>
                  </w14:solidFill>
                </w14:textFill>
              </w:rPr>
              <w:t>周口市水利局</w:t>
            </w:r>
          </w:p>
          <w:p w14:paraId="058D1D49">
            <w:pP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4）采购代理机构：周口市公共资源交易中心政府采购中心</w:t>
            </w:r>
          </w:p>
        </w:tc>
      </w:tr>
      <w:tr w14:paraId="3DFF35F5">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94CB4B">
            <w:pPr>
              <w:numPr>
                <w:ilvl w:val="0"/>
                <w:numId w:val="2"/>
              </w:numPr>
              <w:tabs>
                <w:tab w:val="left" w:pos="420"/>
              </w:tabs>
              <w:ind w:left="420" w:hanging="420"/>
              <w:jc w:val="center"/>
              <w:rPr>
                <w:rFonts w:hint="eastAsia"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2</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47CDFE">
            <w:pPr>
              <w:ind w:left="-4" w:hanging="4"/>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对供应商的资格要求</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B669A2">
            <w:pPr>
              <w:ind w:left="-4" w:hanging="4"/>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见竞争性磋商邀请函</w:t>
            </w:r>
          </w:p>
        </w:tc>
      </w:tr>
      <w:tr w14:paraId="2975D6C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C5C423">
            <w:pPr>
              <w:numPr>
                <w:ilvl w:val="0"/>
                <w:numId w:val="3"/>
              </w:numPr>
              <w:tabs>
                <w:tab w:val="left" w:pos="420"/>
              </w:tabs>
              <w:ind w:left="420" w:hanging="420"/>
              <w:jc w:val="center"/>
              <w:rPr>
                <w:rFonts w:hint="eastAsia"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3</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0214CE">
            <w:pPr>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报价费用</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E5157C">
            <w:pP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无论报价和磋商的过程和结果如何，供应商自行承担所有与参加报价及磋商有关活动的全部费用。</w:t>
            </w:r>
          </w:p>
        </w:tc>
      </w:tr>
      <w:tr w14:paraId="33AB8948">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BDEBB0">
            <w:pPr>
              <w:numPr>
                <w:ilvl w:val="0"/>
                <w:numId w:val="4"/>
              </w:numPr>
              <w:tabs>
                <w:tab w:val="left" w:pos="420"/>
              </w:tabs>
              <w:ind w:left="420" w:hanging="420"/>
              <w:rPr>
                <w:rFonts w:hint="eastAsia"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4</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07836D">
            <w:pPr>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响应文件语言</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49A0D2">
            <w:pP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中文</w:t>
            </w:r>
          </w:p>
        </w:tc>
      </w:tr>
      <w:tr w14:paraId="36FBB7A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BE65B3">
            <w:pPr>
              <w:numPr>
                <w:ilvl w:val="0"/>
                <w:numId w:val="5"/>
              </w:numPr>
              <w:tabs>
                <w:tab w:val="left" w:pos="420"/>
              </w:tabs>
              <w:ind w:left="420" w:hanging="420"/>
              <w:rPr>
                <w:rFonts w:hint="eastAsia"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5</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5055FF">
            <w:pPr>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报价货币</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000CE6">
            <w:pP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人民币</w:t>
            </w:r>
          </w:p>
        </w:tc>
      </w:tr>
      <w:tr w14:paraId="29C9827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C19BA5">
            <w:pPr>
              <w:numPr>
                <w:ilvl w:val="0"/>
                <w:numId w:val="6"/>
              </w:numPr>
              <w:tabs>
                <w:tab w:val="left" w:pos="420"/>
              </w:tabs>
              <w:ind w:left="420" w:hanging="420"/>
              <w:jc w:val="center"/>
              <w:rPr>
                <w:rFonts w:hint="eastAsia"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6</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7CED32">
            <w:pPr>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报价范围及说明</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A47280">
            <w:pP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报价包括本项目所招标的货物、保险、税费、包装、加工及加工损耗、运输、现场落地、安装、验收等（采购项目技术规格、参数及要求）</w:t>
            </w:r>
          </w:p>
        </w:tc>
      </w:tr>
      <w:tr w14:paraId="00D9298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9E49A0">
            <w:pPr>
              <w:numPr>
                <w:ilvl w:val="0"/>
                <w:numId w:val="7"/>
              </w:numPr>
              <w:tabs>
                <w:tab w:val="left" w:pos="420"/>
              </w:tabs>
              <w:ind w:left="420" w:hanging="420"/>
              <w:jc w:val="center"/>
              <w:rPr>
                <w:rFonts w:hint="eastAsia"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7</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7B3C6A">
            <w:pPr>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响应文件有效期</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C99EAC">
            <w:pP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响应文件递交截止期后60日内有效</w:t>
            </w:r>
          </w:p>
        </w:tc>
      </w:tr>
      <w:tr w14:paraId="0F3ED13E">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1B731E">
            <w:pPr>
              <w:numPr>
                <w:ilvl w:val="0"/>
                <w:numId w:val="8"/>
              </w:numPr>
              <w:tabs>
                <w:tab w:val="left" w:pos="420"/>
              </w:tabs>
              <w:ind w:left="420" w:hanging="420"/>
              <w:jc w:val="center"/>
              <w:rPr>
                <w:rFonts w:hint="eastAsia"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8</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1C1387">
            <w:pPr>
              <w:tabs>
                <w:tab w:val="left" w:pos="8640"/>
              </w:tabs>
              <w:ind w:left="-2"/>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响应文件的组成</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25E7E9">
            <w:pP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04535E96">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EDEF7E">
            <w:pPr>
              <w:numPr>
                <w:ilvl w:val="0"/>
                <w:numId w:val="9"/>
              </w:numPr>
              <w:tabs>
                <w:tab w:val="left" w:pos="420"/>
              </w:tabs>
              <w:ind w:left="420" w:hanging="420"/>
              <w:jc w:val="center"/>
              <w:rPr>
                <w:rFonts w:hint="eastAsia"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9</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09A8E9">
            <w:pPr>
              <w:tabs>
                <w:tab w:val="left" w:pos="8640"/>
              </w:tabs>
              <w:ind w:left="-2"/>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响应文件封面要求</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A1E176">
            <w:pPr>
              <w:tabs>
                <w:tab w:val="left" w:pos="8640"/>
              </w:tabs>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无</w:t>
            </w:r>
          </w:p>
        </w:tc>
      </w:tr>
      <w:tr w14:paraId="4B1358F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60577E">
            <w:pPr>
              <w:numPr>
                <w:ilvl w:val="0"/>
                <w:numId w:val="10"/>
              </w:numPr>
              <w:tabs>
                <w:tab w:val="left" w:pos="420"/>
              </w:tabs>
              <w:ind w:left="420" w:hanging="420"/>
              <w:jc w:val="center"/>
              <w:rPr>
                <w:rFonts w:hint="eastAsia"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10</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093CB0">
            <w:pPr>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响应文件份数要求</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6A0374">
            <w:pPr>
              <w:tabs>
                <w:tab w:val="left" w:pos="8640"/>
              </w:tabs>
              <w:ind w:left="-2"/>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加密的电子投标文件须在投标截止时间前成功上传</w:t>
            </w:r>
          </w:p>
        </w:tc>
      </w:tr>
      <w:tr w14:paraId="28A1582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492E82">
            <w:pPr>
              <w:numPr>
                <w:ilvl w:val="0"/>
                <w:numId w:val="11"/>
              </w:numPr>
              <w:tabs>
                <w:tab w:val="left" w:pos="420"/>
              </w:tabs>
              <w:ind w:left="420" w:hanging="420"/>
              <w:jc w:val="center"/>
              <w:rPr>
                <w:rFonts w:hint="eastAsia"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11</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8A1A33">
            <w:pPr>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响应文件装订和密封要求</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1C02BA">
            <w:pP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无</w:t>
            </w:r>
          </w:p>
        </w:tc>
      </w:tr>
      <w:tr w14:paraId="348BC745">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BF03E4">
            <w:pPr>
              <w:numPr>
                <w:ilvl w:val="0"/>
                <w:numId w:val="12"/>
              </w:numPr>
              <w:tabs>
                <w:tab w:val="left" w:pos="420"/>
              </w:tabs>
              <w:ind w:left="420" w:hanging="420"/>
              <w:jc w:val="center"/>
              <w:rPr>
                <w:rFonts w:hint="eastAsia"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12</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051F1D">
            <w:pPr>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竞争性磋商文件的澄清</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877AD9">
            <w:pPr>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对竞争性磋商文件进行的澄清，以网上公告的方式通知供应商。澄清或修改的内容可能影响响应文件编制的，采购人、采购代理机构应当在提交响应文件截止时间至少5日前。</w:t>
            </w:r>
          </w:p>
          <w:p w14:paraId="4E808C1B">
            <w:pPr>
              <w:rPr>
                <w:rFonts w:hint="eastAsia" w:ascii="宋体" w:hAnsi="宋体" w:eastAsia="宋体" w:cs="宋体"/>
                <w:color w:val="000000" w:themeColor="text1"/>
                <w14:textFill>
                  <w14:solidFill>
                    <w14:schemeClr w14:val="tx1"/>
                  </w14:solidFill>
                </w14:textFill>
              </w:rPr>
            </w:pPr>
          </w:p>
        </w:tc>
      </w:tr>
      <w:tr w14:paraId="4A3649E5">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686546">
            <w:pPr>
              <w:numPr>
                <w:ilvl w:val="0"/>
                <w:numId w:val="13"/>
              </w:numPr>
              <w:tabs>
                <w:tab w:val="left" w:pos="420"/>
              </w:tabs>
              <w:ind w:left="420" w:hanging="420"/>
              <w:jc w:val="center"/>
              <w:rPr>
                <w:rFonts w:hint="eastAsia"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13</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022C02">
            <w:pPr>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响应文件递交截止时间</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5F330C">
            <w:pP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0"/>
                <w14:textFill>
                  <w14:solidFill>
                    <w14:schemeClr w14:val="tx1"/>
                  </w14:solidFill>
                </w14:textFill>
              </w:rPr>
              <w:t>******</w:t>
            </w:r>
            <w:r>
              <w:rPr>
                <w:rFonts w:ascii="宋体" w:hAnsi="宋体" w:eastAsia="宋体" w:cs="宋体"/>
                <w:color w:val="000000" w:themeColor="text1"/>
                <w:sz w:val="24"/>
                <w14:textFill>
                  <w14:solidFill>
                    <w14:schemeClr w14:val="tx1"/>
                  </w14:solidFill>
                </w14:textFill>
              </w:rPr>
              <w:t xml:space="preserve">年 </w:t>
            </w:r>
            <w:r>
              <w:rPr>
                <w:rFonts w:ascii="宋体" w:hAnsi="宋体" w:eastAsia="宋体" w:cs="宋体"/>
                <w:color w:val="000000" w:themeColor="text1"/>
                <w:sz w:val="20"/>
                <w14:textFill>
                  <w14:solidFill>
                    <w14:schemeClr w14:val="tx1"/>
                  </w14:solidFill>
                </w14:textFill>
              </w:rPr>
              <w:t>******</w:t>
            </w:r>
            <w:r>
              <w:rPr>
                <w:rFonts w:ascii="宋体" w:hAnsi="宋体" w:eastAsia="宋体" w:cs="宋体"/>
                <w:color w:val="000000" w:themeColor="text1"/>
                <w:sz w:val="24"/>
                <w14:textFill>
                  <w14:solidFill>
                    <w14:schemeClr w14:val="tx1"/>
                  </w14:solidFill>
                </w14:textFill>
              </w:rPr>
              <w:t xml:space="preserve"> 月</w:t>
            </w:r>
            <w:r>
              <w:rPr>
                <w:rFonts w:ascii="宋体" w:hAnsi="宋体" w:eastAsia="宋体" w:cs="宋体"/>
                <w:color w:val="000000" w:themeColor="text1"/>
                <w:sz w:val="20"/>
                <w14:textFill>
                  <w14:solidFill>
                    <w14:schemeClr w14:val="tx1"/>
                  </w14:solidFill>
                </w14:textFill>
              </w:rPr>
              <w:t>******</w:t>
            </w:r>
            <w:r>
              <w:rPr>
                <w:rFonts w:ascii="宋体" w:hAnsi="宋体" w:eastAsia="宋体" w:cs="宋体"/>
                <w:color w:val="000000" w:themeColor="text1"/>
                <w:sz w:val="24"/>
                <w14:textFill>
                  <w14:solidFill>
                    <w14:schemeClr w14:val="tx1"/>
                  </w14:solidFill>
                </w14:textFill>
              </w:rPr>
              <w:t xml:space="preserve">日上午   （见磋商公告） </w:t>
            </w:r>
          </w:p>
        </w:tc>
      </w:tr>
      <w:tr w14:paraId="33615D76">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BDBDAB">
            <w:pPr>
              <w:numPr>
                <w:ilvl w:val="0"/>
                <w:numId w:val="14"/>
              </w:numPr>
              <w:tabs>
                <w:tab w:val="left" w:pos="420"/>
              </w:tabs>
              <w:ind w:left="420" w:hanging="420"/>
              <w:jc w:val="center"/>
              <w:rPr>
                <w:rFonts w:hint="eastAsia"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14</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221D0A">
            <w:pPr>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响应文件递交地点</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C0F342">
            <w:pPr>
              <w:rPr>
                <w:rFonts w:hint="eastAsia" w:ascii="宋体" w:hAnsi="宋体" w:eastAsia="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周口市公共资源交易中心网</w:t>
            </w:r>
          </w:p>
          <w:p w14:paraId="7540F0A8">
            <w:pPr>
              <w:rPr>
                <w:rFonts w:hint="eastAsia" w:ascii="宋体" w:hAnsi="宋体" w:cs="宋体"/>
                <w:color w:val="000000" w:themeColor="text1"/>
                <w:sz w:val="24"/>
                <w:szCs w:val="24"/>
                <w14:textFill>
                  <w14:solidFill>
                    <w14:schemeClr w14:val="tx1"/>
                  </w14:solidFill>
                </w14:textFill>
              </w:rPr>
            </w:pPr>
            <w:r>
              <w:rPr>
                <w:rFonts w:hint="eastAsia" w:ascii="宋体" w:hAnsi="宋体"/>
                <w:color w:val="000000" w:themeColor="text1"/>
                <w:sz w:val="24"/>
                <w14:textFill>
                  <w14:solidFill>
                    <w14:schemeClr w14:val="tx1"/>
                  </w14:solidFill>
                </w14:textFill>
              </w:rPr>
              <w:t>网址：周口市公共资源电子交易服务平台会员系统（网址</w:t>
            </w:r>
            <w:r>
              <w:rPr>
                <w:rFonts w:hint="eastAsia" w:asciiTheme="minorEastAsia" w:hAnsiTheme="minorEastAsia"/>
                <w:color w:val="000000" w:themeColor="text1"/>
                <w14:textFill>
                  <w14:solidFill>
                    <w14:schemeClr w14:val="tx1"/>
                  </w14:solidFill>
                </w14:textFill>
              </w:rPr>
              <w:t>http://jyzx.zhoukou.gov.cn）</w:t>
            </w:r>
          </w:p>
          <w:p w14:paraId="575D5A63">
            <w:pPr>
              <w:spacing w:line="5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（本项目实行网上远程开标无须到现场提交响应文件）</w:t>
            </w:r>
          </w:p>
        </w:tc>
      </w:tr>
      <w:tr w14:paraId="317E3E7A">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4B3502">
            <w:pPr>
              <w:numPr>
                <w:ilvl w:val="0"/>
                <w:numId w:val="15"/>
              </w:numPr>
              <w:tabs>
                <w:tab w:val="left" w:pos="420"/>
              </w:tabs>
              <w:ind w:left="420" w:hanging="420"/>
              <w:jc w:val="center"/>
              <w:rPr>
                <w:rFonts w:hint="eastAsia"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15</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D6FF6">
            <w:pPr>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磋商时间</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FCE8DC">
            <w:pPr>
              <w:tabs>
                <w:tab w:val="left" w:pos="8640"/>
              </w:tabs>
              <w:ind w:left="-2"/>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0"/>
                <w14:textFill>
                  <w14:solidFill>
                    <w14:schemeClr w14:val="tx1"/>
                  </w14:solidFill>
                </w14:textFill>
              </w:rPr>
              <w:t>******</w:t>
            </w:r>
            <w:r>
              <w:rPr>
                <w:rFonts w:ascii="宋体" w:hAnsi="宋体" w:eastAsia="宋体" w:cs="宋体"/>
                <w:color w:val="000000" w:themeColor="text1"/>
                <w:sz w:val="24"/>
                <w14:textFill>
                  <w14:solidFill>
                    <w14:schemeClr w14:val="tx1"/>
                  </w14:solidFill>
                </w14:textFill>
              </w:rPr>
              <w:t>年</w:t>
            </w:r>
            <w:r>
              <w:rPr>
                <w:rFonts w:ascii="宋体" w:hAnsi="宋体" w:eastAsia="宋体" w:cs="宋体"/>
                <w:color w:val="000000" w:themeColor="text1"/>
                <w:sz w:val="20"/>
                <w14:textFill>
                  <w14:solidFill>
                    <w14:schemeClr w14:val="tx1"/>
                  </w14:solidFill>
                </w14:textFill>
              </w:rPr>
              <w:t>******</w:t>
            </w:r>
            <w:r>
              <w:rPr>
                <w:rFonts w:ascii="宋体" w:hAnsi="宋体" w:eastAsia="宋体" w:cs="宋体"/>
                <w:color w:val="000000" w:themeColor="text1"/>
                <w:sz w:val="24"/>
                <w14:textFill>
                  <w14:solidFill>
                    <w14:schemeClr w14:val="tx1"/>
                  </w14:solidFill>
                </w14:textFill>
              </w:rPr>
              <w:t>月</w:t>
            </w:r>
            <w:r>
              <w:rPr>
                <w:rFonts w:ascii="宋体" w:hAnsi="宋体" w:eastAsia="宋体" w:cs="宋体"/>
                <w:color w:val="000000" w:themeColor="text1"/>
                <w:sz w:val="20"/>
                <w14:textFill>
                  <w14:solidFill>
                    <w14:schemeClr w14:val="tx1"/>
                  </w14:solidFill>
                </w14:textFill>
              </w:rPr>
              <w:t>******</w:t>
            </w:r>
            <w:r>
              <w:rPr>
                <w:rFonts w:ascii="宋体" w:hAnsi="宋体" w:eastAsia="宋体" w:cs="宋体"/>
                <w:color w:val="000000" w:themeColor="text1"/>
                <w:sz w:val="24"/>
                <w14:textFill>
                  <w14:solidFill>
                    <w14:schemeClr w14:val="tx1"/>
                  </w14:solidFill>
                </w14:textFill>
              </w:rPr>
              <w:t>日上午    见磋商公告</w:t>
            </w:r>
          </w:p>
        </w:tc>
      </w:tr>
      <w:tr w14:paraId="59AD56E8">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2FA037">
            <w:pPr>
              <w:numPr>
                <w:ilvl w:val="0"/>
                <w:numId w:val="16"/>
              </w:numPr>
              <w:tabs>
                <w:tab w:val="left" w:pos="420"/>
              </w:tabs>
              <w:ind w:left="420" w:hanging="420"/>
              <w:jc w:val="center"/>
              <w:rPr>
                <w:rFonts w:hint="eastAsia"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16</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224C46">
            <w:pPr>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磋商程序和内容</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D501A7">
            <w:pPr>
              <w:tabs>
                <w:tab w:val="left" w:pos="8640"/>
              </w:tabs>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详见磋商文件第二章</w:t>
            </w:r>
          </w:p>
        </w:tc>
      </w:tr>
      <w:tr w14:paraId="7958A65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EBEA34">
            <w:pPr>
              <w:numPr>
                <w:ilvl w:val="0"/>
                <w:numId w:val="17"/>
              </w:numPr>
              <w:tabs>
                <w:tab w:val="left" w:pos="420"/>
              </w:tabs>
              <w:ind w:left="420" w:hanging="420"/>
              <w:jc w:val="center"/>
              <w:rPr>
                <w:rFonts w:hint="eastAsia"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17</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84CA9F">
            <w:pPr>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授予合同</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5E07A8">
            <w:pPr>
              <w:tabs>
                <w:tab w:val="left" w:pos="8640"/>
              </w:tabs>
              <w:jc w:val="left"/>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采购人根据磋商小组的推荐意见，由采购人确定成交供应商。采购代理机构向成交供应商发出成交通知书。</w:t>
            </w:r>
          </w:p>
        </w:tc>
      </w:tr>
      <w:tr w14:paraId="6780346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F1A660">
            <w:pPr>
              <w:numPr>
                <w:ilvl w:val="0"/>
                <w:numId w:val="18"/>
              </w:numPr>
              <w:tabs>
                <w:tab w:val="left" w:pos="420"/>
              </w:tabs>
              <w:ind w:left="420" w:hanging="420"/>
              <w:jc w:val="center"/>
              <w:rPr>
                <w:rFonts w:hint="eastAsia"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18</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88A430">
            <w:pPr>
              <w:ind w:firstLine="14"/>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签订合同</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0FB42F">
            <w:pPr>
              <w:tabs>
                <w:tab w:val="left" w:pos="8640"/>
              </w:tabs>
              <w:ind w:left="-2"/>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本磋商文件、响应文件及磋商、评审过程中有关澄清、承诺文件的内容，将作为签订合同的主要内容。</w:t>
            </w:r>
          </w:p>
        </w:tc>
      </w:tr>
      <w:tr w14:paraId="277F78A2">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666E1E">
            <w:pPr>
              <w:numPr>
                <w:ilvl w:val="0"/>
                <w:numId w:val="19"/>
              </w:numPr>
              <w:tabs>
                <w:tab w:val="left" w:pos="420"/>
              </w:tabs>
              <w:ind w:left="420" w:hanging="420"/>
              <w:jc w:val="center"/>
              <w:rPr>
                <w:rFonts w:hint="eastAsia"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19</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9B388F">
            <w:pPr>
              <w:ind w:firstLine="14"/>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投标保证金</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D5A09D">
            <w:pPr>
              <w:tabs>
                <w:tab w:val="left" w:pos="8640"/>
              </w:tabs>
              <w:ind w:left="-2"/>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本项目不需要交纳投标保证金</w:t>
            </w:r>
          </w:p>
        </w:tc>
      </w:tr>
      <w:tr w14:paraId="5F2A1AF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43B145">
            <w:pPr>
              <w:numPr>
                <w:ilvl w:val="0"/>
                <w:numId w:val="20"/>
              </w:numPr>
              <w:tabs>
                <w:tab w:val="left" w:pos="420"/>
              </w:tabs>
              <w:ind w:left="420" w:hanging="420"/>
              <w:jc w:val="center"/>
              <w:rPr>
                <w:rFonts w:hint="eastAsia"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20</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F49CC7">
            <w:pPr>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供货周期</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2F49AD">
            <w:pPr>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合同签订后60日历天</w:t>
            </w:r>
          </w:p>
        </w:tc>
      </w:tr>
      <w:tr w14:paraId="4FEFF368">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5A04AB">
            <w:pPr>
              <w:numPr>
                <w:ilvl w:val="0"/>
                <w:numId w:val="21"/>
              </w:numPr>
              <w:tabs>
                <w:tab w:val="left" w:pos="420"/>
              </w:tabs>
              <w:ind w:left="420" w:hanging="420"/>
              <w:jc w:val="center"/>
              <w:rPr>
                <w:rFonts w:hint="eastAsia"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21</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720D22">
            <w:pPr>
              <w:ind w:firstLine="14"/>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付款方式</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6E9250">
            <w:pPr>
              <w:tabs>
                <w:tab w:val="left" w:pos="8640"/>
              </w:tabs>
              <w:ind w:left="-2"/>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合同签订后付合同总金额的</w:t>
            </w:r>
            <w:r>
              <w:rPr>
                <w:rFonts w:hint="eastAsia" w:ascii="宋体" w:hAnsi="宋体" w:eastAsia="宋体" w:cs="宋体"/>
                <w:color w:val="000000" w:themeColor="text1"/>
                <w:sz w:val="24"/>
                <w14:textFill>
                  <w14:solidFill>
                    <w14:schemeClr w14:val="tx1"/>
                  </w14:solidFill>
                </w14:textFill>
              </w:rPr>
              <w:t>3</w:t>
            </w:r>
            <w:r>
              <w:rPr>
                <w:rFonts w:ascii="宋体" w:hAnsi="宋体" w:eastAsia="宋体" w:cs="宋体"/>
                <w:color w:val="000000" w:themeColor="text1"/>
                <w:sz w:val="24"/>
                <w14:textFill>
                  <w14:solidFill>
                    <w14:schemeClr w14:val="tx1"/>
                  </w14:solidFill>
                </w14:textFill>
              </w:rPr>
              <w:t>0%</w:t>
            </w:r>
            <w:r>
              <w:rPr>
                <w:rFonts w:hint="eastAsia" w:ascii="宋体" w:hAnsi="宋体" w:eastAsia="宋体" w:cs="宋体"/>
                <w:color w:val="000000" w:themeColor="text1"/>
                <w:sz w:val="24"/>
                <w14:textFill>
                  <w14:solidFill>
                    <w14:schemeClr w14:val="tx1"/>
                  </w14:solidFill>
                </w14:textFill>
              </w:rPr>
              <w:t>，安装、调试运行</w:t>
            </w:r>
            <w:r>
              <w:rPr>
                <w:rFonts w:ascii="宋体" w:hAnsi="宋体" w:eastAsia="宋体" w:cs="宋体"/>
                <w:color w:val="000000" w:themeColor="text1"/>
                <w:sz w:val="24"/>
                <w14:textFill>
                  <w14:solidFill>
                    <w14:schemeClr w14:val="tx1"/>
                  </w14:solidFill>
                </w14:textFill>
              </w:rPr>
              <w:t>后</w:t>
            </w:r>
            <w:r>
              <w:rPr>
                <w:rFonts w:hint="eastAsia" w:ascii="宋体" w:hAnsi="宋体" w:eastAsia="宋体" w:cs="宋体"/>
                <w:color w:val="000000" w:themeColor="text1"/>
                <w:sz w:val="24"/>
                <w14:textFill>
                  <w14:solidFill>
                    <w14:schemeClr w14:val="tx1"/>
                  </w14:solidFill>
                </w14:textFill>
              </w:rPr>
              <w:t>付至85%，验收合格后付清全款</w:t>
            </w:r>
            <w:r>
              <w:rPr>
                <w:rFonts w:ascii="宋体" w:hAnsi="宋体" w:eastAsia="宋体" w:cs="宋体"/>
                <w:color w:val="000000" w:themeColor="text1"/>
                <w:sz w:val="24"/>
                <w14:textFill>
                  <w14:solidFill>
                    <w14:schemeClr w14:val="tx1"/>
                  </w14:solidFill>
                </w14:textFill>
              </w:rPr>
              <w:t>。</w:t>
            </w:r>
          </w:p>
        </w:tc>
      </w:tr>
      <w:tr w14:paraId="0AD048D7">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59CFCC">
            <w:pPr>
              <w:numPr>
                <w:ilvl w:val="0"/>
                <w:numId w:val="22"/>
              </w:numPr>
              <w:tabs>
                <w:tab w:val="left" w:pos="420"/>
              </w:tabs>
              <w:ind w:left="420" w:hanging="420"/>
              <w:jc w:val="center"/>
              <w:rPr>
                <w:rFonts w:hint="eastAsia"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22</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8597FA">
            <w:pPr>
              <w:ind w:firstLine="14"/>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勘察现场</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244DFB">
            <w:pPr>
              <w:tabs>
                <w:tab w:val="left" w:pos="8640"/>
              </w:tabs>
              <w:jc w:val="left"/>
              <w:rPr>
                <w:rFonts w:hint="eastAsia" w:ascii="宋体" w:hAnsi="宋体" w:eastAsia="宋体" w:cs="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不组织，供应商自行勘察。</w:t>
            </w:r>
          </w:p>
        </w:tc>
      </w:tr>
      <w:tr w14:paraId="5ABFEF5A">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870B7C">
            <w:pPr>
              <w:numPr>
                <w:ilvl w:val="0"/>
                <w:numId w:val="23"/>
              </w:numPr>
              <w:tabs>
                <w:tab w:val="left" w:pos="420"/>
              </w:tabs>
              <w:ind w:left="420" w:hanging="420"/>
              <w:jc w:val="center"/>
              <w:rPr>
                <w:rFonts w:hint="eastAsia"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23</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D09AC5">
            <w:pPr>
              <w:spacing w:before="156" w:beforeLines="50"/>
              <w:ind w:firstLine="14" w:firstLineChars="6"/>
              <w:jc w:val="center"/>
              <w:rPr>
                <w:rFonts w:hint="eastAsia" w:ascii="宋体" w:hAnsi="宋体" w:eastAsia="宋体" w:cs="宋体"/>
                <w:color w:val="000000" w:themeColor="text1"/>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报价</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CE41D2">
            <w:pPr>
              <w:tabs>
                <w:tab w:val="left" w:pos="8640"/>
              </w:tabs>
              <w:jc w:val="left"/>
              <w:rPr>
                <w:rFonts w:hint="eastAsia" w:ascii="宋体" w:hAnsi="宋体" w:eastAsia="宋体" w:cs="宋体"/>
                <w:color w:val="000000" w:themeColor="text1"/>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一次报价</w:t>
            </w:r>
          </w:p>
        </w:tc>
      </w:tr>
      <w:tr w14:paraId="10BF55C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4E3646">
            <w:pPr>
              <w:numPr>
                <w:ilvl w:val="0"/>
                <w:numId w:val="23"/>
              </w:numPr>
              <w:tabs>
                <w:tab w:val="left" w:pos="420"/>
              </w:tabs>
              <w:ind w:left="420" w:hanging="420"/>
              <w:jc w:val="center"/>
              <w:rPr>
                <w:rFonts w:hint="eastAsia" w:ascii="宋体" w:hAnsi="宋体" w:eastAsia="宋体" w:cs="宋体"/>
                <w:color w:val="000000" w:themeColor="text1"/>
                <w:sz w:val="22"/>
                <w14:textFill>
                  <w14:solidFill>
                    <w14:schemeClr w14:val="tx1"/>
                  </w14:solidFill>
                </w14:textFill>
              </w:rPr>
            </w:pP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84E875">
            <w:pPr>
              <w:spacing w:before="156" w:beforeLines="50"/>
              <w:ind w:firstLine="14" w:firstLineChars="6"/>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所属行业</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D69FDA">
            <w:pPr>
              <w:tabs>
                <w:tab w:val="left" w:pos="8640"/>
              </w:tabs>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软件和信息技术服务业</w:t>
            </w:r>
          </w:p>
        </w:tc>
      </w:tr>
    </w:tbl>
    <w:p w14:paraId="17495B47">
      <w:pPr>
        <w:tabs>
          <w:tab w:val="left" w:pos="0"/>
          <w:tab w:val="left" w:pos="993"/>
          <w:tab w:val="left" w:pos="1134"/>
        </w:tabs>
        <w:rPr>
          <w:rFonts w:hint="eastAsia" w:ascii="宋体" w:hAnsi="宋体" w:eastAsia="宋体" w:cs="宋体"/>
          <w:b/>
          <w:color w:val="000000" w:themeColor="text1"/>
          <w:sz w:val="24"/>
          <w14:textFill>
            <w14:solidFill>
              <w14:schemeClr w14:val="tx1"/>
            </w14:solidFill>
          </w14:textFill>
        </w:rPr>
      </w:pPr>
    </w:p>
    <w:p w14:paraId="743F72EE">
      <w:pPr>
        <w:spacing w:line="720" w:lineRule="auto"/>
        <w:jc w:val="center"/>
        <w:rPr>
          <w:rFonts w:hint="eastAsia" w:ascii="宋体" w:hAnsi="宋体" w:eastAsia="宋体" w:cs="宋体"/>
          <w:b/>
          <w:color w:val="000000" w:themeColor="text1"/>
          <w:sz w:val="24"/>
          <w14:textFill>
            <w14:solidFill>
              <w14:schemeClr w14:val="tx1"/>
            </w14:solidFill>
          </w14:textFill>
        </w:rPr>
      </w:pPr>
    </w:p>
    <w:p w14:paraId="412900E2">
      <w:pPr>
        <w:spacing w:line="720" w:lineRule="auto"/>
        <w:jc w:val="center"/>
        <w:rPr>
          <w:rFonts w:hint="eastAsia" w:ascii="宋体" w:hAnsi="宋体" w:eastAsia="宋体" w:cs="宋体"/>
          <w:b/>
          <w:color w:val="000000" w:themeColor="text1"/>
          <w:sz w:val="24"/>
          <w14:textFill>
            <w14:solidFill>
              <w14:schemeClr w14:val="tx1"/>
            </w14:solidFill>
          </w14:textFill>
        </w:rPr>
      </w:pPr>
    </w:p>
    <w:p w14:paraId="5D13B1A5">
      <w:pPr>
        <w:spacing w:line="720" w:lineRule="auto"/>
        <w:jc w:val="center"/>
        <w:rPr>
          <w:rFonts w:hint="eastAsia" w:ascii="宋体" w:hAnsi="宋体" w:eastAsia="宋体" w:cs="宋体"/>
          <w:b/>
          <w:color w:val="000000" w:themeColor="text1"/>
          <w:sz w:val="24"/>
          <w14:textFill>
            <w14:solidFill>
              <w14:schemeClr w14:val="tx1"/>
            </w14:solidFill>
          </w14:textFill>
        </w:rPr>
      </w:pPr>
    </w:p>
    <w:p w14:paraId="5792F516">
      <w:pPr>
        <w:spacing w:line="720" w:lineRule="auto"/>
        <w:jc w:val="center"/>
        <w:rPr>
          <w:rFonts w:hint="eastAsia" w:ascii="宋体" w:hAnsi="宋体" w:eastAsia="宋体" w:cs="宋体"/>
          <w:b/>
          <w:color w:val="000000" w:themeColor="text1"/>
          <w:sz w:val="24"/>
          <w14:textFill>
            <w14:solidFill>
              <w14:schemeClr w14:val="tx1"/>
            </w14:solidFill>
          </w14:textFill>
        </w:rPr>
      </w:pPr>
    </w:p>
    <w:p w14:paraId="3BD12748">
      <w:pPr>
        <w:spacing w:line="720" w:lineRule="auto"/>
        <w:jc w:val="center"/>
        <w:rPr>
          <w:rFonts w:hint="eastAsia" w:ascii="宋体" w:hAnsi="宋体" w:eastAsia="宋体" w:cs="宋体"/>
          <w:b/>
          <w:color w:val="000000" w:themeColor="text1"/>
          <w:sz w:val="24"/>
          <w14:textFill>
            <w14:solidFill>
              <w14:schemeClr w14:val="tx1"/>
            </w14:solidFill>
          </w14:textFill>
        </w:rPr>
      </w:pPr>
    </w:p>
    <w:p w14:paraId="61DCCA46">
      <w:pPr>
        <w:spacing w:line="720" w:lineRule="auto"/>
        <w:jc w:val="center"/>
        <w:rPr>
          <w:rFonts w:hint="eastAsia" w:ascii="宋体" w:hAnsi="宋体" w:eastAsia="宋体" w:cs="宋体"/>
          <w:b/>
          <w:color w:val="000000" w:themeColor="text1"/>
          <w:sz w:val="24"/>
          <w14:textFill>
            <w14:solidFill>
              <w14:schemeClr w14:val="tx1"/>
            </w14:solidFill>
          </w14:textFill>
        </w:rPr>
      </w:pPr>
    </w:p>
    <w:p w14:paraId="6E48C674">
      <w:pPr>
        <w:pStyle w:val="2"/>
        <w:ind w:firstLine="210"/>
        <w:rPr>
          <w:color w:val="000000" w:themeColor="text1"/>
          <w14:textFill>
            <w14:solidFill>
              <w14:schemeClr w14:val="tx1"/>
            </w14:solidFill>
          </w14:textFill>
        </w:rPr>
      </w:pPr>
    </w:p>
    <w:p w14:paraId="78F246F9">
      <w:pPr>
        <w:spacing w:line="720" w:lineRule="auto"/>
        <w:jc w:val="center"/>
        <w:rPr>
          <w:rFonts w:hint="eastAsia" w:ascii="宋体" w:hAnsi="宋体" w:eastAsia="宋体" w:cs="宋体"/>
          <w:b/>
          <w:color w:val="000000" w:themeColor="text1"/>
          <w:sz w:val="24"/>
          <w14:textFill>
            <w14:solidFill>
              <w14:schemeClr w14:val="tx1"/>
            </w14:solidFill>
          </w14:textFill>
        </w:rPr>
      </w:pPr>
    </w:p>
    <w:p w14:paraId="02B2A574">
      <w:pPr>
        <w:spacing w:line="720" w:lineRule="auto"/>
        <w:jc w:val="center"/>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一、总则</w:t>
      </w:r>
    </w:p>
    <w:p w14:paraId="1A8217A1">
      <w:pPr>
        <w:spacing w:line="560" w:lineRule="auto"/>
        <w:ind w:firstLine="482"/>
        <w:rPr>
          <w:rFonts w:hint="eastAsia" w:ascii="宋体" w:hAnsi="宋体" w:eastAsia="宋体" w:cs="宋体"/>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1．适用范围</w:t>
      </w:r>
    </w:p>
    <w:p w14:paraId="0BD13B37">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1.1本竞争性磋商文件仅适用于本次竞争性磋商邀请函中所述项目。</w:t>
      </w:r>
    </w:p>
    <w:p w14:paraId="74D96F40">
      <w:pPr>
        <w:spacing w:line="560" w:lineRule="auto"/>
        <w:ind w:firstLine="482"/>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2．定义</w:t>
      </w:r>
    </w:p>
    <w:p w14:paraId="548DF0A2">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2.1“采购代理机构”：周口市公共资源交易中心政府采购中心。</w:t>
      </w:r>
    </w:p>
    <w:p w14:paraId="64555B2E">
      <w:pPr>
        <w:tabs>
          <w:tab w:val="left" w:pos="0"/>
        </w:tabs>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2.2“采购人”：</w:t>
      </w:r>
      <w:r>
        <w:rPr>
          <w:rFonts w:hint="eastAsia" w:ascii="宋体" w:hAnsi="宋体" w:eastAsia="宋体" w:cs="宋体"/>
          <w:color w:val="000000" w:themeColor="text1"/>
          <w:sz w:val="24"/>
          <w14:textFill>
            <w14:solidFill>
              <w14:schemeClr w14:val="tx1"/>
            </w14:solidFill>
          </w14:textFill>
        </w:rPr>
        <w:t xml:space="preserve"> 周口市水利局</w:t>
      </w:r>
    </w:p>
    <w:p w14:paraId="3997D5DE">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2.3“供应商”系指按竞争性磋商文件规定取得竞争性磋商文件并参加竞争性磋商活动的法人、其他组织或者自然人。</w:t>
      </w:r>
    </w:p>
    <w:p w14:paraId="10F47D8B">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2.4“供应商代表”：系指代表供应商参加本次竞争性磋商活动的供应商的法定代表人或其委托代理人。</w:t>
      </w:r>
    </w:p>
    <w:p w14:paraId="0E80F373">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2.5“货物“：系指各种形态和种类的物品，包括原材料、燃料、设备、产品等，包括与之相关的备品备件、工具、手册及安装、调试、技术协助、校准、培训、验收、售后服务等。</w:t>
      </w:r>
    </w:p>
    <w:p w14:paraId="04082DDD">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2.6“法定代表人”系指法人单位（企业）法人营业执照（或事业法人登记证书上）上注明的法定代表人；如为其他组织或个体经营者参加竞争性磋商会的，指营业执照上注明的负责人或经营者。 </w:t>
      </w:r>
    </w:p>
    <w:p w14:paraId="48D43BC5">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2.7“重大违法记录”系指供应商因违法经营受到刑事处罚或者责令停产停业、吊销许可证或者执照、较大数额罚款等行政处罚。</w:t>
      </w:r>
    </w:p>
    <w:p w14:paraId="1105CF28">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2.8“不具备良好的商业信誉”是指：</w:t>
      </w:r>
    </w:p>
    <w:p w14:paraId="26E8FC29">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（1）有重大违法记录的（满三年的除外）；</w:t>
      </w:r>
    </w:p>
    <w:p w14:paraId="531E8770">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（2）被各级财政部门列入政府采购严重违法失信行为信息记录的（期限已满的除外）；</w:t>
      </w:r>
    </w:p>
    <w:p w14:paraId="553EA5A8">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（3）被各级政府采购监督管理部门禁止在一定期限内参加政府采购活动等处罚的（期限已满的除外）；</w:t>
      </w:r>
    </w:p>
    <w:p w14:paraId="5F66134B">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（4）被各级法院列入失信名单的（已依法解除的除外）；</w:t>
      </w:r>
    </w:p>
    <w:p w14:paraId="69FF0859">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（5）法律法规规定的其他情形。</w:t>
      </w:r>
    </w:p>
    <w:p w14:paraId="77F031F1">
      <w:pPr>
        <w:spacing w:line="560" w:lineRule="auto"/>
        <w:ind w:firstLine="482"/>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3.采购预算</w:t>
      </w:r>
    </w:p>
    <w:p w14:paraId="54B8F52B">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3.1本次采购预算：见公告。</w:t>
      </w:r>
    </w:p>
    <w:p w14:paraId="56A24DF5">
      <w:pPr>
        <w:spacing w:line="560" w:lineRule="auto"/>
        <w:ind w:firstLine="482"/>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4.合格的供应商</w:t>
      </w:r>
    </w:p>
    <w:p w14:paraId="2B9599F4">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4.1.1符合供应商资格条件（详见第一部分供应商资格条件）</w:t>
      </w:r>
    </w:p>
    <w:p w14:paraId="253FF956">
      <w:pPr>
        <w:spacing w:line="360" w:lineRule="auto"/>
        <w:ind w:firstLine="480"/>
        <w:rPr>
          <w:rFonts w:hint="eastAsia" w:ascii="宋体" w:hAnsi="宋体" w:eastAsia="宋体" w:cs="宋体"/>
          <w:color w:val="000000" w:themeColor="text1"/>
          <w:sz w:val="24"/>
          <w:shd w:val="clear" w:color="auto" w:fill="FFFFFF"/>
          <w14:textFill>
            <w14:solidFill>
              <w14:schemeClr w14:val="tx1"/>
            </w14:solidFill>
          </w14:textFill>
        </w:rPr>
      </w:pPr>
      <w:r>
        <w:rPr>
          <w:rFonts w:ascii="宋体" w:hAnsi="宋体" w:eastAsia="宋体" w:cs="宋体"/>
          <w:color w:val="000000" w:themeColor="text1"/>
          <w:sz w:val="24"/>
          <w:shd w:val="clear" w:color="auto" w:fill="FFFFFF"/>
          <w14:textFill>
            <w14:solidFill>
              <w14:schemeClr w14:val="tx1"/>
            </w14:solidFill>
          </w14:textFill>
        </w:rPr>
        <w:t>4.1.2</w:t>
      </w:r>
      <w:r>
        <w:rPr>
          <w:rFonts w:ascii="宋体" w:hAnsi="宋体" w:eastAsia="宋体" w:cs="宋体"/>
          <w:color w:val="000000" w:themeColor="text1"/>
          <w:sz w:val="24"/>
          <w14:textFill>
            <w14:solidFill>
              <w14:schemeClr w14:val="tx1"/>
            </w14:solidFill>
          </w14:textFill>
        </w:rPr>
        <w:t>参加政府采购活动前三年内，在经营活动中没有重大违法记录的声明函</w:t>
      </w:r>
      <w:r>
        <w:rPr>
          <w:rFonts w:ascii="宋体" w:hAnsi="宋体" w:eastAsia="宋体" w:cs="宋体"/>
          <w:color w:val="000000" w:themeColor="text1"/>
          <w:sz w:val="24"/>
          <w:shd w:val="clear" w:color="auto" w:fill="FFFFFF"/>
          <w14:textFill>
            <w14:solidFill>
              <w14:schemeClr w14:val="tx1"/>
            </w14:solidFill>
          </w14:textFill>
        </w:rPr>
        <w:t>；</w:t>
      </w:r>
    </w:p>
    <w:p w14:paraId="224D2DF6">
      <w:pPr>
        <w:spacing w:line="3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4.1.3 政府采购供应商诚信承诺书；</w:t>
      </w:r>
    </w:p>
    <w:p w14:paraId="05E9086B">
      <w:pPr>
        <w:spacing w:after="120" w:line="360" w:lineRule="auto"/>
        <w:ind w:firstLine="480"/>
        <w:jc w:val="left"/>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4.1.4 供应商自觉抵制政府采购领域商业贿赂行为承诺书；</w:t>
      </w:r>
    </w:p>
    <w:p w14:paraId="57F4A060">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4.2 供应商需提供售后服务体系与承诺。</w:t>
      </w:r>
    </w:p>
    <w:p w14:paraId="3F00C011">
      <w:pPr>
        <w:pStyle w:val="2"/>
        <w:adjustRightInd w:val="0"/>
        <w:snapToGrid w:val="0"/>
        <w:spacing w:after="0" w:line="480" w:lineRule="auto"/>
        <w:ind w:firstLine="480" w:firstLineChars="20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4.3</w:t>
      </w:r>
      <w:r>
        <w:rPr>
          <w:rFonts w:hint="eastAsia" w:ascii="宋体" w:hAnsi="宋体" w:eastAsia="宋体" w:cs="宋体"/>
          <w:color w:val="000000" w:themeColor="text1"/>
          <w:sz w:val="24"/>
          <w14:textFill>
            <w14:solidFill>
              <w14:schemeClr w14:val="tx1"/>
            </w14:solidFill>
          </w14:textFill>
        </w:rPr>
        <w:t>未被工商行政管理机关在全国企业信用信息公示系统中列入严重违法失信企业名单和经营异常名录（查询日期招标公告后）。</w:t>
      </w:r>
    </w:p>
    <w:p w14:paraId="09125F8D">
      <w:pPr>
        <w:spacing w:after="120" w:line="360" w:lineRule="auto"/>
        <w:ind w:firstLine="480"/>
        <w:jc w:val="left"/>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4.4供应商应遵守国家法律、法规有关竞争性磋商的规定。</w:t>
      </w:r>
    </w:p>
    <w:p w14:paraId="20E85E98">
      <w:pPr>
        <w:spacing w:line="3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4.5 凡通过磋商小组符合性审查的供应商均为合格供应商。未通过符合性审查的供应商将视为不响应本项目的竞争性磋商文件被否决。</w:t>
      </w:r>
    </w:p>
    <w:p w14:paraId="0D81B3CE">
      <w:pPr>
        <w:spacing w:line="520" w:lineRule="exact"/>
        <w:ind w:firstLine="480" w:firstLineChars="200"/>
        <w:rPr>
          <w:rFonts w:hint="eastAsia" w:ascii="宋体" w:hAnsi="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注：单位负责人为同一人或者存在直接控股、管理关系的不同供应商，不得参加同一合同项下的政府采购活动</w:t>
      </w:r>
      <w:r>
        <w:rPr>
          <w:rFonts w:hint="eastAsia" w:asciiTheme="minorEastAsia" w:hAnsiTheme="minorEastAsia" w:cstheme="minorEastAsia"/>
          <w:color w:val="000000" w:themeColor="text1"/>
          <w:sz w:val="24"/>
          <w:szCs w:val="24"/>
          <w14:textFill>
            <w14:solidFill>
              <w14:schemeClr w14:val="tx1"/>
            </w14:solidFill>
          </w14:textFill>
        </w:rPr>
        <w:t>（提供国家企业信用信息系统查询截图，包括公司基础信息和股东信息，投标文件中提供公告后法定代表人签章的网站查询扫描件）。</w:t>
      </w:r>
      <w:r>
        <w:rPr>
          <w:rFonts w:hint="eastAsia" w:ascii="宋体" w:hAnsi="宋体" w:cs="宋体"/>
          <w:color w:val="000000" w:themeColor="text1"/>
          <w:sz w:val="24"/>
          <w14:textFill>
            <w14:solidFill>
              <w14:schemeClr w14:val="tx1"/>
            </w14:solidFill>
          </w14:textFill>
        </w:rPr>
        <w:t xml:space="preserve"> </w:t>
      </w:r>
    </w:p>
    <w:p w14:paraId="43DB9D5C">
      <w:pPr>
        <w:spacing w:line="560" w:lineRule="auto"/>
        <w:ind w:firstLine="482"/>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 xml:space="preserve">5.竞争性磋商文件的约束力 </w:t>
      </w:r>
    </w:p>
    <w:p w14:paraId="5B309CC0">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5.l供应商一旦参加竞争性磋商，即被认为接受了本竞争性磋商文件中的所有条款和规定。</w:t>
      </w:r>
    </w:p>
    <w:p w14:paraId="72FA52C8">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r>
        <w:rPr>
          <w:rFonts w:hint="eastAsia" w:ascii="宋体" w:hAnsi="宋体" w:eastAsia="宋体" w:cs="宋体"/>
          <w:color w:val="000000" w:themeColor="text1"/>
          <w:sz w:val="24"/>
          <w14:textFill>
            <w14:solidFill>
              <w14:schemeClr w14:val="tx1"/>
            </w14:solidFill>
          </w14:textFill>
        </w:rPr>
        <w:t>（响应文件中须附无异议承诺书）。</w:t>
      </w:r>
    </w:p>
    <w:p w14:paraId="0846A51E">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5.3本磋商文件由采购人负责解释。</w:t>
      </w:r>
    </w:p>
    <w:p w14:paraId="19391717">
      <w:pPr>
        <w:tabs>
          <w:tab w:val="left" w:pos="0"/>
          <w:tab w:val="left" w:pos="993"/>
          <w:tab w:val="left" w:pos="1134"/>
        </w:tabs>
        <w:ind w:firstLine="480"/>
        <w:rPr>
          <w:rFonts w:hint="eastAsia" w:ascii="宋体" w:hAnsi="宋体" w:eastAsia="宋体" w:cs="宋体"/>
          <w:color w:val="000000" w:themeColor="text1"/>
          <w:sz w:val="24"/>
          <w14:textFill>
            <w14:solidFill>
              <w14:schemeClr w14:val="tx1"/>
            </w14:solidFill>
          </w14:textFill>
        </w:rPr>
      </w:pPr>
    </w:p>
    <w:p w14:paraId="3E3780C2">
      <w:pPr>
        <w:spacing w:line="720" w:lineRule="auto"/>
        <w:jc w:val="center"/>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二、竞争性磋商文件</w:t>
      </w:r>
    </w:p>
    <w:p w14:paraId="72535D2D">
      <w:pPr>
        <w:tabs>
          <w:tab w:val="left" w:pos="632"/>
          <w:tab w:val="left" w:pos="790"/>
        </w:tabs>
        <w:spacing w:line="560" w:lineRule="auto"/>
        <w:ind w:firstLine="482"/>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6．竞争性磋商文件的组成</w:t>
      </w:r>
    </w:p>
    <w:p w14:paraId="032A8B3A">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6.1竞争性磋商文件是用以阐明的采购需求、采购程序和合同格式等的规范性文件。竞争性磋商文件主要由以下部分组成：</w:t>
      </w:r>
    </w:p>
    <w:p w14:paraId="122BD790">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（1）竞争性磋商邀请函；</w:t>
      </w:r>
    </w:p>
    <w:p w14:paraId="36F9583A">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（2）供应商须知；</w:t>
      </w:r>
    </w:p>
    <w:p w14:paraId="16BA7A4C">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（3）采购需求；</w:t>
      </w:r>
    </w:p>
    <w:p w14:paraId="0AF26531">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（4）响应性文件内容及格式；</w:t>
      </w:r>
    </w:p>
    <w:p w14:paraId="1020C964">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（5）合同主要条款。</w:t>
      </w:r>
    </w:p>
    <w:p w14:paraId="54DACAD5">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8A42E7C">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7D983478">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6.4供应商必须详阅竞争性磋商文件的所有条款、文件及表格格式等。供应商若未按竞争性磋商文件的要求和规范编制、提交响应性文件，将有可能导致响应性文件被拒绝接受或被视为无效。</w:t>
      </w:r>
    </w:p>
    <w:p w14:paraId="5321CF3C">
      <w:pPr>
        <w:spacing w:line="560" w:lineRule="auto"/>
        <w:ind w:firstLine="482"/>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7.竞争性磋商文件的澄清与修改</w:t>
      </w:r>
    </w:p>
    <w:p w14:paraId="53182383">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01735F3">
      <w:pPr>
        <w:spacing w:line="720" w:lineRule="auto"/>
        <w:jc w:val="center"/>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三、响应性文件的编制</w:t>
      </w:r>
    </w:p>
    <w:p w14:paraId="757D918D">
      <w:pPr>
        <w:spacing w:line="560" w:lineRule="auto"/>
        <w:ind w:firstLine="482"/>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8.要求</w:t>
      </w:r>
    </w:p>
    <w:p w14:paraId="6D45CC1A">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8.1供应商应仔细阅读、并充分理解竞争性磋商文件的所有内容，按照竞争性磋商文件的要求编制、提交响应性文件。响应性文件应对竞争性磋商文件的要求作出实质性响应，并</w:t>
      </w:r>
      <w:r>
        <w:rPr>
          <w:rFonts w:hint="eastAsia" w:ascii="宋体" w:hAnsi="宋体" w:eastAsia="宋体" w:cs="宋体"/>
          <w:color w:val="000000" w:themeColor="text1"/>
          <w:sz w:val="24"/>
          <w14:textFill>
            <w14:solidFill>
              <w14:schemeClr w14:val="tx1"/>
            </w14:solidFill>
          </w14:textFill>
        </w:rPr>
        <w:t>书面</w:t>
      </w:r>
      <w:r>
        <w:rPr>
          <w:rFonts w:ascii="宋体" w:hAnsi="宋体" w:eastAsia="宋体" w:cs="宋体"/>
          <w:color w:val="000000" w:themeColor="text1"/>
          <w:sz w:val="24"/>
          <w14:textFill>
            <w14:solidFill>
              <w14:schemeClr w14:val="tx1"/>
            </w14:solidFill>
          </w14:textFill>
        </w:rPr>
        <w:t>保证所提供的全部资料的真实性、合法性，否则其响应性文件将作为无效处理。</w:t>
      </w:r>
    </w:p>
    <w:p w14:paraId="29B3E148">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8.2任何对竞争性磋商文件的忽略或误解不能作为响应性文件没有完全响应竞争性磋商文件的有效理由。</w:t>
      </w:r>
    </w:p>
    <w:p w14:paraId="6D49F28A">
      <w:pPr>
        <w:tabs>
          <w:tab w:val="left" w:pos="821"/>
        </w:tabs>
        <w:adjustRightInd w:val="0"/>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8.3供应商没有按照竞争性磋商文件要求提供全部资料，或者供应商没有对竞争性磋商文件在各方面都作出实质性响应是供应商的风险，并可能导致其响应性文件被拒绝。</w:t>
      </w:r>
    </w:p>
    <w:p w14:paraId="5BFA0CEE">
      <w:pPr>
        <w:tabs>
          <w:tab w:val="left" w:pos="821"/>
        </w:tabs>
        <w:adjustRightInd w:val="0"/>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8.4供应商提交的响应文件资料应证明其满足招标文件要求并在材料上面签署与原件一致字样，该文件包括资格材料、文字资料、图纸和数据等详细描述的资料,否则视为不响应招标文件。</w:t>
      </w:r>
    </w:p>
    <w:p w14:paraId="74D646EB">
      <w:pPr>
        <w:pStyle w:val="2"/>
        <w:spacing w:line="48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8.5参与竞争性磋商活动的各供应商应对竞争性磋商文件和竞争性磋商响应文件中的商业和技术等秘密保密，违者应对由此造成的后果承担法律责任。对上述作出书面声明并附在响应文件中。</w:t>
      </w:r>
    </w:p>
    <w:p w14:paraId="5B6B9550">
      <w:pPr>
        <w:spacing w:line="560" w:lineRule="auto"/>
        <w:ind w:firstLine="482"/>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 xml:space="preserve">9.响应性文件的语言及度量衡 </w:t>
      </w:r>
    </w:p>
    <w:p w14:paraId="494C064A">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9.1响应性文件以及供应商与采购代理机构之间的所有书面往来都应用简体中文书写。 </w:t>
      </w:r>
    </w:p>
    <w:p w14:paraId="049A11C3">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9.2供应商使用其他语言的，以中文翻译为准。 </w:t>
      </w:r>
    </w:p>
    <w:p w14:paraId="25A82741">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3EF6B20B">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9.4本竞争性磋商文件所表述的时间均为北京时间。</w:t>
      </w:r>
    </w:p>
    <w:p w14:paraId="19192A23">
      <w:pPr>
        <w:spacing w:line="560" w:lineRule="auto"/>
        <w:ind w:firstLine="482"/>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10.响应性文件的组成</w:t>
      </w:r>
    </w:p>
    <w:p w14:paraId="757247E5">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10.1响应性文件由</w:t>
      </w:r>
      <w:r>
        <w:rPr>
          <w:rFonts w:ascii="宋体" w:hAnsi="宋体" w:eastAsia="宋体" w:cs="宋体"/>
          <w:color w:val="000000" w:themeColor="text1"/>
          <w:sz w:val="24"/>
          <w:u w:val="single"/>
          <w14:textFill>
            <w14:solidFill>
              <w14:schemeClr w14:val="tx1"/>
            </w14:solidFill>
          </w14:textFill>
        </w:rPr>
        <w:t>资格性证明材料</w:t>
      </w:r>
      <w:r>
        <w:rPr>
          <w:rFonts w:ascii="宋体" w:hAnsi="宋体" w:eastAsia="宋体" w:cs="宋体"/>
          <w:color w:val="000000" w:themeColor="text1"/>
          <w:sz w:val="24"/>
          <w14:textFill>
            <w14:solidFill>
              <w14:schemeClr w14:val="tx1"/>
            </w14:solidFill>
          </w14:textFill>
        </w:rPr>
        <w:t>、</w:t>
      </w:r>
      <w:r>
        <w:rPr>
          <w:rFonts w:ascii="宋体" w:hAnsi="宋体" w:eastAsia="宋体" w:cs="宋体"/>
          <w:color w:val="000000" w:themeColor="text1"/>
          <w:sz w:val="24"/>
          <w:u w:val="single"/>
          <w14:textFill>
            <w14:solidFill>
              <w14:schemeClr w14:val="tx1"/>
            </w14:solidFill>
          </w14:textFill>
        </w:rPr>
        <w:t>符合性证明材料</w:t>
      </w:r>
      <w:r>
        <w:rPr>
          <w:rFonts w:ascii="宋体" w:hAnsi="宋体" w:eastAsia="宋体" w:cs="宋体"/>
          <w:color w:val="000000" w:themeColor="text1"/>
          <w:sz w:val="24"/>
          <w14:textFill>
            <w14:solidFill>
              <w14:schemeClr w14:val="tx1"/>
            </w14:solidFill>
          </w14:textFill>
        </w:rPr>
        <w:t>、</w:t>
      </w:r>
      <w:r>
        <w:rPr>
          <w:rFonts w:ascii="宋体" w:hAnsi="宋体" w:eastAsia="宋体" w:cs="宋体"/>
          <w:color w:val="000000" w:themeColor="text1"/>
          <w:sz w:val="24"/>
          <w:u w:val="single"/>
          <w14:textFill>
            <w14:solidFill>
              <w14:schemeClr w14:val="tx1"/>
            </w14:solidFill>
          </w14:textFill>
        </w:rPr>
        <w:t>其他材料</w:t>
      </w:r>
      <w:r>
        <w:rPr>
          <w:rFonts w:ascii="宋体" w:hAnsi="宋体" w:eastAsia="宋体" w:cs="宋体"/>
          <w:color w:val="000000" w:themeColor="text1"/>
          <w:sz w:val="24"/>
          <w14:textFill>
            <w14:solidFill>
              <w14:schemeClr w14:val="tx1"/>
            </w14:solidFill>
          </w14:textFill>
        </w:rPr>
        <w:t>三部分组成。具体内容和格式见竞争性磋商文件第四章。</w:t>
      </w:r>
    </w:p>
    <w:p w14:paraId="3C3D0B76">
      <w:pPr>
        <w:spacing w:line="560" w:lineRule="auto"/>
        <w:ind w:firstLine="482"/>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11.响应性文件格式</w:t>
      </w:r>
    </w:p>
    <w:p w14:paraId="0CED7DAB">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DFACDC2">
      <w:pPr>
        <w:spacing w:line="560" w:lineRule="auto"/>
        <w:ind w:firstLine="482"/>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12.竞争性磋商报价</w:t>
      </w:r>
    </w:p>
    <w:p w14:paraId="69B44DA3">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12.1报价包括所投货物、保险、税费、包装、加工及加工损耗、运输、现场落地、安装及安装损耗、调试、检测、验收和交付后约定期限内免费维保等工作所发生的一切应有费用。</w:t>
      </w:r>
    </w:p>
    <w:p w14:paraId="45134EF7">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12.2经过磋商后进行的报价为供应商的最终报价。</w:t>
      </w:r>
    </w:p>
    <w:p w14:paraId="10C93106">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12.3采购人不接受有选择的报价。</w:t>
      </w:r>
    </w:p>
    <w:p w14:paraId="116A7E1C">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12.4最终报价不得超过采购预算。</w:t>
      </w:r>
    </w:p>
    <w:p w14:paraId="3D74C439">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12.5报价均须以人民币为计算单位。</w:t>
      </w:r>
    </w:p>
    <w:p w14:paraId="4398A68F">
      <w:pPr>
        <w:spacing w:line="560" w:lineRule="auto"/>
        <w:ind w:firstLine="482"/>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 xml:space="preserve">13．响应性文件有效期 </w:t>
      </w:r>
    </w:p>
    <w:p w14:paraId="523A8C59">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13.l响应性文件有效期为自竞争性磋商开始之日起60天，有效期短于此规定的响应性文件将被视为无效。</w:t>
      </w:r>
    </w:p>
    <w:p w14:paraId="2B27085A">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13782C41">
      <w:pPr>
        <w:spacing w:line="560" w:lineRule="auto"/>
        <w:ind w:firstLine="482"/>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14.响应性文件的签署、盖章</w:t>
      </w:r>
    </w:p>
    <w:p w14:paraId="04467F00">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14.1响应性文件中凡是要求签署和加盖公章处均须由供应商的法定代表人或其委托代理人签字并加盖供应商公章。本竞争性磋商文件所表述（指定）的公章是指法人（供应商）行政公章，不包括专用章。</w:t>
      </w:r>
    </w:p>
    <w:p w14:paraId="1F82DE1F">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14.2响应性文件应无涂改和行间插字，除非这些改动是为改正供应商造成的必须修改的错误进行的。有改动时，修改处应由供应商代表签署证明或加盖公章，但非供应商出具的材料，供应商改动无效。</w:t>
      </w:r>
    </w:p>
    <w:p w14:paraId="7A900ACC">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14.3供应商提交的资料应证明其满足竞争性磋商文件要求，该文件可以是文字资料、图纸和数据等详细描述的资料。</w:t>
      </w:r>
    </w:p>
    <w:p w14:paraId="02FB3584">
      <w:pPr>
        <w:spacing w:line="360" w:lineRule="auto"/>
        <w:ind w:firstLine="550"/>
        <w:rPr>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15</w:t>
      </w:r>
      <w:r>
        <w:rPr>
          <w:rFonts w:hint="eastAsia" w:ascii="宋体" w:hAnsi="宋体" w:cs="宋体"/>
          <w:color w:val="000000" w:themeColor="text1"/>
          <w:sz w:val="24"/>
          <w14:textFill>
            <w14:solidFill>
              <w14:schemeClr w14:val="tx1"/>
            </w14:solidFill>
          </w14:textFill>
        </w:rPr>
        <w:t>电子投标文件制作，见周口市公共资源交易中心网站下载中心版块《投标单位-电子投标文件视频制作手册》的相关规定。</w:t>
      </w:r>
    </w:p>
    <w:p w14:paraId="7A40B0BD">
      <w:pPr>
        <w:pStyle w:val="2"/>
        <w:ind w:firstLine="210"/>
        <w:rPr>
          <w:color w:val="000000" w:themeColor="text1"/>
          <w14:textFill>
            <w14:solidFill>
              <w14:schemeClr w14:val="tx1"/>
            </w14:solidFill>
          </w14:textFill>
        </w:rPr>
      </w:pPr>
    </w:p>
    <w:p w14:paraId="1EC92DD0">
      <w:pPr>
        <w:numPr>
          <w:ilvl w:val="0"/>
          <w:numId w:val="24"/>
        </w:numPr>
        <w:tabs>
          <w:tab w:val="left" w:pos="720"/>
        </w:tabs>
        <w:spacing w:line="720" w:lineRule="auto"/>
        <w:ind w:left="720" w:hanging="720"/>
        <w:jc w:val="center"/>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响应性文件的递交</w:t>
      </w:r>
    </w:p>
    <w:p w14:paraId="26EF4561">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4455249">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32728F44">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供应商须使用单位CA证书进行电子响应文件远程解密，详见周口市公共资源电子交易中心网站（网址：http://jyzx.zhoukou.gov.cn）办事指南《不见面开标远程在线解密会员端操作手册操作指南》。</w:t>
      </w:r>
    </w:p>
    <w:p w14:paraId="6FEEE7E3">
      <w:pPr>
        <w:spacing w:line="560" w:lineRule="auto"/>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16.响应性文件的递交</w:t>
      </w:r>
    </w:p>
    <w:p w14:paraId="3B42D48B">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0DE0B3B0">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005A1C97">
      <w:pPr>
        <w:spacing w:line="560" w:lineRule="auto"/>
        <w:ind w:firstLine="482"/>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17.响应性文件的修改和撤回</w:t>
      </w:r>
    </w:p>
    <w:p w14:paraId="1C07826F">
      <w:pPr>
        <w:spacing w:line="560" w:lineRule="auto"/>
        <w:ind w:left="279" w:firstLine="240"/>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67238AEE">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5995B3F0">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17.3供应商在响应性文件接收截止时间后不得修改、撤回响应性文件。供应商在响应性文件接收截止时间后修改响应性文件的，将被拒绝接受。</w:t>
      </w:r>
    </w:p>
    <w:p w14:paraId="5F24D21B">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17.4供应商有下列情形之一的，采购人将拒绝接受其响应性文件：</w:t>
      </w:r>
    </w:p>
    <w:p w14:paraId="229D406F">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17.4.1在竞争性磋商文件规定的响应性文件接收截止时间之后递交响应性文件的；</w:t>
      </w:r>
    </w:p>
    <w:p w14:paraId="05BDA803">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17.4.2响应性文件未按竞争性磋商文件规定密封、签署、盖章的；</w:t>
      </w:r>
    </w:p>
    <w:p w14:paraId="57E32BB8">
      <w:pPr>
        <w:spacing w:line="560" w:lineRule="auto"/>
        <w:ind w:firstLine="480"/>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17.4.3一个供应商不止递交一套响应性文件的。</w:t>
      </w:r>
    </w:p>
    <w:p w14:paraId="41110743">
      <w:pPr>
        <w:spacing w:line="720" w:lineRule="auto"/>
        <w:jc w:val="center"/>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五、竞争性磋商</w:t>
      </w:r>
    </w:p>
    <w:p w14:paraId="455071E0">
      <w:pPr>
        <w:spacing w:line="560" w:lineRule="auto"/>
        <w:ind w:firstLine="482"/>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18.组建竞争性磋商小组</w:t>
      </w:r>
    </w:p>
    <w:p w14:paraId="3A2D84BA">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18.1采购人根据采购项目的特点依法组建竞争性磋商小组。</w:t>
      </w:r>
    </w:p>
    <w:p w14:paraId="7F49B20D">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18.2竞争性磋商小组确认竞争性磋商文件，并负责具体评审事务，根据有关法律法规和竞争性磋商文件规定的评审程序，按照评审方法及评审标准独立履行竞争性磋商小组职责。</w:t>
      </w:r>
    </w:p>
    <w:p w14:paraId="49409ECC">
      <w:pPr>
        <w:spacing w:line="560" w:lineRule="auto"/>
        <w:ind w:firstLine="482"/>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19.资格性和符合性审查</w:t>
      </w:r>
    </w:p>
    <w:p w14:paraId="4F18DE89">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81E133A">
      <w:pPr>
        <w:spacing w:line="560" w:lineRule="auto"/>
        <w:ind w:firstLine="480"/>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19.1.1资格性审查的内容包括：竞争性磋商文件规定的供应商资格条件；</w:t>
      </w:r>
    </w:p>
    <w:p w14:paraId="04D4494D">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F0CCF69">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19.2.1符合性审查的内容包括：</w:t>
      </w:r>
    </w:p>
    <w:p w14:paraId="097DD114">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（1）响应性文件的有效性(签署情况等)；</w:t>
      </w:r>
    </w:p>
    <w:p w14:paraId="3ACAAF41">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（2）响应性文件的完整性；</w:t>
      </w:r>
    </w:p>
    <w:p w14:paraId="3B6D153F">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19.2.2</w:t>
      </w:r>
      <w:r>
        <w:rPr>
          <w:rFonts w:ascii="宋体" w:hAnsi="宋体" w:eastAsia="宋体" w:cs="宋体"/>
          <w:color w:val="000000" w:themeColor="text1"/>
          <w:sz w:val="24"/>
          <w14:textFill>
            <w14:solidFill>
              <w14:schemeClr w14:val="tx1"/>
            </w14:solidFill>
          </w14:textFill>
        </w:rPr>
        <w:t>对竞争性磋商文件的响应程度（是否存在重大负偏离等）</w:t>
      </w:r>
      <w:r>
        <w:rPr>
          <w:rFonts w:hint="eastAsia" w:ascii="宋体" w:hAnsi="宋体" w:eastAsia="宋体" w:cs="宋体"/>
          <w:color w:val="000000" w:themeColor="text1"/>
          <w:sz w:val="24"/>
          <w14:textFill>
            <w14:solidFill>
              <w14:schemeClr w14:val="tx1"/>
            </w14:solidFill>
          </w14:textFill>
        </w:rPr>
        <w:t xml:space="preserve">包括： </w:t>
      </w:r>
    </w:p>
    <w:p w14:paraId="62D4E594">
      <w:pPr>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（1）对项目的描述准确、思路清晰及货物主要性能（内容）的详细描述；</w:t>
      </w:r>
    </w:p>
    <w:p w14:paraId="1B867630">
      <w:pPr>
        <w:pStyle w:val="2"/>
        <w:ind w:firstLine="210"/>
        <w:rPr>
          <w:color w:val="000000" w:themeColor="text1"/>
          <w14:textFill>
            <w14:solidFill>
              <w14:schemeClr w14:val="tx1"/>
            </w14:solidFill>
          </w14:textFill>
        </w:rPr>
      </w:pPr>
    </w:p>
    <w:p w14:paraId="1C785AD9">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（2）提供的证明文件齐全：响应人按照竞争性磋商文件要求提供的证明文件齐全有效； </w:t>
      </w:r>
    </w:p>
    <w:p w14:paraId="504208E1">
      <w:pPr>
        <w:spacing w:line="360" w:lineRule="auto"/>
        <w:ind w:firstLine="523" w:firstLineChars="218"/>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（3）保证所投货物正常、安全、连续运行期间所需的所有备品、备件及专用工具的详细清单。</w:t>
      </w:r>
    </w:p>
    <w:p w14:paraId="268CDE6C">
      <w:pPr>
        <w:spacing w:line="560" w:lineRule="auto"/>
        <w:ind w:firstLine="720" w:firstLineChars="30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以上资格性审查和符合性审查的内容只要有一条不满足，则响应性文件无效，将不进入竞争性磋商程序。</w:t>
      </w:r>
    </w:p>
    <w:p w14:paraId="053DA44A">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注意事项：资格性、符合性证明材料见竞争性磋商文件第四章规定。</w:t>
      </w:r>
    </w:p>
    <w:p w14:paraId="28D45033">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74157989">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6E461C5">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3287BD13">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19.6竞争性磋商小组审定响应性文件的响应性只根据响应性文件本身的内容而不寻求外部证据。</w:t>
      </w:r>
    </w:p>
    <w:p w14:paraId="1C6D5B25">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19.7凡有下列情况之一的，其响应性文件也被视为未实质性响应竞争性磋商文件，按照无效处理（不再参加竞争性磋商）：</w:t>
      </w:r>
    </w:p>
    <w:p w14:paraId="2A4E5ABB">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19.7.1未按竞争性磋商文件规定要求签署、盖章的；</w:t>
      </w:r>
    </w:p>
    <w:p w14:paraId="1AFB8BEE">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19.7.2资格证明文件不全的，或不符合竞争性磋商文件中规定的资格要求的；</w:t>
      </w:r>
    </w:p>
    <w:p w14:paraId="3F33F4B0">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19.7.3供应商代表未能出具有效身份证明，或与身份不符的；</w:t>
      </w:r>
    </w:p>
    <w:p w14:paraId="473EEBDD">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19.7.4不符合竞争性磋商文件规定的实质性要求的；</w:t>
      </w:r>
    </w:p>
    <w:p w14:paraId="53EB54A7">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19.7.5响应性文件内容不齐全或内容虚假的；</w:t>
      </w:r>
    </w:p>
    <w:p w14:paraId="061B5C92">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19.7.6</w:t>
      </w:r>
      <w:r>
        <w:rPr>
          <w:rFonts w:hint="eastAsia" w:ascii="宋体" w:hAnsi="宋体"/>
          <w:color w:val="000000" w:themeColor="text1"/>
          <w:sz w:val="24"/>
          <w14:textFill>
            <w14:solidFill>
              <w14:schemeClr w14:val="tx1"/>
            </w14:solidFill>
          </w14:textFill>
        </w:rPr>
        <w:t>响应文件未附法定代表人和委托代理人劳务合同及社保证明的；</w:t>
      </w:r>
    </w:p>
    <w:p w14:paraId="62BAEE9B">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19.7.7响应性文件的内容修改处未按规定签名或盖章的；</w:t>
      </w:r>
    </w:p>
    <w:p w14:paraId="38609889">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19.7.8违反法律、行政法规、竞争性磋商文件规定的其他情形的。</w:t>
      </w:r>
    </w:p>
    <w:p w14:paraId="6CC88CA5">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64C87DB7">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不同供应商的投标（响应）文件由同一电子设备编制，打印、复印、加密或者上传的；</w:t>
      </w:r>
    </w:p>
    <w:p w14:paraId="7A8BC558">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5F1EC870">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3AFC5A1D">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7E19D3D0">
      <w:pPr>
        <w:spacing w:line="360" w:lineRule="auto"/>
        <w:ind w:firstLine="480" w:firstLineChars="200"/>
        <w:rPr>
          <w:rFonts w:eastAsia="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19.7.14</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p>
    <w:p w14:paraId="3FDFC521">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19.8在评审过程中，竞争性磋商小组发现供应商有下列情形之一的，视为供应商相互串通，按照无效处理并依据法律、法规追究其相关责任。具体表现形式如下：</w:t>
      </w:r>
    </w:p>
    <w:p w14:paraId="069A527E">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19.8.1不同供应商的响应性文件互相混装的；</w:t>
      </w:r>
    </w:p>
    <w:p w14:paraId="695B5488">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19.8.2不同供应商授权同一人作为供应商委托代理人的；</w:t>
      </w:r>
    </w:p>
    <w:p w14:paraId="6FC6DE6A">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19.8.3不同供应商的响应性文件载明的项目管理成员为同一人的；</w:t>
      </w:r>
    </w:p>
    <w:p w14:paraId="3B4F6FC2">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19.8.4有证据证明供应商与采购人、采购代理机构或者其他供应商串通的其他情形；</w:t>
      </w:r>
    </w:p>
    <w:p w14:paraId="717F4B00">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19.8.5竞争性磋商小组认定的其他串通情形。</w:t>
      </w:r>
    </w:p>
    <w:p w14:paraId="3B6D43EC">
      <w:pPr>
        <w:rPr>
          <w:rFonts w:hint="eastAsia" w:ascii="宋体" w:hAnsi="宋体" w:eastAsia="宋体" w:cs="宋体"/>
          <w:color w:val="000000" w:themeColor="text1"/>
          <w:sz w:val="24"/>
          <w14:textFill>
            <w14:solidFill>
              <w14:schemeClr w14:val="tx1"/>
            </w14:solidFill>
          </w14:textFill>
        </w:rPr>
      </w:pPr>
    </w:p>
    <w:tbl>
      <w:tblPr>
        <w:tblStyle w:val="8"/>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756A5F8D">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D39790">
            <w:pPr>
              <w:tabs>
                <w:tab w:val="left" w:pos="4153"/>
                <w:tab w:val="left" w:pos="8306"/>
              </w:tabs>
              <w:spacing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项目符合性审查表</w:t>
            </w:r>
          </w:p>
        </w:tc>
      </w:tr>
      <w:tr w14:paraId="0ABFD3A9">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E0A82D">
            <w:pPr>
              <w:spacing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A074E1">
            <w:pPr>
              <w:tabs>
                <w:tab w:val="left" w:pos="4153"/>
                <w:tab w:val="left" w:pos="8306"/>
              </w:tabs>
              <w:spacing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B0ADDD">
            <w:pPr>
              <w:spacing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0AADC2">
            <w:pPr>
              <w:spacing w:line="360" w:lineRule="auto"/>
              <w:ind w:right="-10"/>
              <w:jc w:val="center"/>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是否</w:t>
            </w:r>
          </w:p>
          <w:p w14:paraId="50B8C757">
            <w:pPr>
              <w:spacing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C4229B">
            <w:pPr>
              <w:spacing w:line="360" w:lineRule="auto"/>
              <w:ind w:right="-10"/>
              <w:jc w:val="center"/>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投标文件格式及</w:t>
            </w:r>
          </w:p>
          <w:p w14:paraId="0E707186">
            <w:pPr>
              <w:spacing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提交资料要求</w:t>
            </w:r>
          </w:p>
        </w:tc>
      </w:tr>
      <w:tr w14:paraId="1934A645">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27B3C9">
            <w:pPr>
              <w:spacing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292B78">
            <w:pPr>
              <w:spacing w:after="50"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756167">
            <w:pPr>
              <w:spacing w:after="50"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2678D9">
            <w:pPr>
              <w:spacing w:line="360" w:lineRule="auto"/>
              <w:ind w:right="-10"/>
              <w:rPr>
                <w:rFonts w:hint="eastAsia"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6DACD">
            <w:pPr>
              <w:spacing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241E8E35">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DB5699">
            <w:pPr>
              <w:spacing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95ED08">
            <w:pPr>
              <w:spacing w:after="50"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B32C00">
            <w:pPr>
              <w:spacing w:after="50"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ABE74C">
            <w:pPr>
              <w:spacing w:line="360" w:lineRule="auto"/>
              <w:ind w:right="-10"/>
              <w:rPr>
                <w:rFonts w:hint="eastAsia"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D52CA6">
            <w:pPr>
              <w:spacing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01D5CF9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42600B">
            <w:pPr>
              <w:spacing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6B6933">
            <w:pPr>
              <w:spacing w:after="50"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AFB641">
            <w:pPr>
              <w:spacing w:after="50"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EF7E3A">
            <w:pPr>
              <w:spacing w:line="360" w:lineRule="auto"/>
              <w:ind w:right="-10"/>
              <w:rPr>
                <w:rFonts w:hint="eastAsia"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CA7420">
            <w:pPr>
              <w:spacing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0C10C15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8A614D">
            <w:pPr>
              <w:spacing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C38159">
            <w:pPr>
              <w:spacing w:after="50"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45EA8D">
            <w:pPr>
              <w:spacing w:after="50"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43F06B">
            <w:pPr>
              <w:spacing w:line="360" w:lineRule="auto"/>
              <w:ind w:right="-10"/>
              <w:rPr>
                <w:rFonts w:hint="eastAsia"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6B0E4F">
            <w:pPr>
              <w:spacing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6BE0C12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D716BA">
            <w:pPr>
              <w:spacing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8FC6C5">
            <w:pPr>
              <w:spacing w:after="50"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C94E4D">
            <w:pPr>
              <w:spacing w:after="50"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DDEE6">
            <w:pPr>
              <w:spacing w:line="360" w:lineRule="auto"/>
              <w:ind w:right="-10"/>
              <w:rPr>
                <w:rFonts w:hint="eastAsia"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ED1238">
            <w:pPr>
              <w:spacing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1A39365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5E50E8">
            <w:pPr>
              <w:spacing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528B0E">
            <w:pPr>
              <w:spacing w:after="50"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AD6976">
            <w:pPr>
              <w:spacing w:after="50"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B39162">
            <w:pPr>
              <w:spacing w:line="360" w:lineRule="auto"/>
              <w:ind w:right="-10"/>
              <w:rPr>
                <w:rFonts w:hint="eastAsia"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DD3B50">
            <w:pPr>
              <w:spacing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285D6BAE">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E59B7E">
            <w:pPr>
              <w:spacing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8AF0FD">
            <w:pPr>
              <w:spacing w:after="50"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4BE6EF">
            <w:pPr>
              <w:spacing w:after="50"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E7548A">
            <w:pPr>
              <w:spacing w:line="360" w:lineRule="auto"/>
              <w:ind w:right="-10"/>
              <w:rPr>
                <w:rFonts w:hint="eastAsia"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A2F353">
            <w:pPr>
              <w:spacing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705CC42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F8B25A">
            <w:pPr>
              <w:spacing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DEECC1">
            <w:pPr>
              <w:spacing w:after="50"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2D7B96">
            <w:pPr>
              <w:spacing w:after="50"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EAEA4E">
            <w:pPr>
              <w:spacing w:line="360" w:lineRule="auto"/>
              <w:ind w:right="-10"/>
              <w:rPr>
                <w:rFonts w:hint="eastAsia"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2B90BF">
            <w:pPr>
              <w:spacing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27427325">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DD108A">
            <w:pPr>
              <w:spacing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D03D00">
            <w:pPr>
              <w:spacing w:after="50"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C0EBB0">
            <w:pPr>
              <w:spacing w:after="50"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1E8BBC">
            <w:pPr>
              <w:spacing w:line="360" w:lineRule="auto"/>
              <w:ind w:right="-10"/>
              <w:rPr>
                <w:rFonts w:hint="eastAsia"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E3B277">
            <w:pPr>
              <w:spacing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583B90C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482C35">
            <w:pPr>
              <w:spacing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D4B7F5">
            <w:pPr>
              <w:spacing w:after="50"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A20F84">
            <w:pPr>
              <w:spacing w:after="50"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A08CE">
            <w:pPr>
              <w:spacing w:line="360" w:lineRule="auto"/>
              <w:ind w:right="-10"/>
              <w:rPr>
                <w:rFonts w:hint="eastAsia"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70961B">
            <w:pPr>
              <w:spacing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03D62E6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2D1B34">
            <w:pPr>
              <w:spacing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793A42">
            <w:pPr>
              <w:spacing w:after="50"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BCE1CE">
            <w:pPr>
              <w:spacing w:after="50"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2F45F1">
            <w:pPr>
              <w:spacing w:line="360" w:lineRule="auto"/>
              <w:ind w:right="-10"/>
              <w:rPr>
                <w:rFonts w:hint="eastAsia"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9B31E6">
            <w:pPr>
              <w:spacing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2E3FB12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BFFEB0">
            <w:pPr>
              <w:spacing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9A7FC7">
            <w:pPr>
              <w:spacing w:after="50" w:line="360" w:lineRule="auto"/>
              <w:ind w:right="-10"/>
              <w:jc w:val="center"/>
              <w:rPr>
                <w:rFonts w:hint="eastAsia" w:ascii="宋体" w:hAnsi="宋体" w:eastAsia="宋体" w:cs="宋体"/>
                <w:color w:val="000000" w:themeColor="text1"/>
                <w:sz w:val="22"/>
                <w14:textFill>
                  <w14:solidFill>
                    <w14:schemeClr w14:val="tx1"/>
                  </w14:solidFill>
                </w14:textFill>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24C6F7">
            <w:pPr>
              <w:spacing w:after="50" w:line="360" w:lineRule="auto"/>
              <w:ind w:right="-10"/>
              <w:jc w:val="center"/>
              <w:rPr>
                <w:rFonts w:hint="eastAsia" w:ascii="宋体" w:hAnsi="宋体" w:eastAsia="宋体" w:cs="宋体"/>
                <w:color w:val="000000" w:themeColor="text1"/>
                <w:sz w:val="22"/>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F1CB1E">
            <w:pPr>
              <w:spacing w:line="360" w:lineRule="auto"/>
              <w:ind w:right="-10"/>
              <w:rPr>
                <w:rFonts w:hint="eastAsia"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0A327C">
            <w:pPr>
              <w:spacing w:line="360" w:lineRule="auto"/>
              <w:ind w:right="-10"/>
              <w:jc w:val="center"/>
              <w:rPr>
                <w:rFonts w:hint="eastAsia" w:ascii="宋体" w:hAnsi="宋体" w:eastAsia="宋体" w:cs="宋体"/>
                <w:color w:val="000000" w:themeColor="text1"/>
                <w:sz w:val="22"/>
                <w14:textFill>
                  <w14:solidFill>
                    <w14:schemeClr w14:val="tx1"/>
                  </w14:solidFill>
                </w14:textFill>
              </w:rPr>
            </w:pPr>
          </w:p>
        </w:tc>
      </w:tr>
      <w:tr w14:paraId="3CD9DB5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7C644F">
            <w:pPr>
              <w:spacing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21128D">
            <w:pPr>
              <w:spacing w:after="50" w:line="360" w:lineRule="auto"/>
              <w:ind w:right="-10"/>
              <w:jc w:val="center"/>
              <w:rPr>
                <w:rFonts w:hint="eastAsia" w:ascii="宋体" w:hAnsi="宋体" w:eastAsia="宋体" w:cs="宋体"/>
                <w:color w:val="000000" w:themeColor="text1"/>
                <w:sz w:val="22"/>
                <w14:textFill>
                  <w14:solidFill>
                    <w14:schemeClr w14:val="tx1"/>
                  </w14:solidFill>
                </w14:textFill>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D17B9F">
            <w:pPr>
              <w:spacing w:after="50" w:line="360" w:lineRule="auto"/>
              <w:ind w:right="-10"/>
              <w:jc w:val="center"/>
              <w:rPr>
                <w:rFonts w:hint="eastAsia" w:ascii="宋体" w:hAnsi="宋体" w:eastAsia="宋体" w:cs="宋体"/>
                <w:color w:val="000000" w:themeColor="text1"/>
                <w:sz w:val="22"/>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8058C8">
            <w:pPr>
              <w:spacing w:line="360" w:lineRule="auto"/>
              <w:ind w:right="-10"/>
              <w:rPr>
                <w:rFonts w:hint="eastAsia" w:ascii="宋体" w:hAnsi="宋体" w:eastAsia="宋体" w:cs="宋体"/>
                <w:color w:val="000000" w:themeColor="text1"/>
                <w:sz w:val="22"/>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DAB837">
            <w:pPr>
              <w:spacing w:line="360" w:lineRule="auto"/>
              <w:ind w:right="-10"/>
              <w:jc w:val="center"/>
              <w:rPr>
                <w:rFonts w:hint="eastAsia" w:ascii="宋体" w:hAnsi="宋体" w:eastAsia="宋体" w:cs="宋体"/>
                <w:color w:val="000000" w:themeColor="text1"/>
                <w:sz w:val="22"/>
                <w14:textFill>
                  <w14:solidFill>
                    <w14:schemeClr w14:val="tx1"/>
                  </w14:solidFill>
                </w14:textFill>
              </w:rPr>
            </w:pPr>
          </w:p>
        </w:tc>
      </w:tr>
      <w:tr w14:paraId="7F78EB7B">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C16045">
            <w:pPr>
              <w:spacing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96F69A">
            <w:pPr>
              <w:spacing w:after="50"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7F7359">
            <w:pPr>
              <w:spacing w:line="360" w:lineRule="auto"/>
              <w:ind w:right="-10"/>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是否通过审查</w:t>
            </w:r>
          </w:p>
        </w:tc>
      </w:tr>
    </w:tbl>
    <w:p w14:paraId="5CEEB8D4">
      <w:pPr>
        <w:rPr>
          <w:rFonts w:hint="eastAsia" w:ascii="宋体" w:hAnsi="宋体" w:eastAsia="宋体" w:cs="宋体"/>
          <w:color w:val="000000" w:themeColor="text1"/>
          <w:sz w:val="24"/>
          <w14:textFill>
            <w14:solidFill>
              <w14:schemeClr w14:val="tx1"/>
            </w14:solidFill>
          </w14:textFill>
        </w:rPr>
      </w:pPr>
    </w:p>
    <w:p w14:paraId="4D3593A0">
      <w:pPr>
        <w:rPr>
          <w:rFonts w:hint="eastAsia" w:ascii="宋体" w:hAnsi="宋体" w:eastAsia="宋体" w:cs="宋体"/>
          <w:color w:val="000000" w:themeColor="text1"/>
          <w:sz w:val="24"/>
          <w14:textFill>
            <w14:solidFill>
              <w14:schemeClr w14:val="tx1"/>
            </w14:solidFill>
          </w14:textFill>
        </w:rPr>
      </w:pPr>
    </w:p>
    <w:p w14:paraId="1B6D4F92">
      <w:pPr>
        <w:spacing w:line="560" w:lineRule="auto"/>
        <w:ind w:firstLine="482"/>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20.响应性文件的澄清</w:t>
      </w:r>
    </w:p>
    <w:p w14:paraId="4B9263D6">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A0CF3BD">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DEF822F">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20.3供应商拒不进行澄清、说明、补正的，或者不能在竞争性磋商小组规定时间内作出书面澄清、说明、补正的，其响应性文件将被作为无效处理。</w:t>
      </w:r>
    </w:p>
    <w:p w14:paraId="18622DD4">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20.4供应商的书面澄清材料作为响应性文件的补充。 </w:t>
      </w:r>
    </w:p>
    <w:p w14:paraId="0984CF19">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20.5竞争性磋商小组不得接受供应商主动提出的澄清和解释。 </w:t>
      </w:r>
    </w:p>
    <w:p w14:paraId="4709A495">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20.6并非每个供应商都将被询问、澄清。</w:t>
      </w:r>
    </w:p>
    <w:p w14:paraId="57FBD24D">
      <w:pPr>
        <w:spacing w:line="560" w:lineRule="auto"/>
        <w:ind w:firstLine="482"/>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21.竞争性磋商</w:t>
      </w:r>
    </w:p>
    <w:p w14:paraId="72BFBC92">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21.1资格性审查和符合性审查合格的供应商，将进入本次竞争性磋商程序。</w:t>
      </w:r>
    </w:p>
    <w:p w14:paraId="40B21CC2">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21.2竞争性磋商将按照供应商的签到顺序进行。</w:t>
      </w:r>
    </w:p>
    <w:p w14:paraId="0C0611BA">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21.3磋商内容包括：</w:t>
      </w:r>
    </w:p>
    <w:p w14:paraId="5FE2B87A">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21.3.1按照竞争性磋商文件中商务部分的内容，对照供应商提交的响应文件逐一进行比较各项指标和要求。</w:t>
      </w:r>
    </w:p>
    <w:p w14:paraId="17CC0B19">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21.3.2按照竞争性磋商文件中技术部分的内容，对照供应商提交的响应文件逐一进行比较各项指标和要求。</w:t>
      </w:r>
    </w:p>
    <w:p w14:paraId="09D26B58">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21.3.3按照竞争性磋商文件中合同条款部分的内容，对照供应商提交的响应文件逐一进行比较各项指标和要求。</w:t>
      </w:r>
    </w:p>
    <w:p w14:paraId="686CB75A">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21.3.4在磋商中，磋商的任何一方不得透露与磋商有关的其他供应商的技术资料及其他信息。</w:t>
      </w:r>
    </w:p>
    <w:p w14:paraId="2DC2F43A">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B202A91">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21.4.1对竞争性磋商文件作出实质性变动是竞争性磋商文件的有效组成部分，竞争性磋商小组应当及时以书面形式同时通知所有参加竞争性磋商的供应商。</w:t>
      </w:r>
    </w:p>
    <w:p w14:paraId="0C0DB9D2">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21.4.2供应商应当按照竞争性磋商文件的变动情况和竞争性磋商小组的要求重新提交响应性文件，并由其法定代表人或授权代表签字或者加盖公章。</w:t>
      </w:r>
    </w:p>
    <w:p w14:paraId="059E6929">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29350264">
      <w:pPr>
        <w:spacing w:line="560" w:lineRule="exact"/>
        <w:ind w:firstLine="480" w:firstLineChars="200"/>
        <w:rPr>
          <w:rFonts w:hint="eastAsia" w:ascii="宋体" w:hAnsi="宋体" w:eastAsia="宋体" w:cs="宋体"/>
          <w:color w:val="000000" w:themeColor="text1"/>
          <w:sz w:val="24"/>
          <w:lang w:val="zh-CN"/>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w:t>
      </w:r>
      <w:r>
        <w:rPr>
          <w:rFonts w:hint="eastAsia" w:ascii="宋体" w:hAnsi="宋体" w:eastAsia="宋体" w:cs="宋体"/>
          <w:color w:val="000000" w:themeColor="text1"/>
          <w:sz w:val="24"/>
          <w:lang w:val="zh-CN"/>
          <w14:textFill>
            <w14:solidFill>
              <w14:schemeClr w14:val="tx1"/>
            </w14:solidFill>
          </w14:textFill>
        </w:rPr>
        <w:t>一次报价依据</w:t>
      </w:r>
      <w:r>
        <w:rPr>
          <w:rFonts w:hint="eastAsia" w:ascii="宋体" w:hAnsi="宋体" w:eastAsia="宋体" w:cs="宋体"/>
          <w:color w:val="000000" w:themeColor="text1"/>
          <w:sz w:val="24"/>
          <w14:textFill>
            <w14:solidFill>
              <w14:schemeClr w14:val="tx1"/>
            </w14:solidFill>
          </w14:textFill>
        </w:rPr>
        <w:t>是</w:t>
      </w:r>
      <w:r>
        <w:rPr>
          <w:rFonts w:hint="eastAsia" w:ascii="宋体" w:hAnsi="宋体" w:eastAsia="宋体" w:cs="宋体"/>
          <w:color w:val="000000" w:themeColor="text1"/>
          <w:sz w:val="24"/>
          <w:lang w:val="zh-CN"/>
          <w14:textFill>
            <w14:solidFill>
              <w14:schemeClr w14:val="tx1"/>
            </w14:solidFill>
          </w14:textFill>
        </w:rPr>
        <w:t>供应商的投标函和开标记录。</w:t>
      </w:r>
    </w:p>
    <w:p w14:paraId="71A98E84">
      <w:pPr>
        <w:spacing w:line="560" w:lineRule="exact"/>
        <w:ind w:firstLine="480" w:firstLineChars="200"/>
        <w:rPr>
          <w:rFonts w:hint="eastAsia" w:ascii="宋体" w:hAnsi="宋体" w:eastAsia="宋体" w:cs="宋体"/>
          <w:color w:val="000000" w:themeColor="text1"/>
          <w:sz w:val="24"/>
          <w:lang w:val="zh-CN"/>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报价次数见供应商须知前附表。</w:t>
      </w:r>
    </w:p>
    <w:p w14:paraId="10CD5624">
      <w:pPr>
        <w:spacing w:line="560" w:lineRule="auto"/>
        <w:rPr>
          <w:rFonts w:hint="eastAsia" w:ascii="宋体" w:hAnsi="宋体" w:eastAsia="宋体" w:cs="宋体"/>
          <w:b/>
          <w:color w:val="000000" w:themeColor="text1"/>
          <w:sz w:val="24"/>
          <w14:textFill>
            <w14:solidFill>
              <w14:schemeClr w14:val="tx1"/>
            </w14:solidFill>
          </w14:textFill>
        </w:rPr>
      </w:pPr>
    </w:p>
    <w:p w14:paraId="306E640B">
      <w:pPr>
        <w:spacing w:line="720" w:lineRule="auto"/>
        <w:jc w:val="center"/>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六、评定标准</w:t>
      </w:r>
    </w:p>
    <w:p w14:paraId="1600BFFB">
      <w:pPr>
        <w:spacing w:line="560" w:lineRule="auto"/>
        <w:ind w:firstLine="482"/>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22.竞争性磋商过程及保密原则</w:t>
      </w:r>
    </w:p>
    <w:p w14:paraId="35D1CCB0">
      <w:pPr>
        <w:spacing w:line="4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4CA640DF">
      <w:pPr>
        <w:spacing w:line="4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采购代理机构在评标结束后2个工作日内将评标报告送采购人。采购人自收到评标报告之日起５个工作日内，在评标报告确定的中标候选人名单中确定中标人。</w:t>
      </w:r>
    </w:p>
    <w:p w14:paraId="2113890D">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22.2对通过初步审查的响应文件，采用百分制综合评分法进行评价。</w:t>
      </w:r>
    </w:p>
    <w:p w14:paraId="057D69A1">
      <w:pPr>
        <w:spacing w:line="360" w:lineRule="auto"/>
        <w:ind w:right="-92"/>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评标方法：</w:t>
      </w:r>
    </w:p>
    <w:p w14:paraId="3749F7EA">
      <w:pPr>
        <w:tabs>
          <w:tab w:val="left" w:pos="0"/>
          <w:tab w:val="left" w:pos="993"/>
          <w:tab w:val="left" w:pos="1134"/>
        </w:tabs>
        <w:ind w:firstLine="480"/>
        <w:rPr>
          <w:rFonts w:hint="eastAsia" w:ascii="宋体" w:hAnsi="宋体" w:eastAsia="宋体" w:cs="宋体"/>
          <w:color w:val="000000" w:themeColor="text1"/>
          <w:sz w:val="24"/>
          <w14:textFill>
            <w14:solidFill>
              <w14:schemeClr w14:val="tx1"/>
            </w14:solidFill>
          </w14:textFill>
        </w:rPr>
      </w:pPr>
    </w:p>
    <w:tbl>
      <w:tblPr>
        <w:tblStyle w:val="8"/>
        <w:tblW w:w="0" w:type="auto"/>
        <w:jc w:val="center"/>
        <w:tblLayout w:type="autofit"/>
        <w:tblCellMar>
          <w:top w:w="0" w:type="dxa"/>
          <w:left w:w="10" w:type="dxa"/>
          <w:bottom w:w="0" w:type="dxa"/>
          <w:right w:w="10" w:type="dxa"/>
        </w:tblCellMar>
      </w:tblPr>
      <w:tblGrid>
        <w:gridCol w:w="1847"/>
        <w:gridCol w:w="848"/>
        <w:gridCol w:w="3678"/>
        <w:gridCol w:w="2149"/>
      </w:tblGrid>
      <w:tr w14:paraId="58F72CFB">
        <w:tblPrEx>
          <w:tblCellMar>
            <w:top w:w="0" w:type="dxa"/>
            <w:left w:w="10" w:type="dxa"/>
            <w:bottom w:w="0" w:type="dxa"/>
            <w:right w:w="10" w:type="dxa"/>
          </w:tblCellMar>
        </w:tblPrEx>
        <w:trPr>
          <w:jc w:val="center"/>
        </w:trPr>
        <w:tc>
          <w:tcPr>
            <w:tcW w:w="18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B8AF37">
            <w:pPr>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评分指标</w:t>
            </w:r>
          </w:p>
        </w:tc>
        <w:tc>
          <w:tcPr>
            <w:tcW w:w="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269756">
            <w:pPr>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分值</w:t>
            </w:r>
          </w:p>
        </w:tc>
        <w:tc>
          <w:tcPr>
            <w:tcW w:w="36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88AD96">
            <w:pPr>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指标说明及评分标准</w:t>
            </w:r>
          </w:p>
        </w:tc>
        <w:tc>
          <w:tcPr>
            <w:tcW w:w="214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782A2F">
            <w:pPr>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评分依据</w:t>
            </w:r>
          </w:p>
        </w:tc>
      </w:tr>
      <w:tr w14:paraId="70F0F364">
        <w:tblPrEx>
          <w:tblCellMar>
            <w:top w:w="0" w:type="dxa"/>
            <w:left w:w="10" w:type="dxa"/>
            <w:bottom w:w="0" w:type="dxa"/>
            <w:right w:w="10" w:type="dxa"/>
          </w:tblCellMar>
        </w:tblPrEx>
        <w:trPr>
          <w:jc w:val="center"/>
        </w:trPr>
        <w:tc>
          <w:tcPr>
            <w:tcW w:w="18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858635">
            <w:pPr>
              <w:jc w:val="left"/>
              <w:rPr>
                <w:rFonts w:hint="eastAsia" w:ascii="宋体" w:hAnsi="宋体" w:eastAsia="宋体" w:cs="宋体"/>
                <w:color w:val="000000" w:themeColor="text1"/>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报价得分（30分）</w:t>
            </w:r>
          </w:p>
        </w:tc>
        <w:tc>
          <w:tcPr>
            <w:tcW w:w="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7A5DBF">
            <w:pPr>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（30分）</w:t>
            </w:r>
          </w:p>
        </w:tc>
        <w:tc>
          <w:tcPr>
            <w:tcW w:w="582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6B2E98">
            <w:pPr>
              <w:spacing w:line="320" w:lineRule="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满足磋商文件要求且最后报价最低的供应商的价格为磋商基准价，其价格分为满分。其他供应商的价格分统一按照下列公式计算：</w:t>
            </w:r>
          </w:p>
          <w:p w14:paraId="0DE75EA1">
            <w:pPr>
              <w:spacing w:line="320" w:lineRule="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磋商报价得分=（磋商基准价/最后磋商报价）×30</w:t>
            </w:r>
          </w:p>
          <w:p w14:paraId="0025FF10">
            <w:pPr>
              <w:spacing w:line="320" w:lineRule="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备注：价格分计算保留小数点后二位。</w:t>
            </w:r>
          </w:p>
          <w:p w14:paraId="4CB6C19C">
            <w:pPr>
              <w:spacing w:line="320" w:lineRule="auto"/>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注：</w:t>
            </w:r>
          </w:p>
          <w:p w14:paraId="1A2E4B60">
            <w:pPr>
              <w:spacing w:line="320" w:lineRule="auto"/>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1.若投标人投标价格均超过控制价，做废标处理。</w:t>
            </w:r>
          </w:p>
          <w:p w14:paraId="7D0E7198">
            <w:pPr>
              <w:spacing w:line="320" w:lineRule="auto"/>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2.对小型、微型、监狱企业、残疾人福利性单位投标报价给予</w:t>
            </w:r>
            <w:r>
              <w:rPr>
                <w:rFonts w:hint="eastAsia" w:ascii="宋体" w:hAnsi="宋体" w:eastAsia="宋体" w:cs="宋体"/>
                <w:color w:val="000000" w:themeColor="text1"/>
                <w:sz w:val="24"/>
                <w14:textFill>
                  <w14:solidFill>
                    <w14:schemeClr w14:val="tx1"/>
                  </w14:solidFill>
                </w14:textFill>
              </w:rPr>
              <w:t>20</w:t>
            </w:r>
            <w:r>
              <w:rPr>
                <w:rFonts w:ascii="宋体" w:hAnsi="宋体" w:eastAsia="宋体" w:cs="宋体"/>
                <w:color w:val="000000" w:themeColor="text1"/>
                <w:sz w:val="24"/>
                <w14:textFill>
                  <w14:solidFill>
                    <w14:schemeClr w14:val="tx1"/>
                  </w14:solidFill>
                </w14:textFill>
              </w:rPr>
              <w:t>%的扣除，用扣除后的价格参与评审。参加本项目的中小企业应当提供《中小企业声明函》（格式详见《政府采购促进中小企业发展管理办法》）。</w:t>
            </w:r>
          </w:p>
          <w:p w14:paraId="2E28DE9D">
            <w:pPr>
              <w:spacing w:line="276" w:lineRule="auto"/>
              <w:jc w:val="left"/>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2A4E6412">
        <w:tblPrEx>
          <w:tblCellMar>
            <w:top w:w="0" w:type="dxa"/>
            <w:left w:w="10" w:type="dxa"/>
            <w:bottom w:w="0" w:type="dxa"/>
            <w:right w:w="10" w:type="dxa"/>
          </w:tblCellMar>
        </w:tblPrEx>
        <w:trPr>
          <w:jc w:val="center"/>
        </w:trPr>
        <w:tc>
          <w:tcPr>
            <w:tcW w:w="1847"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66B632AB">
            <w:pPr>
              <w:tabs>
                <w:tab w:val="left" w:pos="5130"/>
              </w:tabs>
              <w:spacing w:line="360" w:lineRule="auto"/>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技术部分</w:t>
            </w:r>
          </w:p>
          <w:p w14:paraId="76C2C753">
            <w:pPr>
              <w:tabs>
                <w:tab w:val="left" w:pos="5130"/>
              </w:tabs>
              <w:spacing w:line="360" w:lineRule="auto"/>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45</w:t>
            </w:r>
            <w:r>
              <w:rPr>
                <w:rFonts w:ascii="宋体" w:hAnsi="宋体" w:eastAsia="宋体" w:cs="宋体"/>
                <w:color w:val="000000" w:themeColor="text1"/>
                <w:sz w:val="24"/>
                <w14:textFill>
                  <w14:solidFill>
                    <w14:schemeClr w14:val="tx1"/>
                  </w14:solidFill>
                </w14:textFill>
              </w:rPr>
              <w:t>分）</w:t>
            </w:r>
          </w:p>
        </w:tc>
        <w:tc>
          <w:tcPr>
            <w:tcW w:w="848"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2965A900">
            <w:pPr>
              <w:adjustRightInd w:val="0"/>
              <w:snapToGrid w:val="0"/>
              <w:spacing w:line="360" w:lineRule="auto"/>
              <w:ind w:right="-10"/>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技术参数</w:t>
            </w:r>
          </w:p>
          <w:p w14:paraId="3C112391">
            <w:pPr>
              <w:adjustRightInd w:val="0"/>
              <w:snapToGrid w:val="0"/>
              <w:spacing w:line="360" w:lineRule="auto"/>
              <w:ind w:right="-10"/>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（45分）</w:t>
            </w:r>
          </w:p>
        </w:tc>
        <w:tc>
          <w:tcPr>
            <w:tcW w:w="5827"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788E3ED9">
            <w:pPr>
              <w:tabs>
                <w:tab w:val="left" w:pos="5130"/>
              </w:tabs>
              <w:adjustRightInd w:val="0"/>
              <w:snapToGrid w:val="0"/>
              <w:spacing w:line="360" w:lineRule="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所投产品的配置能完全满足本次招标技术参数要求的得45分。产品中带★号的技术参数每有任一项不满足扣</w:t>
            </w:r>
            <w:r>
              <w:rPr>
                <w:rFonts w:ascii="宋体" w:hAnsi="宋体" w:eastAsia="宋体" w:cs="宋体"/>
                <w:bCs/>
                <w:color w:val="000000" w:themeColor="text1"/>
                <w:sz w:val="24"/>
                <w:szCs w:val="24"/>
                <w14:textFill>
                  <w14:solidFill>
                    <w14:schemeClr w14:val="tx1"/>
                  </w14:solidFill>
                </w14:textFill>
              </w:rPr>
              <w:t>3</w:t>
            </w:r>
            <w:r>
              <w:rPr>
                <w:rFonts w:hint="eastAsia" w:ascii="宋体" w:hAnsi="宋体" w:eastAsia="宋体" w:cs="宋体"/>
                <w:bCs/>
                <w:color w:val="000000" w:themeColor="text1"/>
                <w:sz w:val="24"/>
                <w:szCs w:val="24"/>
                <w14:textFill>
                  <w14:solidFill>
                    <w14:schemeClr w14:val="tx1"/>
                  </w14:solidFill>
                </w14:textFill>
              </w:rPr>
              <w:t xml:space="preserve">分，其他不满足扣 </w:t>
            </w:r>
            <w:r>
              <w:rPr>
                <w:rFonts w:ascii="宋体" w:hAnsi="宋体" w:eastAsia="宋体" w:cs="宋体"/>
                <w:bCs/>
                <w:color w:val="000000" w:themeColor="text1"/>
                <w:sz w:val="24"/>
                <w:szCs w:val="24"/>
                <w14:textFill>
                  <w14:solidFill>
                    <w14:schemeClr w14:val="tx1"/>
                  </w14:solidFill>
                </w14:textFill>
              </w:rPr>
              <w:t>2</w:t>
            </w:r>
            <w:r>
              <w:rPr>
                <w:rFonts w:hint="eastAsia" w:ascii="宋体" w:hAnsi="宋体" w:eastAsia="宋体" w:cs="宋体"/>
                <w:bCs/>
                <w:color w:val="000000" w:themeColor="text1"/>
                <w:sz w:val="24"/>
                <w:szCs w:val="24"/>
                <w14:textFill>
                  <w14:solidFill>
                    <w14:schemeClr w14:val="tx1"/>
                  </w14:solidFill>
                </w14:textFill>
              </w:rPr>
              <w:t>分，45分扣完为止。</w:t>
            </w:r>
          </w:p>
          <w:p w14:paraId="040E0E7C">
            <w:pPr>
              <w:autoSpaceDE w:val="0"/>
              <w:autoSpaceDN w:val="0"/>
              <w:adjustRightInd w:val="0"/>
              <w:spacing w:line="360" w:lineRule="auto"/>
              <w:ind w:right="-21" w:rightChars="-10"/>
              <w:rPr>
                <w:rFonts w:hint="eastAsia" w:ascii="宋体" w:hAnsi="宋体" w:eastAsia="宋体" w:cs="宋体"/>
                <w:bCs/>
                <w:color w:val="000000" w:themeColor="text1"/>
                <w:sz w:val="24"/>
                <w:szCs w:val="20"/>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备注：加★项技术参数须附检测报告证明材料。招标文件中要求提供的检测报告证明文件，中标人须如实提供，否则将取消中标资格；中标后采购人有权要求中标人在三个工作日内提供招标公告发布前生效的检测报告原件至采购人处核查，如不能按时提供或提供材料与投标时所用材料不符则按照虚假响应处理取消中标资格，并上报监管部门进行处理。</w:t>
            </w:r>
            <w:r>
              <w:rPr>
                <w:rFonts w:ascii="宋体" w:hAnsi="宋体" w:eastAsia="宋体" w:cs="宋体"/>
                <w:bCs/>
                <w:color w:val="000000" w:themeColor="text1"/>
                <w:sz w:val="24"/>
                <w:szCs w:val="24"/>
                <w14:textFill>
                  <w14:solidFill>
                    <w14:schemeClr w14:val="tx1"/>
                  </w14:solidFill>
                </w14:textFill>
              </w:rPr>
              <w:t>）</w:t>
            </w:r>
          </w:p>
        </w:tc>
      </w:tr>
      <w:tr w14:paraId="73A9E51C">
        <w:tblPrEx>
          <w:tblCellMar>
            <w:top w:w="0" w:type="dxa"/>
            <w:left w:w="10" w:type="dxa"/>
            <w:bottom w:w="0" w:type="dxa"/>
            <w:right w:w="10" w:type="dxa"/>
          </w:tblCellMar>
        </w:tblPrEx>
        <w:trPr>
          <w:trHeight w:val="480" w:hRule="atLeast"/>
          <w:jc w:val="center"/>
        </w:trPr>
        <w:tc>
          <w:tcPr>
            <w:tcW w:w="1847"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1C61C2C9">
            <w:pPr>
              <w:tabs>
                <w:tab w:val="left" w:pos="5130"/>
              </w:tabs>
              <w:spacing w:line="360" w:lineRule="auto"/>
              <w:jc w:val="center"/>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商务部分</w:t>
            </w:r>
          </w:p>
          <w:p w14:paraId="6D7A4DFE">
            <w:pPr>
              <w:tabs>
                <w:tab w:val="left" w:pos="5130"/>
              </w:tabs>
              <w:spacing w:line="360" w:lineRule="auto"/>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25</w:t>
            </w:r>
            <w:r>
              <w:rPr>
                <w:rFonts w:ascii="宋体" w:hAnsi="宋体" w:eastAsia="宋体" w:cs="宋体"/>
                <w:color w:val="000000" w:themeColor="text1"/>
                <w:sz w:val="24"/>
                <w14:textFill>
                  <w14:solidFill>
                    <w14:schemeClr w14:val="tx1"/>
                  </w14:solidFill>
                </w14:textFill>
              </w:rPr>
              <w:t>分）</w:t>
            </w:r>
          </w:p>
        </w:tc>
        <w:tc>
          <w:tcPr>
            <w:tcW w:w="848"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080EF33A">
            <w:pPr>
              <w:adjustRightInd w:val="0"/>
              <w:snapToGrid w:val="0"/>
              <w:spacing w:line="360" w:lineRule="auto"/>
              <w:ind w:right="-1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商务资质（1</w:t>
            </w:r>
            <w:r>
              <w:rPr>
                <w:rFonts w:ascii="宋体" w:hAnsi="宋体" w:eastAsia="宋体" w:cs="宋体"/>
                <w:color w:val="000000" w:themeColor="text1"/>
                <w:sz w:val="24"/>
                <w:szCs w:val="24"/>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分）</w:t>
            </w:r>
          </w:p>
        </w:tc>
        <w:tc>
          <w:tcPr>
            <w:tcW w:w="5827" w:type="dxa"/>
            <w:gridSpan w:val="2"/>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4095A58D">
            <w:pPr>
              <w:adjustRightInd w:val="0"/>
              <w:snapToGrid w:val="0"/>
              <w:spacing w:line="360" w:lineRule="auto"/>
              <w:ind w:right="-1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1.投标人或投标人所投产品制造商取得质量管理体系认证、环境管理体系认证、职业健康安全管理体系认证的，全部满足得</w:t>
            </w:r>
            <w:r>
              <w:rPr>
                <w:rFonts w:ascii="宋体" w:hAnsi="宋体" w:eastAsia="宋体" w:cs="宋体"/>
                <w:color w:val="000000" w:themeColor="text1"/>
                <w:sz w:val="24"/>
                <w:szCs w:val="24"/>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分，提供1项得1</w:t>
            </w:r>
            <w:r>
              <w:rPr>
                <w:rFonts w:ascii="宋体" w:hAnsi="宋体" w:eastAsia="宋体" w:cs="宋体"/>
                <w:color w:val="000000" w:themeColor="text1"/>
                <w:sz w:val="24"/>
                <w:szCs w:val="24"/>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分。</w:t>
            </w:r>
          </w:p>
          <w:p w14:paraId="47FCF5E1">
            <w:pPr>
              <w:shd w:val="clear" w:color="auto" w:fill="FFFFFF"/>
              <w:adjustRightInd w:val="0"/>
              <w:snapToGrid w:val="0"/>
              <w:spacing w:line="360" w:lineRule="auto"/>
              <w:ind w:right="-1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为保证项目产品、技术具备较高的先进性，可达到领先水平，投标人所投产品制造商应具备较强的新技术研发实力，可提供高水平技术支撑，荣获国家科学技术部颁发的国家新一代人工智能开放创新平台、国家级科学技术奖励的，提供两项得</w:t>
            </w:r>
            <w:r>
              <w:rPr>
                <w:rFonts w:ascii="宋体" w:hAnsi="宋体" w:eastAsia="宋体" w:cs="宋体"/>
                <w:color w:val="000000" w:themeColor="text1"/>
                <w:sz w:val="24"/>
                <w:szCs w:val="24"/>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分，只提供一项得2</w:t>
            </w:r>
            <w:r>
              <w:rPr>
                <w:rFonts w:ascii="宋体" w:hAnsi="宋体" w:eastAsia="宋体" w:cs="宋体"/>
                <w:color w:val="000000" w:themeColor="text1"/>
                <w:sz w:val="24"/>
                <w:szCs w:val="24"/>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分，不能提供不得分。</w:t>
            </w:r>
          </w:p>
          <w:p w14:paraId="4E71828B">
            <w:pPr>
              <w:shd w:val="clear" w:color="auto" w:fill="FFFFFF"/>
              <w:adjustRightInd w:val="0"/>
              <w:snapToGrid w:val="0"/>
              <w:spacing w:line="360" w:lineRule="auto"/>
              <w:ind w:right="-1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3.为保证系统安全性，保证相关单位具有专业的信息安全研发及较强的事件分析能力，投标人或投标人所投产品制造商具有国家部委级颁发的国家认定企业技术中心的，提供得</w:t>
            </w:r>
            <w:r>
              <w:rPr>
                <w:rFonts w:ascii="宋体" w:hAnsi="宋体" w:eastAsia="宋体" w:cs="宋体"/>
                <w:bCs/>
                <w:color w:val="000000" w:themeColor="text1"/>
                <w:sz w:val="24"/>
                <w:szCs w:val="24"/>
                <w14:textFill>
                  <w14:solidFill>
                    <w14:schemeClr w14:val="tx1"/>
                  </w14:solidFill>
                </w14:textFill>
              </w:rPr>
              <w:t>5</w:t>
            </w:r>
            <w:r>
              <w:rPr>
                <w:rFonts w:hint="eastAsia" w:ascii="宋体" w:hAnsi="宋体" w:eastAsia="宋体" w:cs="宋体"/>
                <w:bCs/>
                <w:color w:val="000000" w:themeColor="text1"/>
                <w:sz w:val="24"/>
                <w:szCs w:val="24"/>
                <w14:textFill>
                  <w14:solidFill>
                    <w14:schemeClr w14:val="tx1"/>
                  </w14:solidFill>
                </w14:textFill>
              </w:rPr>
              <w:t>分，不提供不得分。</w:t>
            </w:r>
          </w:p>
        </w:tc>
      </w:tr>
      <w:tr w14:paraId="63570923">
        <w:tblPrEx>
          <w:tblCellMar>
            <w:top w:w="0" w:type="dxa"/>
            <w:left w:w="10" w:type="dxa"/>
            <w:bottom w:w="0" w:type="dxa"/>
            <w:right w:w="10" w:type="dxa"/>
          </w:tblCellMar>
        </w:tblPrEx>
        <w:trPr>
          <w:trHeight w:val="448" w:hRule="atLeast"/>
          <w:jc w:val="center"/>
        </w:trPr>
        <w:tc>
          <w:tcPr>
            <w:tcW w:w="1847"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57C76279">
            <w:pPr>
              <w:tabs>
                <w:tab w:val="left" w:pos="5130"/>
              </w:tabs>
              <w:spacing w:line="360" w:lineRule="auto"/>
              <w:rPr>
                <w:rFonts w:hint="eastAsia" w:ascii="宋体" w:hAnsi="宋体" w:eastAsia="宋体" w:cs="宋体"/>
                <w:color w:val="000000" w:themeColor="text1"/>
                <w:sz w:val="24"/>
                <w14:textFill>
                  <w14:solidFill>
                    <w14:schemeClr w14:val="tx1"/>
                  </w14:solidFill>
                </w14:textFill>
              </w:rPr>
            </w:pPr>
          </w:p>
        </w:tc>
        <w:tc>
          <w:tcPr>
            <w:tcW w:w="848" w:type="dxa"/>
            <w:tcBorders>
              <w:top w:val="single" w:color="auto"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1719AD2D">
            <w:pPr>
              <w:adjustRightInd w:val="0"/>
              <w:snapToGrid w:val="0"/>
              <w:spacing w:line="360" w:lineRule="auto"/>
              <w:ind w:right="-1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售后服务后期承诺</w:t>
            </w:r>
          </w:p>
          <w:p w14:paraId="4F155C6E">
            <w:pPr>
              <w:adjustRightInd w:val="0"/>
              <w:snapToGrid w:val="0"/>
              <w:spacing w:line="360" w:lineRule="auto"/>
              <w:ind w:right="-1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ascii="宋体" w:hAnsi="宋体" w:eastAsia="宋体" w:cs="宋体"/>
                <w:color w:val="000000" w:themeColor="text1"/>
                <w:sz w:val="24"/>
                <w:szCs w:val="24"/>
                <w14:textFill>
                  <w14:solidFill>
                    <w14:schemeClr w14:val="tx1"/>
                  </w14:solidFill>
                </w14:textFill>
              </w:rPr>
              <w:t>10</w:t>
            </w:r>
            <w:r>
              <w:rPr>
                <w:rFonts w:hint="eastAsia" w:ascii="宋体" w:hAnsi="宋体" w:eastAsia="宋体" w:cs="宋体"/>
                <w:color w:val="000000" w:themeColor="text1"/>
                <w:sz w:val="24"/>
                <w:szCs w:val="24"/>
                <w14:textFill>
                  <w14:solidFill>
                    <w14:schemeClr w14:val="tx1"/>
                  </w14:solidFill>
                </w14:textFill>
              </w:rPr>
              <w:t>分）</w:t>
            </w:r>
          </w:p>
        </w:tc>
        <w:tc>
          <w:tcPr>
            <w:tcW w:w="5827" w:type="dxa"/>
            <w:gridSpan w:val="2"/>
            <w:tcBorders>
              <w:top w:val="single" w:color="auto"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0187D3F0">
            <w:pPr>
              <w:shd w:val="clear" w:color="auto" w:fill="FFFFFF"/>
              <w:adjustRightInd w:val="0"/>
              <w:snapToGrid w:val="0"/>
              <w:spacing w:line="360" w:lineRule="auto"/>
              <w:ind w:right="-10"/>
              <w:jc w:val="left"/>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1.投标人须提供售后服务方案，包括但不限于售后服务承诺书、售后服务方案（响应时间、服务人员的配置）等内容。提供</w:t>
            </w:r>
            <w:r>
              <w:rPr>
                <w:rFonts w:ascii="宋体" w:hAnsi="宋体" w:eastAsia="宋体" w:cs="宋体"/>
                <w:bCs/>
                <w:color w:val="000000" w:themeColor="text1"/>
                <w:sz w:val="24"/>
                <w:szCs w:val="24"/>
                <w14:textFill>
                  <w14:solidFill>
                    <w14:schemeClr w14:val="tx1"/>
                  </w14:solidFill>
                </w14:textFill>
              </w:rPr>
              <w:t>得</w:t>
            </w:r>
            <w:r>
              <w:rPr>
                <w:rFonts w:hint="eastAsia" w:ascii="宋体" w:hAnsi="宋体" w:eastAsia="宋体" w:cs="宋体"/>
                <w:bCs/>
                <w:color w:val="000000" w:themeColor="text1"/>
                <w:sz w:val="24"/>
                <w:szCs w:val="24"/>
                <w14:textFill>
                  <w14:solidFill>
                    <w14:schemeClr w14:val="tx1"/>
                  </w14:solidFill>
                </w14:textFill>
              </w:rPr>
              <w:t>5</w:t>
            </w:r>
            <w:r>
              <w:rPr>
                <w:rFonts w:ascii="宋体" w:hAnsi="宋体" w:eastAsia="宋体" w:cs="宋体"/>
                <w:bCs/>
                <w:color w:val="000000" w:themeColor="text1"/>
                <w:sz w:val="24"/>
                <w:szCs w:val="24"/>
                <w14:textFill>
                  <w14:solidFill>
                    <w14:schemeClr w14:val="tx1"/>
                  </w14:solidFill>
                </w14:textFill>
              </w:rPr>
              <w:t>分</w:t>
            </w:r>
            <w:r>
              <w:rPr>
                <w:rFonts w:hint="eastAsia" w:ascii="宋体" w:hAnsi="宋体" w:eastAsia="宋体" w:cs="宋体"/>
                <w:bCs/>
                <w:color w:val="000000" w:themeColor="text1"/>
                <w:sz w:val="24"/>
                <w:szCs w:val="24"/>
                <w14:textFill>
                  <w14:solidFill>
                    <w14:schemeClr w14:val="tx1"/>
                  </w14:solidFill>
                </w14:textFill>
              </w:rPr>
              <w:t>,未提供或不满足不得分</w:t>
            </w:r>
            <w:r>
              <w:rPr>
                <w:rFonts w:ascii="宋体" w:hAnsi="宋体" w:eastAsia="宋体" w:cs="宋体"/>
                <w:bCs/>
                <w:color w:val="000000" w:themeColor="text1"/>
                <w:sz w:val="24"/>
                <w:szCs w:val="24"/>
                <w14:textFill>
                  <w14:solidFill>
                    <w14:schemeClr w14:val="tx1"/>
                  </w14:solidFill>
                </w14:textFill>
              </w:rPr>
              <w:t>。</w:t>
            </w:r>
          </w:p>
          <w:p w14:paraId="52DA47D9">
            <w:pPr>
              <w:shd w:val="clear" w:color="auto" w:fill="FFFFFF"/>
              <w:adjustRightInd w:val="0"/>
              <w:snapToGrid w:val="0"/>
              <w:spacing w:line="360" w:lineRule="auto"/>
              <w:ind w:right="-10"/>
              <w:jc w:val="left"/>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2.为保证所投产品的售后服务质量，投标人所投产品（智慧水安平台服务器、智慧水安视频应用平台）制造商应具有充足的售后资源及规范的管理制度，具备符合《C</w:t>
            </w:r>
            <w:r>
              <w:rPr>
                <w:rFonts w:ascii="宋体" w:hAnsi="宋体" w:eastAsia="宋体" w:cs="宋体"/>
                <w:bCs/>
                <w:color w:val="000000" w:themeColor="text1"/>
                <w:sz w:val="24"/>
                <w:szCs w:val="24"/>
                <w14:textFill>
                  <w14:solidFill>
                    <w14:schemeClr w14:val="tx1"/>
                  </w14:solidFill>
                </w14:textFill>
              </w:rPr>
              <w:t>TEAS</w:t>
            </w:r>
            <w:r>
              <w:rPr>
                <w:rFonts w:hint="eastAsia" w:ascii="宋体" w:hAnsi="宋体" w:eastAsia="宋体" w:cs="宋体"/>
                <w:bCs/>
                <w:color w:val="000000" w:themeColor="text1"/>
                <w:sz w:val="24"/>
                <w:szCs w:val="24"/>
                <w14:textFill>
                  <w14:solidFill>
                    <w14:schemeClr w14:val="tx1"/>
                  </w14:solidFill>
                </w14:textFill>
              </w:rPr>
              <w:t>售后服务体系完善程度认证评价规范》（C</w:t>
            </w:r>
            <w:r>
              <w:rPr>
                <w:rFonts w:ascii="宋体" w:hAnsi="宋体" w:eastAsia="宋体" w:cs="宋体"/>
                <w:bCs/>
                <w:color w:val="000000" w:themeColor="text1"/>
                <w:sz w:val="24"/>
                <w:szCs w:val="24"/>
                <w14:textFill>
                  <w14:solidFill>
                    <w14:schemeClr w14:val="tx1"/>
                  </w14:solidFill>
                </w14:textFill>
              </w:rPr>
              <w:t>TEAS1001</w:t>
            </w:r>
            <w:r>
              <w:rPr>
                <w:rFonts w:hint="eastAsia" w:ascii="宋体" w:hAnsi="宋体" w:eastAsia="宋体" w:cs="宋体"/>
                <w:bCs/>
                <w:color w:val="000000" w:themeColor="text1"/>
                <w:sz w:val="24"/>
                <w:szCs w:val="24"/>
                <w14:textFill>
                  <w14:solidFill>
                    <w14:schemeClr w14:val="tx1"/>
                  </w14:solidFill>
                </w14:textFill>
              </w:rPr>
              <w:t>）的售后服务体系完善程度认证七星证书，提供得</w:t>
            </w:r>
            <w:r>
              <w:rPr>
                <w:rFonts w:ascii="宋体" w:hAnsi="宋体" w:eastAsia="宋体" w:cs="宋体"/>
                <w:bCs/>
                <w:color w:val="000000" w:themeColor="text1"/>
                <w:sz w:val="24"/>
                <w:szCs w:val="24"/>
                <w14:textFill>
                  <w14:solidFill>
                    <w14:schemeClr w14:val="tx1"/>
                  </w14:solidFill>
                </w14:textFill>
              </w:rPr>
              <w:t>5</w:t>
            </w:r>
            <w:r>
              <w:rPr>
                <w:rFonts w:hint="eastAsia" w:ascii="宋体" w:hAnsi="宋体" w:eastAsia="宋体" w:cs="宋体"/>
                <w:bCs/>
                <w:color w:val="000000" w:themeColor="text1"/>
                <w:sz w:val="24"/>
                <w:szCs w:val="24"/>
                <w14:textFill>
                  <w14:solidFill>
                    <w14:schemeClr w14:val="tx1"/>
                  </w14:solidFill>
                </w14:textFill>
              </w:rPr>
              <w:t>分，不提供不得分。需提供加本项目名称水印的认证证书复印件。</w:t>
            </w:r>
          </w:p>
          <w:p w14:paraId="1B032960">
            <w:pPr>
              <w:shd w:val="clear" w:color="auto" w:fill="FFFFFF"/>
              <w:adjustRightInd w:val="0"/>
              <w:snapToGrid w:val="0"/>
              <w:spacing w:line="360" w:lineRule="auto"/>
              <w:ind w:right="-1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核心产品：智慧水安平台服务器、400万网络摄像机</w:t>
            </w:r>
          </w:p>
        </w:tc>
      </w:tr>
    </w:tbl>
    <w:p w14:paraId="1D066593">
      <w:pPr>
        <w:tabs>
          <w:tab w:val="left" w:pos="0"/>
          <w:tab w:val="left" w:pos="993"/>
          <w:tab w:val="left" w:pos="1134"/>
        </w:tabs>
        <w:ind w:firstLine="480"/>
        <w:rPr>
          <w:rFonts w:hint="eastAsia" w:ascii="宋体" w:hAnsi="宋体" w:eastAsia="宋体" w:cs="宋体"/>
          <w:color w:val="000000" w:themeColor="text1"/>
          <w:sz w:val="24"/>
          <w14:textFill>
            <w14:solidFill>
              <w14:schemeClr w14:val="tx1"/>
            </w14:solidFill>
          </w14:textFill>
        </w:rPr>
      </w:pPr>
    </w:p>
    <w:p w14:paraId="1973746C">
      <w:pPr>
        <w:spacing w:line="560" w:lineRule="auto"/>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 xml:space="preserve">  最终得分为磋商小组所有成员计分的算术平均值，计算保留小数点两位，小数点后第三位四舍五入。</w:t>
      </w:r>
    </w:p>
    <w:p w14:paraId="7D4619AA">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05538513">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024D62F">
      <w:pPr>
        <w:spacing w:line="560" w:lineRule="auto"/>
        <w:ind w:firstLine="480"/>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22.5若供应商的报价高于项目预算，磋商小组有权根据采购人意见及其实际情况，拒绝该报价。</w:t>
      </w:r>
    </w:p>
    <w:p w14:paraId="5039B053">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02E45AE">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22.7在竞争性磋商期间，供应商不得向竞争性磋商小组成员询问其它供应商竞争性磋商情况，不得进行旨在影响成交结果的活动。</w:t>
      </w:r>
    </w:p>
    <w:p w14:paraId="1A3402C6">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22.8在竞争性磋商期间，采购人将有专门人员与供应商进行联络。</w:t>
      </w:r>
    </w:p>
    <w:p w14:paraId="585B223F">
      <w:pPr>
        <w:spacing w:line="560" w:lineRule="auto"/>
        <w:ind w:firstLine="482"/>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23.竞争性磋商终止</w:t>
      </w:r>
    </w:p>
    <w:p w14:paraId="3B3DAD31">
      <w:pPr>
        <w:spacing w:line="560" w:lineRule="auto"/>
        <w:ind w:firstLine="480"/>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23.1出现下列情形之一时，采购人有权宣布竞争性磋商终止，并将理由通知所有供应商：</w:t>
      </w:r>
    </w:p>
    <w:p w14:paraId="482A16A1">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（1）因情况变化，不再符合竞争性磋商适用情形的；</w:t>
      </w:r>
    </w:p>
    <w:p w14:paraId="11B2F290">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（2）出现影响采购公正的违法、违规行为的；</w:t>
      </w:r>
    </w:p>
    <w:p w14:paraId="19102A26">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（3）在采购过程中符合磋商文件要求的供应商不足3家的；</w:t>
      </w:r>
    </w:p>
    <w:p w14:paraId="1C2DB140">
      <w:pPr>
        <w:spacing w:line="560" w:lineRule="auto"/>
        <w:ind w:firstLine="480"/>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（4）在采购活动中因重大变故，采购任务取消的；</w:t>
      </w:r>
    </w:p>
    <w:p w14:paraId="1FF595A1">
      <w:pPr>
        <w:spacing w:line="720" w:lineRule="auto"/>
        <w:jc w:val="center"/>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七、成交通知</w:t>
      </w:r>
    </w:p>
    <w:p w14:paraId="2B7A0FDD">
      <w:pPr>
        <w:spacing w:line="560" w:lineRule="auto"/>
        <w:ind w:firstLine="482"/>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24.成交通知</w:t>
      </w:r>
    </w:p>
    <w:p w14:paraId="04BF6AFA">
      <w:pPr>
        <w:tabs>
          <w:tab w:val="left" w:pos="1800"/>
        </w:tabs>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24.1在发出成交公告后请采购人、中标人登录周口市公共资源交易中心网（http://jyzx.zhoukou.gov.cn）自行下载成交通知书，成交通知书将作为签订合同的依据。</w:t>
      </w:r>
    </w:p>
    <w:p w14:paraId="3E77BC8E">
      <w:pPr>
        <w:tabs>
          <w:tab w:val="left" w:pos="1800"/>
        </w:tabs>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24.2成交通知书对采购人和成交供应商具有同等法律效力。成交通知书发出后，采购人改变成交结果，或者成交供应商放弃成交，应当承担相应的法律责任。</w:t>
      </w:r>
    </w:p>
    <w:p w14:paraId="12897538">
      <w:pPr>
        <w:spacing w:line="720" w:lineRule="auto"/>
        <w:jc w:val="center"/>
        <w:rPr>
          <w:rFonts w:hint="eastAsia" w:ascii="宋体" w:hAnsi="宋体" w:eastAsia="宋体" w:cs="宋体"/>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八、合同授予</w:t>
      </w:r>
    </w:p>
    <w:p w14:paraId="3E62B2D2">
      <w:pPr>
        <w:tabs>
          <w:tab w:val="left" w:pos="1620"/>
        </w:tabs>
        <w:spacing w:line="560" w:lineRule="auto"/>
        <w:ind w:firstLine="482"/>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25.签订合同及合同的执行</w:t>
      </w:r>
    </w:p>
    <w:p w14:paraId="6B72F515">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25.1采购人、成交供应商按照竞争性磋商文件确定的合同文本签订政府采购合同。</w:t>
      </w:r>
    </w:p>
    <w:p w14:paraId="34311BD1">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5B04FE0F">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9937D2F">
      <w:pPr>
        <w:spacing w:line="720" w:lineRule="auto"/>
        <w:jc w:val="center"/>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九、质疑处理</w:t>
      </w:r>
    </w:p>
    <w:p w14:paraId="5A3657F4">
      <w:pPr>
        <w:spacing w:line="560" w:lineRule="auto"/>
        <w:ind w:firstLine="482"/>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26.质疑程序及处理</w:t>
      </w:r>
    </w:p>
    <w:p w14:paraId="71D90A59">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2E6EE8F3">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26.2采购人在收到供应商的书面质疑后七个工作日内做出答复，并以书面形式通知质疑供应商和其他供应商，但答复内容不得涉及商业秘密。</w:t>
      </w:r>
    </w:p>
    <w:p w14:paraId="6FEB8C6A">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26.3质疑供应商行使质疑权时，必须遵守“实事求是”和“谨慎性”原则，承担使用虚假材料或恶意方式质疑的法律责任，采购人将遵循“谁过错谁负担”的原则，由过错方提交相关的调查论证费用。</w:t>
      </w:r>
    </w:p>
    <w:p w14:paraId="3A76AC0E">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5B35E23">
      <w:pPr>
        <w:spacing w:line="560" w:lineRule="auto"/>
        <w:rPr>
          <w:rFonts w:hint="eastAsia" w:ascii="宋体" w:hAnsi="宋体" w:eastAsia="宋体" w:cs="宋体"/>
          <w:color w:val="000000" w:themeColor="text1"/>
          <w:sz w:val="24"/>
          <w14:textFill>
            <w14:solidFill>
              <w14:schemeClr w14:val="tx1"/>
            </w14:solidFill>
          </w14:textFill>
        </w:rPr>
      </w:pPr>
    </w:p>
    <w:p w14:paraId="674393B2">
      <w:pPr>
        <w:pStyle w:val="2"/>
        <w:ind w:firstLine="210"/>
        <w:rPr>
          <w:color w:val="000000" w:themeColor="text1"/>
          <w14:textFill>
            <w14:solidFill>
              <w14:schemeClr w14:val="tx1"/>
            </w14:solidFill>
          </w14:textFill>
        </w:rPr>
      </w:pPr>
    </w:p>
    <w:p w14:paraId="7B7699B6">
      <w:pPr>
        <w:pStyle w:val="2"/>
        <w:ind w:firstLine="210"/>
        <w:rPr>
          <w:color w:val="000000" w:themeColor="text1"/>
          <w14:textFill>
            <w14:solidFill>
              <w14:schemeClr w14:val="tx1"/>
            </w14:solidFill>
          </w14:textFill>
        </w:rPr>
      </w:pPr>
    </w:p>
    <w:p w14:paraId="1A14C066">
      <w:pPr>
        <w:pStyle w:val="2"/>
        <w:ind w:firstLine="210"/>
        <w:rPr>
          <w:color w:val="000000" w:themeColor="text1"/>
          <w14:textFill>
            <w14:solidFill>
              <w14:schemeClr w14:val="tx1"/>
            </w14:solidFill>
          </w14:textFill>
        </w:rPr>
      </w:pPr>
    </w:p>
    <w:p w14:paraId="26F82801">
      <w:pPr>
        <w:pStyle w:val="2"/>
        <w:ind w:firstLine="210"/>
        <w:rPr>
          <w:color w:val="000000" w:themeColor="text1"/>
          <w14:textFill>
            <w14:solidFill>
              <w14:schemeClr w14:val="tx1"/>
            </w14:solidFill>
          </w14:textFill>
        </w:rPr>
      </w:pPr>
    </w:p>
    <w:p w14:paraId="7FBA8C43">
      <w:pPr>
        <w:pStyle w:val="2"/>
        <w:ind w:firstLine="210"/>
        <w:rPr>
          <w:color w:val="000000" w:themeColor="text1"/>
          <w14:textFill>
            <w14:solidFill>
              <w14:schemeClr w14:val="tx1"/>
            </w14:solidFill>
          </w14:textFill>
        </w:rPr>
      </w:pPr>
    </w:p>
    <w:p w14:paraId="549F5684">
      <w:pPr>
        <w:pStyle w:val="2"/>
        <w:ind w:firstLine="210"/>
        <w:rPr>
          <w:color w:val="000000" w:themeColor="text1"/>
          <w14:textFill>
            <w14:solidFill>
              <w14:schemeClr w14:val="tx1"/>
            </w14:solidFill>
          </w14:textFill>
        </w:rPr>
      </w:pPr>
    </w:p>
    <w:p w14:paraId="0C89D4A7">
      <w:pPr>
        <w:pStyle w:val="2"/>
        <w:ind w:firstLine="210"/>
        <w:rPr>
          <w:color w:val="000000" w:themeColor="text1"/>
          <w14:textFill>
            <w14:solidFill>
              <w14:schemeClr w14:val="tx1"/>
            </w14:solidFill>
          </w14:textFill>
        </w:rPr>
      </w:pPr>
    </w:p>
    <w:p w14:paraId="585A94E3">
      <w:pPr>
        <w:pStyle w:val="2"/>
        <w:ind w:firstLine="210"/>
        <w:rPr>
          <w:color w:val="000000" w:themeColor="text1"/>
          <w14:textFill>
            <w14:solidFill>
              <w14:schemeClr w14:val="tx1"/>
            </w14:solidFill>
          </w14:textFill>
        </w:rPr>
      </w:pPr>
    </w:p>
    <w:p w14:paraId="1B7250A1">
      <w:pPr>
        <w:pStyle w:val="2"/>
        <w:ind w:firstLine="210"/>
        <w:rPr>
          <w:color w:val="000000" w:themeColor="text1"/>
          <w14:textFill>
            <w14:solidFill>
              <w14:schemeClr w14:val="tx1"/>
            </w14:solidFill>
          </w14:textFill>
        </w:rPr>
      </w:pPr>
    </w:p>
    <w:p w14:paraId="13C8E8F8">
      <w:pPr>
        <w:pStyle w:val="2"/>
        <w:ind w:firstLine="210"/>
        <w:rPr>
          <w:color w:val="000000" w:themeColor="text1"/>
          <w14:textFill>
            <w14:solidFill>
              <w14:schemeClr w14:val="tx1"/>
            </w14:solidFill>
          </w14:textFill>
        </w:rPr>
      </w:pPr>
    </w:p>
    <w:p w14:paraId="5A447EFB">
      <w:pPr>
        <w:pStyle w:val="2"/>
        <w:ind w:firstLine="210"/>
        <w:rPr>
          <w:color w:val="000000" w:themeColor="text1"/>
          <w14:textFill>
            <w14:solidFill>
              <w14:schemeClr w14:val="tx1"/>
            </w14:solidFill>
          </w14:textFill>
        </w:rPr>
      </w:pPr>
    </w:p>
    <w:p w14:paraId="2771C20F">
      <w:pPr>
        <w:pStyle w:val="2"/>
        <w:ind w:firstLine="210"/>
        <w:rPr>
          <w:color w:val="000000" w:themeColor="text1"/>
          <w14:textFill>
            <w14:solidFill>
              <w14:schemeClr w14:val="tx1"/>
            </w14:solidFill>
          </w14:textFill>
        </w:rPr>
      </w:pPr>
    </w:p>
    <w:p w14:paraId="5AED2812">
      <w:pPr>
        <w:pStyle w:val="2"/>
        <w:ind w:firstLine="210"/>
        <w:rPr>
          <w:color w:val="000000" w:themeColor="text1"/>
          <w14:textFill>
            <w14:solidFill>
              <w14:schemeClr w14:val="tx1"/>
            </w14:solidFill>
          </w14:textFill>
        </w:rPr>
      </w:pPr>
    </w:p>
    <w:p w14:paraId="10E10371">
      <w:pPr>
        <w:pStyle w:val="2"/>
        <w:ind w:firstLine="210"/>
        <w:rPr>
          <w:color w:val="000000" w:themeColor="text1"/>
          <w14:textFill>
            <w14:solidFill>
              <w14:schemeClr w14:val="tx1"/>
            </w14:solidFill>
          </w14:textFill>
        </w:rPr>
      </w:pPr>
    </w:p>
    <w:p w14:paraId="4D0725F6">
      <w:pPr>
        <w:pStyle w:val="2"/>
        <w:ind w:firstLine="210"/>
        <w:rPr>
          <w:color w:val="000000" w:themeColor="text1"/>
          <w14:textFill>
            <w14:solidFill>
              <w14:schemeClr w14:val="tx1"/>
            </w14:solidFill>
          </w14:textFill>
        </w:rPr>
      </w:pPr>
    </w:p>
    <w:p w14:paraId="6F9D0109">
      <w:pPr>
        <w:pStyle w:val="2"/>
        <w:ind w:firstLine="210"/>
        <w:rPr>
          <w:color w:val="000000" w:themeColor="text1"/>
          <w14:textFill>
            <w14:solidFill>
              <w14:schemeClr w14:val="tx1"/>
            </w14:solidFill>
          </w14:textFill>
        </w:rPr>
      </w:pPr>
    </w:p>
    <w:p w14:paraId="590A2EAC">
      <w:pPr>
        <w:pStyle w:val="2"/>
        <w:ind w:firstLine="210"/>
        <w:rPr>
          <w:color w:val="000000" w:themeColor="text1"/>
          <w14:textFill>
            <w14:solidFill>
              <w14:schemeClr w14:val="tx1"/>
            </w14:solidFill>
          </w14:textFill>
        </w:rPr>
      </w:pPr>
    </w:p>
    <w:p w14:paraId="742E704D">
      <w:pPr>
        <w:pStyle w:val="2"/>
        <w:ind w:firstLine="210"/>
        <w:rPr>
          <w:color w:val="000000" w:themeColor="text1"/>
          <w14:textFill>
            <w14:solidFill>
              <w14:schemeClr w14:val="tx1"/>
            </w14:solidFill>
          </w14:textFill>
        </w:rPr>
      </w:pPr>
    </w:p>
    <w:p w14:paraId="29351B5F">
      <w:pPr>
        <w:pStyle w:val="2"/>
        <w:ind w:firstLine="210"/>
        <w:rPr>
          <w:color w:val="000000" w:themeColor="text1"/>
          <w14:textFill>
            <w14:solidFill>
              <w14:schemeClr w14:val="tx1"/>
            </w14:solidFill>
          </w14:textFill>
        </w:rPr>
      </w:pPr>
    </w:p>
    <w:p w14:paraId="7D2F68BC">
      <w:pPr>
        <w:jc w:val="center"/>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第三章 采购项目内容及要求</w:t>
      </w:r>
    </w:p>
    <w:p w14:paraId="1ED1F699">
      <w:pPr>
        <w:numPr>
          <w:ilvl w:val="0"/>
          <w:numId w:val="25"/>
        </w:numPr>
        <w:spacing w:line="480" w:lineRule="auto"/>
        <w:ind w:left="35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本项目采购内容：</w:t>
      </w:r>
    </w:p>
    <w:tbl>
      <w:tblPr>
        <w:tblStyle w:val="8"/>
        <w:tblW w:w="9407" w:type="dxa"/>
        <w:tblInd w:w="-5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0"/>
        <w:gridCol w:w="836"/>
        <w:gridCol w:w="6700"/>
        <w:gridCol w:w="671"/>
        <w:gridCol w:w="708"/>
        <w:gridCol w:w="52"/>
      </w:tblGrid>
      <w:tr w14:paraId="10BFD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345" w:hRule="atLeast"/>
        </w:trPr>
        <w:tc>
          <w:tcPr>
            <w:tcW w:w="440" w:type="dxa"/>
            <w:noWrap/>
            <w:vAlign w:val="center"/>
          </w:tcPr>
          <w:p w14:paraId="77EE209F">
            <w:pPr>
              <w:widowControl/>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序号</w:t>
            </w:r>
          </w:p>
        </w:tc>
        <w:tc>
          <w:tcPr>
            <w:tcW w:w="836" w:type="dxa"/>
            <w:noWrap/>
            <w:vAlign w:val="center"/>
          </w:tcPr>
          <w:p w14:paraId="05667A30">
            <w:pPr>
              <w:widowControl/>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名称</w:t>
            </w:r>
          </w:p>
        </w:tc>
        <w:tc>
          <w:tcPr>
            <w:tcW w:w="6700" w:type="dxa"/>
            <w:noWrap/>
            <w:vAlign w:val="center"/>
          </w:tcPr>
          <w:p w14:paraId="476A31D1">
            <w:pPr>
              <w:widowControl/>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技术规格</w:t>
            </w:r>
          </w:p>
        </w:tc>
        <w:tc>
          <w:tcPr>
            <w:tcW w:w="671" w:type="dxa"/>
            <w:noWrap/>
            <w:vAlign w:val="center"/>
          </w:tcPr>
          <w:p w14:paraId="50060979">
            <w:pPr>
              <w:widowControl/>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单位</w:t>
            </w:r>
          </w:p>
        </w:tc>
        <w:tc>
          <w:tcPr>
            <w:tcW w:w="708" w:type="dxa"/>
            <w:noWrap/>
            <w:vAlign w:val="center"/>
          </w:tcPr>
          <w:p w14:paraId="12A64C0A">
            <w:pPr>
              <w:widowControl/>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数量</w:t>
            </w:r>
          </w:p>
        </w:tc>
      </w:tr>
      <w:tr w14:paraId="7CE6D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9407" w:type="dxa"/>
            <w:gridSpan w:val="6"/>
            <w:noWrap/>
            <w:vAlign w:val="center"/>
          </w:tcPr>
          <w:p w14:paraId="29AA14A6">
            <w:pPr>
              <w:widowControl/>
              <w:jc w:val="left"/>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1、前端水文监测设备</w:t>
            </w:r>
          </w:p>
        </w:tc>
      </w:tr>
      <w:tr w14:paraId="4E385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345" w:hRule="atLeast"/>
        </w:trPr>
        <w:tc>
          <w:tcPr>
            <w:tcW w:w="440" w:type="dxa"/>
            <w:vAlign w:val="center"/>
          </w:tcPr>
          <w:p w14:paraId="3FDF7A98">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836" w:type="dxa"/>
            <w:vAlign w:val="center"/>
          </w:tcPr>
          <w:p w14:paraId="7B6EF5E7">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水位监测球</w:t>
            </w:r>
          </w:p>
        </w:tc>
        <w:tc>
          <w:tcPr>
            <w:tcW w:w="6700" w:type="dxa"/>
          </w:tcPr>
          <w:p w14:paraId="6ADC9334">
            <w:pPr>
              <w:widowControl/>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400万15米4G水位观测球</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★设备可检测范围为0.15m-15m</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★设备在定时休眠状态下，可通过下发的指令被唤醒，并进行视频预览及抓图（公安部检验报告证明）</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1、设备可配置低功耗模式，低功耗模式下每10秒上次1次数据，功率≤1W，2、设备正常上电，雷达上传数据，摄像机开启工作，电机不工作，功率≤5W，3、设备正常上电，雷达上传数据，摄像机开启工作，电机不工作，补光灯开启工作，功率≤10W。</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设备可以通过IE浏览器设置图片分辨率为2560×1440、30fps。</w:t>
            </w:r>
          </w:p>
          <w:p w14:paraId="2B082E7F">
            <w:pPr>
              <w:widowControl/>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★最低照度彩色不大于0.0005lx（公安部检验报告证明）</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水平旋转范围：0°~340°，垂直旋转范围：-20°~90°</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补光距离可达30米</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设备应具有较好的防护性能，支持IP67，工作温度范围可达-35℃~70℃。</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具有不小于1/1.8英寸的靶面尺寸</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设备内置1个32GB EMMC芯片，1个雷达，具有1个RJ45接口，1个音频输出接口，2个报警输入接口，1个报警输出接口，1个RS485接口，1个SIM卡槽，</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除雾：加热玻璃除雾</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符合GB/T17626.2/3/4/5/6四级标准</w:t>
            </w:r>
          </w:p>
        </w:tc>
        <w:tc>
          <w:tcPr>
            <w:tcW w:w="671" w:type="dxa"/>
            <w:vAlign w:val="center"/>
          </w:tcPr>
          <w:p w14:paraId="73EC9AAC">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台</w:t>
            </w:r>
          </w:p>
        </w:tc>
        <w:tc>
          <w:tcPr>
            <w:tcW w:w="708" w:type="dxa"/>
            <w:vAlign w:val="center"/>
          </w:tcPr>
          <w:p w14:paraId="56F69ED6">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r>
      <w:tr w14:paraId="75351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345" w:hRule="atLeast"/>
        </w:trPr>
        <w:tc>
          <w:tcPr>
            <w:tcW w:w="440" w:type="dxa"/>
            <w:vAlign w:val="center"/>
          </w:tcPr>
          <w:p w14:paraId="62568A86">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836" w:type="dxa"/>
            <w:vAlign w:val="center"/>
          </w:tcPr>
          <w:p w14:paraId="2D0D14DE">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翻斗式雨量传感器</w:t>
            </w:r>
          </w:p>
        </w:tc>
        <w:tc>
          <w:tcPr>
            <w:tcW w:w="6700" w:type="dxa"/>
          </w:tcPr>
          <w:p w14:paraId="69E6487C">
            <w:pPr>
              <w:widowControl/>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不锈钢翻斗式雨量传感器</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纯不锈钢雨量计，壳体采用304不锈钢，内部翻斗也为304不锈钢材质</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分辨力：0.2mm</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输出信号：脉冲式输出</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工作温度：0～55℃</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工作环境湿度&lt;95%(40℃凝露)</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计量误差：≤±4%</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承雨口内径尺寸：Φ200mm</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承雨口内壁深度：不小于 100mm</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存储温度湿度：-40~125℃，＜80%（无凝结）</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内部深入：≥100mm</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 xml:space="preserve">材质：壳体采用304不锈钢，内部翻斗也为304不锈钢材质） </w:t>
            </w:r>
          </w:p>
        </w:tc>
        <w:tc>
          <w:tcPr>
            <w:tcW w:w="671" w:type="dxa"/>
            <w:vAlign w:val="center"/>
          </w:tcPr>
          <w:p w14:paraId="4277B3F5">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台</w:t>
            </w:r>
          </w:p>
        </w:tc>
        <w:tc>
          <w:tcPr>
            <w:tcW w:w="708" w:type="dxa"/>
            <w:vAlign w:val="center"/>
          </w:tcPr>
          <w:p w14:paraId="053FA1F6">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r>
      <w:tr w14:paraId="2E3CB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324" w:hRule="atLeast"/>
        </w:trPr>
        <w:tc>
          <w:tcPr>
            <w:tcW w:w="440" w:type="dxa"/>
            <w:vAlign w:val="center"/>
          </w:tcPr>
          <w:p w14:paraId="112714B6">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w:t>
            </w:r>
          </w:p>
        </w:tc>
        <w:tc>
          <w:tcPr>
            <w:tcW w:w="836" w:type="dxa"/>
            <w:vAlign w:val="center"/>
          </w:tcPr>
          <w:p w14:paraId="23523E32">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全景智能枪球一体机</w:t>
            </w:r>
          </w:p>
        </w:tc>
        <w:tc>
          <w:tcPr>
            <w:tcW w:w="6700" w:type="dxa"/>
          </w:tcPr>
          <w:p w14:paraId="2528C0DC">
            <w:pPr>
              <w:widowControl/>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★全景视频图像分辨率不小于3680 × 1656，细节视频图像分辨率不小于2688 × 1520</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摄像机内置不少于3个镜头，可输出至少1路全景视频和1路细节视频，其中全景视频图像内置2个镜头，细节视频图像内置1个镜头</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全景视频图像内置2个镜头，光圈不小于F1.0，内置4颗补光灯。细节视频图像内置1个镜头，内置10颗红外补光灯及1颗白光灯</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全景视频图像具有不小于1/2.5靶面尺寸，细节视频图像具有不小于1/2.8靶面尺寸</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细节通道最低照度彩色不大于0.005 lx，黑白不大于0.001 lx</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细节视频图像内置镜头，支持不小于25倍光学变倍，镜头最大焦距不小于120mm,全景视频图像内置镜头，焦距不小于2.8mm</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★内置不少于2颗GPU芯片，全景通道可输出两个镜头无缝拼接的全景图像，拼接偏差像素不大于4个像素，全景画面水平视场角不小于190°，垂直视场角不小于80°（以公安部检验报告为准）</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支持水平旋转范围360°连续旋转，垂直旋转范围-20°~90°，全景通道可进行垂直旋转，旋转角度范围不低于12°，并可进行调节</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支持300个预置点，可设置8条巡航路径。支持预置位视频冻结功能</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设备具有 H.265、H.264、MJPEG设置选项</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设备smart 事件上报的抓图支持叠加规则区域和目标框：可配置报警抓图叠加目标信息及规则信息，支持开启及关闭；支持设置告警区域最大可包含整个监控画面；</w:t>
            </w:r>
          </w:p>
          <w:p w14:paraId="277B7058">
            <w:pPr>
              <w:widowControl/>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支持设置预览画面是否叠加显示规则区域框及告警提示信息设备支持可从诊断信息中导出云台控制历史记录，包括：手动键控PTZ、3D定位、手动调用预置点、手动调用花扫、手动调用巡航</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摄像机具备AR标签管理功能、AR标签抖动漂移功能、AR标签联动查看功能（以公安部检验报告为准）</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支持同时检测监控场景内出现的不少于30张人脸，并可进行抓拍；可对监控范围内出现的行人、机动车、非机动车进行抓拍</w:t>
            </w:r>
          </w:p>
        </w:tc>
        <w:tc>
          <w:tcPr>
            <w:tcW w:w="671" w:type="dxa"/>
            <w:vAlign w:val="center"/>
          </w:tcPr>
          <w:p w14:paraId="4591B131">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台</w:t>
            </w:r>
          </w:p>
        </w:tc>
        <w:tc>
          <w:tcPr>
            <w:tcW w:w="708" w:type="dxa"/>
            <w:vAlign w:val="center"/>
          </w:tcPr>
          <w:p w14:paraId="01477ABF">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r>
      <w:tr w14:paraId="137E0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345" w:hRule="atLeast"/>
        </w:trPr>
        <w:tc>
          <w:tcPr>
            <w:tcW w:w="440" w:type="dxa"/>
            <w:vAlign w:val="center"/>
          </w:tcPr>
          <w:p w14:paraId="69848D53">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5</w:t>
            </w:r>
          </w:p>
        </w:tc>
        <w:tc>
          <w:tcPr>
            <w:tcW w:w="836" w:type="dxa"/>
            <w:vAlign w:val="center"/>
          </w:tcPr>
          <w:p w14:paraId="1D2E95C3">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立杆</w:t>
            </w:r>
          </w:p>
        </w:tc>
        <w:tc>
          <w:tcPr>
            <w:tcW w:w="6700" w:type="dxa"/>
          </w:tcPr>
          <w:p w14:paraId="1F342B84">
            <w:pPr>
              <w:widowControl/>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根据现场情况定制立杆，高度不低于3.5米，横臂不低于1米</w:t>
            </w:r>
          </w:p>
        </w:tc>
        <w:tc>
          <w:tcPr>
            <w:tcW w:w="671" w:type="dxa"/>
            <w:vAlign w:val="center"/>
          </w:tcPr>
          <w:p w14:paraId="2F7619FB">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根</w:t>
            </w:r>
          </w:p>
        </w:tc>
        <w:tc>
          <w:tcPr>
            <w:tcW w:w="708" w:type="dxa"/>
            <w:vAlign w:val="center"/>
          </w:tcPr>
          <w:p w14:paraId="60CF8068">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r>
      <w:tr w14:paraId="5DAED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345" w:hRule="atLeast"/>
        </w:trPr>
        <w:tc>
          <w:tcPr>
            <w:tcW w:w="440" w:type="dxa"/>
            <w:vAlign w:val="center"/>
          </w:tcPr>
          <w:p w14:paraId="6501CE88">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w:t>
            </w:r>
          </w:p>
        </w:tc>
        <w:tc>
          <w:tcPr>
            <w:tcW w:w="836" w:type="dxa"/>
            <w:vAlign w:val="center"/>
          </w:tcPr>
          <w:p w14:paraId="115D184B">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定制横臂</w:t>
            </w:r>
          </w:p>
        </w:tc>
        <w:tc>
          <w:tcPr>
            <w:tcW w:w="6700" w:type="dxa"/>
          </w:tcPr>
          <w:p w14:paraId="3B79A367">
            <w:pPr>
              <w:widowControl/>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定制横臂安装在水闸/闸孔上下游处，将水位观测球和流量计固定在水面正上方，满足设备采集数据要求</w:t>
            </w:r>
          </w:p>
        </w:tc>
        <w:tc>
          <w:tcPr>
            <w:tcW w:w="671" w:type="dxa"/>
            <w:vAlign w:val="center"/>
          </w:tcPr>
          <w:p w14:paraId="447E7C10">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根</w:t>
            </w:r>
          </w:p>
        </w:tc>
        <w:tc>
          <w:tcPr>
            <w:tcW w:w="708" w:type="dxa"/>
            <w:vAlign w:val="center"/>
          </w:tcPr>
          <w:p w14:paraId="436A3CE4">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r>
      <w:tr w14:paraId="7E70D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345" w:hRule="atLeast"/>
        </w:trPr>
        <w:tc>
          <w:tcPr>
            <w:tcW w:w="440" w:type="dxa"/>
            <w:vAlign w:val="center"/>
          </w:tcPr>
          <w:p w14:paraId="168DC18A">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7</w:t>
            </w:r>
          </w:p>
        </w:tc>
        <w:tc>
          <w:tcPr>
            <w:tcW w:w="836" w:type="dxa"/>
            <w:vAlign w:val="center"/>
          </w:tcPr>
          <w:p w14:paraId="574675EA">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抱杆机柜</w:t>
            </w:r>
          </w:p>
        </w:tc>
        <w:tc>
          <w:tcPr>
            <w:tcW w:w="6700" w:type="dxa"/>
          </w:tcPr>
          <w:p w14:paraId="45268758">
            <w:pPr>
              <w:widowControl/>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抱杆机柜</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内含双路220V电源防雷，双路10A空气开关一个， 3芯插座一个，抱杆安装</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结构：整体结构采用拼焊结构，牢固、钢性好、牢固可靠</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机柜采用主体焊接、部分拼装的结构，保证了防护性</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防护等级IP55，保护内部设备不受外界恶劣环境的干扰</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采用的是专用户外柜锁，具有良好的防水、防盗性能</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环境适应性好，能最大限度地降低设备对环境的要求接地系统安全可靠</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机柜底部进出线缆，有效实现防水、防尘</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工作温度：温度-40℃~70℃</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 xml:space="preserve">工作湿度：湿度5%~95%@40℃，无凝结 </w:t>
            </w:r>
          </w:p>
        </w:tc>
        <w:tc>
          <w:tcPr>
            <w:tcW w:w="671" w:type="dxa"/>
            <w:vAlign w:val="center"/>
          </w:tcPr>
          <w:p w14:paraId="7223260A">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台</w:t>
            </w:r>
          </w:p>
        </w:tc>
        <w:tc>
          <w:tcPr>
            <w:tcW w:w="708" w:type="dxa"/>
            <w:vAlign w:val="center"/>
          </w:tcPr>
          <w:p w14:paraId="49773D20">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r>
      <w:tr w14:paraId="0D58A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345" w:hRule="atLeast"/>
        </w:trPr>
        <w:tc>
          <w:tcPr>
            <w:tcW w:w="440" w:type="dxa"/>
            <w:vAlign w:val="center"/>
          </w:tcPr>
          <w:p w14:paraId="4A4B6A47">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836" w:type="dxa"/>
            <w:vAlign w:val="center"/>
          </w:tcPr>
          <w:p w14:paraId="4A3913B6">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辅材</w:t>
            </w:r>
          </w:p>
        </w:tc>
        <w:tc>
          <w:tcPr>
            <w:tcW w:w="6700" w:type="dxa"/>
          </w:tcPr>
          <w:p w14:paraId="0AB618DE">
            <w:pPr>
              <w:widowControl/>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安装辅材、立杆基础、电源线、网线、胶带等</w:t>
            </w:r>
          </w:p>
        </w:tc>
        <w:tc>
          <w:tcPr>
            <w:tcW w:w="671" w:type="dxa"/>
            <w:vAlign w:val="center"/>
          </w:tcPr>
          <w:p w14:paraId="06E4B7C5">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套</w:t>
            </w:r>
          </w:p>
        </w:tc>
        <w:tc>
          <w:tcPr>
            <w:tcW w:w="708" w:type="dxa"/>
            <w:vAlign w:val="center"/>
          </w:tcPr>
          <w:p w14:paraId="0F6AC01C">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r>
      <w:tr w14:paraId="089C1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345" w:hRule="atLeast"/>
        </w:trPr>
        <w:tc>
          <w:tcPr>
            <w:tcW w:w="440" w:type="dxa"/>
            <w:vAlign w:val="center"/>
          </w:tcPr>
          <w:p w14:paraId="1D05A0E9">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9</w:t>
            </w:r>
          </w:p>
        </w:tc>
        <w:tc>
          <w:tcPr>
            <w:tcW w:w="836" w:type="dxa"/>
            <w:vAlign w:val="center"/>
          </w:tcPr>
          <w:p w14:paraId="7BFAC875">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综合布线</w:t>
            </w:r>
          </w:p>
        </w:tc>
        <w:tc>
          <w:tcPr>
            <w:tcW w:w="6700" w:type="dxa"/>
          </w:tcPr>
          <w:p w14:paraId="5EE92B16">
            <w:pPr>
              <w:widowControl/>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设备网线电源线布线费用，包含PVC管、轧带等辅材，</w:t>
            </w:r>
          </w:p>
        </w:tc>
        <w:tc>
          <w:tcPr>
            <w:tcW w:w="671" w:type="dxa"/>
            <w:vAlign w:val="center"/>
          </w:tcPr>
          <w:p w14:paraId="3226CB20">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套</w:t>
            </w:r>
          </w:p>
        </w:tc>
        <w:tc>
          <w:tcPr>
            <w:tcW w:w="708" w:type="dxa"/>
            <w:vAlign w:val="center"/>
          </w:tcPr>
          <w:p w14:paraId="154B6631">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w:t>
            </w:r>
          </w:p>
        </w:tc>
      </w:tr>
      <w:tr w14:paraId="55135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9407" w:type="dxa"/>
            <w:gridSpan w:val="6"/>
            <w:noWrap/>
            <w:vAlign w:val="center"/>
          </w:tcPr>
          <w:p w14:paraId="674ECCCA">
            <w:pPr>
              <w:widowControl/>
              <w:jc w:val="left"/>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2、监控设备改造</w:t>
            </w:r>
          </w:p>
        </w:tc>
      </w:tr>
      <w:tr w14:paraId="39B16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345" w:hRule="atLeast"/>
        </w:trPr>
        <w:tc>
          <w:tcPr>
            <w:tcW w:w="440" w:type="dxa"/>
            <w:vAlign w:val="center"/>
          </w:tcPr>
          <w:p w14:paraId="63208E56">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836" w:type="dxa"/>
            <w:vAlign w:val="center"/>
          </w:tcPr>
          <w:p w14:paraId="73015E05">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400万网络摄像机</w:t>
            </w:r>
          </w:p>
        </w:tc>
        <w:tc>
          <w:tcPr>
            <w:tcW w:w="6700" w:type="dxa"/>
          </w:tcPr>
          <w:p w14:paraId="1680CB6C">
            <w:pPr>
              <w:widowControl/>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在2560x1440下分辨力可达到1400TVL</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信噪比不小于55dB。</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支持红外补光，有效补光距离达到50m</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需支持IP66防尘防水。</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支持DC12V或poe供电</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内置1个麦克风，1个RJ45网络接口</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靶面尺寸为1/2.7英寸</w:t>
            </w:r>
          </w:p>
        </w:tc>
        <w:tc>
          <w:tcPr>
            <w:tcW w:w="671" w:type="dxa"/>
            <w:vAlign w:val="center"/>
          </w:tcPr>
          <w:p w14:paraId="6608AD66">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台</w:t>
            </w:r>
          </w:p>
        </w:tc>
        <w:tc>
          <w:tcPr>
            <w:tcW w:w="708" w:type="dxa"/>
            <w:vAlign w:val="center"/>
          </w:tcPr>
          <w:p w14:paraId="75F1009C">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123</w:t>
            </w:r>
          </w:p>
        </w:tc>
      </w:tr>
      <w:tr w14:paraId="45325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345" w:hRule="atLeast"/>
        </w:trPr>
        <w:tc>
          <w:tcPr>
            <w:tcW w:w="440" w:type="dxa"/>
            <w:vAlign w:val="center"/>
          </w:tcPr>
          <w:p w14:paraId="663173DC">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836" w:type="dxa"/>
            <w:vAlign w:val="center"/>
          </w:tcPr>
          <w:p w14:paraId="1236ABB9">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43寸LCD显示屏</w:t>
            </w:r>
          </w:p>
        </w:tc>
        <w:tc>
          <w:tcPr>
            <w:tcW w:w="6700" w:type="dxa"/>
          </w:tcPr>
          <w:p w14:paraId="566681CB">
            <w:pPr>
              <w:widowControl/>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43寸UHD 入门安防显示器</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支持3840 × 2160高清显示</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178°/178°广视角</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爱眼不闪屏，低蓝光设计</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三边超窄边框，纤薄机身</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HDMI等多种接口，丰富连接性和兼容性</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采用 3D 降噪技术，图像鲜艳明亮，呈现真实细节</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支持软件展频技术可降低 EMI 辐射</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支持VESA壁挂</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显示尺寸：43 inch</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屏幕可视区域：940.896 (H) mm × 529.254 (V) mm</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物理分辨率：1920 × 1080</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背光源类型：D-LED</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亮度：300 cd/㎡</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可视角：178° (H) / 178° (V)</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对比度：4000 : 1</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响应时间：6.5 (Typ) ms</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刷新率：Max. 75 Hz , Typ. 60 Hz</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 xml:space="preserve">连续使用时间：7 × 16 H </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音视频输入接口：VGA × 1,  HDMI 1.4 × 1，Line-in × 1</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音视频输出接口：无</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数据传输接口：USB2.0 × 1 (支持U盘播放和程序在线升级)</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 xml:space="preserve">控制接口：无 </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电源：178-240 V～, 50/60 Hz, 1.0 A Max</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功耗：≤ 80 W</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 xml:space="preserve">待机功耗：≤ 0.5 W </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工作温度：0 °C ~ 40 °C</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 xml:space="preserve">工作湿度：10% ~ 80% RH (无冷凝水) </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喇叭：8 Ω 10 W ×2</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外壳材料：塑料</w:t>
            </w:r>
          </w:p>
        </w:tc>
        <w:tc>
          <w:tcPr>
            <w:tcW w:w="671" w:type="dxa"/>
            <w:vAlign w:val="center"/>
          </w:tcPr>
          <w:p w14:paraId="358E1B51">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台</w:t>
            </w:r>
          </w:p>
        </w:tc>
        <w:tc>
          <w:tcPr>
            <w:tcW w:w="708" w:type="dxa"/>
            <w:vAlign w:val="center"/>
          </w:tcPr>
          <w:p w14:paraId="27BAD2B6">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r>
      <w:tr w14:paraId="7E900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345" w:hRule="atLeast"/>
        </w:trPr>
        <w:tc>
          <w:tcPr>
            <w:tcW w:w="440" w:type="dxa"/>
            <w:vAlign w:val="center"/>
          </w:tcPr>
          <w:p w14:paraId="36B0B4DD">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w:t>
            </w:r>
          </w:p>
        </w:tc>
        <w:tc>
          <w:tcPr>
            <w:tcW w:w="836" w:type="dxa"/>
            <w:vAlign w:val="center"/>
          </w:tcPr>
          <w:p w14:paraId="34174A5E">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16口交换机</w:t>
            </w:r>
          </w:p>
        </w:tc>
        <w:tc>
          <w:tcPr>
            <w:tcW w:w="6700" w:type="dxa"/>
          </w:tcPr>
          <w:p w14:paraId="7C8CC7F2">
            <w:pPr>
              <w:widowControl/>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提供16个千兆PoE电口，1个千兆电口，1个千兆光口</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交换容量 36 Gbps</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包转发率 26.78 Mpps</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支持IEEE 802.3at/af</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端口最大供电功率：30 W</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整机最大供电功率：230 W</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支持6 KV防浪涌（PoE口）</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支持PoE输出功率管理</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千兆网络接入设计</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线速转发、无阻塞设计</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存储转发交换方式</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坚固式高强度金属外壳</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工作温度：0 °C ~ 45 °C</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安装方式：机架式（1U高，19英寸宽）</w:t>
            </w:r>
          </w:p>
        </w:tc>
        <w:tc>
          <w:tcPr>
            <w:tcW w:w="671" w:type="dxa"/>
            <w:vAlign w:val="center"/>
          </w:tcPr>
          <w:p w14:paraId="3FDF79E9">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台</w:t>
            </w:r>
          </w:p>
        </w:tc>
        <w:tc>
          <w:tcPr>
            <w:tcW w:w="708" w:type="dxa"/>
            <w:vAlign w:val="center"/>
          </w:tcPr>
          <w:p w14:paraId="7B54C82B">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15</w:t>
            </w:r>
          </w:p>
        </w:tc>
      </w:tr>
      <w:tr w14:paraId="49DAB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345" w:hRule="atLeast"/>
        </w:trPr>
        <w:tc>
          <w:tcPr>
            <w:tcW w:w="440" w:type="dxa"/>
            <w:vAlign w:val="center"/>
          </w:tcPr>
          <w:p w14:paraId="75B7CDF3">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w:t>
            </w:r>
          </w:p>
        </w:tc>
        <w:tc>
          <w:tcPr>
            <w:tcW w:w="836" w:type="dxa"/>
            <w:vAlign w:val="center"/>
          </w:tcPr>
          <w:p w14:paraId="2764E295">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48口交换机</w:t>
            </w:r>
          </w:p>
        </w:tc>
        <w:tc>
          <w:tcPr>
            <w:tcW w:w="6700" w:type="dxa"/>
          </w:tcPr>
          <w:p w14:paraId="645538FB">
            <w:pPr>
              <w:widowControl/>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提供48个千兆PoE电口、2个千兆电口、2个千兆光口</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支持IEEE 802.3at/af标准</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支持IEEE 802.3、IEEE 802.3u、IEEE 802.3x、IEEE 802.3ab、IEEE 802.3z标准</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支持管理平台管理</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支持手机APP管理</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支持安防网络拓扑管理、链路聚合、端口管理</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支持远程升级</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支持6 KV防浪涌（PoE口）</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支持PoE输出功率管理</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存储转发交换方式</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坚固式高强度金属外壳</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PoE标准：支持IEEE 802.3af，IEEE 802.3at供电标准</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端口最大供电功率：30 W</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整机最大供电功率：470 W</w:t>
            </w:r>
          </w:p>
        </w:tc>
        <w:tc>
          <w:tcPr>
            <w:tcW w:w="671" w:type="dxa"/>
            <w:vAlign w:val="center"/>
          </w:tcPr>
          <w:p w14:paraId="3477E0A2">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台</w:t>
            </w:r>
          </w:p>
        </w:tc>
        <w:tc>
          <w:tcPr>
            <w:tcW w:w="708" w:type="dxa"/>
            <w:vAlign w:val="center"/>
          </w:tcPr>
          <w:p w14:paraId="75F16C75">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r>
      <w:tr w14:paraId="146DF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345" w:hRule="atLeast"/>
        </w:trPr>
        <w:tc>
          <w:tcPr>
            <w:tcW w:w="440" w:type="dxa"/>
            <w:vAlign w:val="center"/>
          </w:tcPr>
          <w:p w14:paraId="6740965E">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5</w:t>
            </w:r>
          </w:p>
        </w:tc>
        <w:tc>
          <w:tcPr>
            <w:tcW w:w="836" w:type="dxa"/>
            <w:vAlign w:val="center"/>
          </w:tcPr>
          <w:p w14:paraId="33D57050">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工业级光纤收发器</w:t>
            </w:r>
          </w:p>
        </w:tc>
        <w:tc>
          <w:tcPr>
            <w:tcW w:w="6700" w:type="dxa"/>
          </w:tcPr>
          <w:p w14:paraId="1E427093">
            <w:pPr>
              <w:widowControl/>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导轨式百兆光纤收发器发送端（1光4电，20公里）包含接收端</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接口：4个百兆RJ45，1个百兆FC光口</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光纤类型：单模单纤，9/125um</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传输距离：0~20公里</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波长：Tx1310nm/Rx1550nm</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发射功率：-7~-15dB</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接收灵敏度：-32dB</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安装方式：DIN卡轨</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 xml:space="preserve">操作温度：-30~70 </w:t>
            </w:r>
            <w:r>
              <w:rPr>
                <w:rFonts w:ascii="Times New Roman" w:hAnsi="Times New Roman" w:eastAsia="宋体" w:cs="Times New Roman"/>
                <w:color w:val="000000" w:themeColor="text1"/>
                <w:sz w:val="18"/>
                <w:szCs w:val="18"/>
                <w14:textFill>
                  <w14:solidFill>
                    <w14:schemeClr w14:val="tx1"/>
                  </w14:solidFill>
                </w14:textFill>
              </w:rPr>
              <w:t>˚</w:t>
            </w:r>
            <w:r>
              <w:rPr>
                <w:rFonts w:hint="eastAsia" w:ascii="宋体" w:hAnsi="宋体" w:eastAsia="宋体" w:cs="宋体"/>
                <w:color w:val="000000" w:themeColor="text1"/>
                <w:sz w:val="18"/>
                <w:szCs w:val="18"/>
                <w14:textFill>
                  <w14:solidFill>
                    <w14:schemeClr w14:val="tx1"/>
                  </w14:solidFill>
                </w14:textFill>
              </w:rPr>
              <w:t>C</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浪涌防护：4KV</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防护等级：IP40</w:t>
            </w:r>
          </w:p>
        </w:tc>
        <w:tc>
          <w:tcPr>
            <w:tcW w:w="671" w:type="dxa"/>
            <w:vAlign w:val="center"/>
          </w:tcPr>
          <w:p w14:paraId="75E58420">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对</w:t>
            </w:r>
          </w:p>
        </w:tc>
        <w:tc>
          <w:tcPr>
            <w:tcW w:w="708" w:type="dxa"/>
            <w:vAlign w:val="center"/>
          </w:tcPr>
          <w:p w14:paraId="010ABFD5">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r>
      <w:tr w14:paraId="55306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345" w:hRule="atLeast"/>
        </w:trPr>
        <w:tc>
          <w:tcPr>
            <w:tcW w:w="440" w:type="dxa"/>
            <w:vAlign w:val="center"/>
          </w:tcPr>
          <w:p w14:paraId="5A138E33">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w:t>
            </w:r>
          </w:p>
        </w:tc>
        <w:tc>
          <w:tcPr>
            <w:tcW w:w="836" w:type="dxa"/>
            <w:vAlign w:val="center"/>
          </w:tcPr>
          <w:p w14:paraId="3B431022">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视图终端</w:t>
            </w:r>
          </w:p>
        </w:tc>
        <w:tc>
          <w:tcPr>
            <w:tcW w:w="6700" w:type="dxa"/>
          </w:tcPr>
          <w:p w14:paraId="16CEC32B">
            <w:pPr>
              <w:widowControl/>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CPU：i5-12400(6核/2.5GHz)；6核12线程</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内存：8GB，3200MHz频率，最大支持64 GB内存；</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固态硬盘：1个256G SSD</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机械硬盘：无</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扩展接口：支持4个SATA接口，1个M.2接口，1个PCIE×16插槽，1个PCIE×1插槽，10个USB接口，其中4个USB3.0</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显示器：21.5英寸，分辨率1920x1080，刷新率60HZ</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显卡：集显</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光驱/键鼠：默认不带光驱，含USB有线键鼠</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操作系统：Windows10 Home（不含授权）</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电源：200W；机箱大小：11L</w:t>
            </w:r>
          </w:p>
        </w:tc>
        <w:tc>
          <w:tcPr>
            <w:tcW w:w="671" w:type="dxa"/>
            <w:vAlign w:val="center"/>
          </w:tcPr>
          <w:p w14:paraId="152201CB">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台</w:t>
            </w:r>
          </w:p>
        </w:tc>
        <w:tc>
          <w:tcPr>
            <w:tcW w:w="708" w:type="dxa"/>
            <w:vAlign w:val="center"/>
          </w:tcPr>
          <w:p w14:paraId="54AB92ED">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7</w:t>
            </w:r>
          </w:p>
        </w:tc>
      </w:tr>
      <w:tr w14:paraId="52119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345" w:hRule="atLeast"/>
        </w:trPr>
        <w:tc>
          <w:tcPr>
            <w:tcW w:w="440" w:type="dxa"/>
            <w:vAlign w:val="center"/>
          </w:tcPr>
          <w:p w14:paraId="3C0D7F80">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7</w:t>
            </w:r>
          </w:p>
        </w:tc>
        <w:tc>
          <w:tcPr>
            <w:tcW w:w="836" w:type="dxa"/>
            <w:vAlign w:val="center"/>
          </w:tcPr>
          <w:p w14:paraId="6CE11E26">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32路硬盘录像机</w:t>
            </w:r>
          </w:p>
        </w:tc>
        <w:tc>
          <w:tcPr>
            <w:tcW w:w="6700" w:type="dxa"/>
          </w:tcPr>
          <w:p w14:paraId="134E910B">
            <w:pPr>
              <w:widowControl/>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1.5U机架式4盘位嵌入式网络硬盘录像机，采用短机箱设计，搭载高性能ATX电源</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【硬件规格】</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存储接口：4个SATA接口，可满配12TB硬盘</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视频接口：2×HDMI，1×VGA</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网络接口：2×RJ45 10/100/1000Mbps自适应以太网口</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报警接口：16路报警输入，4路报警输出</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串行接口：1路RS-232接口，2路半双工RS-485接口</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USB接口：2×USB 2.0，1×USB 3.0</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【产品性能】</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输入带宽：256Mbps</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输出带宽：160Mbps</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接入能力：32路H.264、H.265格式高清码流接入</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解码能力：最大支持12×1080P</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显示能力：最大支持4K+1080P异源输出</w:t>
            </w:r>
          </w:p>
          <w:p w14:paraId="481F0293">
            <w:pPr>
              <w:widowControl/>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内含4块6T硬盘</w:t>
            </w:r>
          </w:p>
        </w:tc>
        <w:tc>
          <w:tcPr>
            <w:tcW w:w="671" w:type="dxa"/>
            <w:vAlign w:val="center"/>
          </w:tcPr>
          <w:p w14:paraId="68B2A85A">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台</w:t>
            </w:r>
          </w:p>
        </w:tc>
        <w:tc>
          <w:tcPr>
            <w:tcW w:w="708" w:type="dxa"/>
            <w:vAlign w:val="center"/>
          </w:tcPr>
          <w:p w14:paraId="28F17491">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5</w:t>
            </w:r>
          </w:p>
        </w:tc>
      </w:tr>
      <w:tr w14:paraId="44EBB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345" w:hRule="atLeast"/>
        </w:trPr>
        <w:tc>
          <w:tcPr>
            <w:tcW w:w="440" w:type="dxa"/>
            <w:vAlign w:val="center"/>
          </w:tcPr>
          <w:p w14:paraId="0837874D">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836" w:type="dxa"/>
            <w:vAlign w:val="center"/>
          </w:tcPr>
          <w:p w14:paraId="554E37E3">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16路硬盘录像机</w:t>
            </w:r>
          </w:p>
        </w:tc>
        <w:tc>
          <w:tcPr>
            <w:tcW w:w="6700" w:type="dxa"/>
          </w:tcPr>
          <w:p w14:paraId="34C2F208">
            <w:pPr>
              <w:widowControl/>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1.5U机架式4盘位嵌入式网络硬盘录像机，采用短机箱设计，搭载高性能ATX电源</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【硬件规格】</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存储接口：4个SATA接口，可满配12TB硬盘</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视频接口：2×HDMI，1×VGA</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网络接口：2×RJ45 10/100/1000Mbps自适应以太网口</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报警接口：16路报警输入，4路报警输出</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串行接口：1路RS-232接口，2路半双工RS-485接口</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USB接口：2×USB 2.0，1×USB 3.0</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【产品性能】</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输入带宽：160Mbps</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输出带宽：160Mbps</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接入能力：16路H.264、H.265格式高清码流接入</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解码能力：最大支持12×1080P</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 xml:space="preserve">显示能力：最大支持4K+1080P异源输出   </w:t>
            </w:r>
          </w:p>
          <w:p w14:paraId="35CBEC55">
            <w:pPr>
              <w:widowControl/>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内含4块4T硬盘</w:t>
            </w:r>
          </w:p>
        </w:tc>
        <w:tc>
          <w:tcPr>
            <w:tcW w:w="671" w:type="dxa"/>
            <w:vAlign w:val="center"/>
          </w:tcPr>
          <w:p w14:paraId="6B364108">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台</w:t>
            </w:r>
          </w:p>
        </w:tc>
        <w:tc>
          <w:tcPr>
            <w:tcW w:w="708" w:type="dxa"/>
            <w:vAlign w:val="center"/>
          </w:tcPr>
          <w:p w14:paraId="1B69CD0A">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11</w:t>
            </w:r>
          </w:p>
        </w:tc>
      </w:tr>
      <w:tr w14:paraId="3B7DB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345" w:hRule="atLeast"/>
        </w:trPr>
        <w:tc>
          <w:tcPr>
            <w:tcW w:w="440" w:type="dxa"/>
            <w:vAlign w:val="center"/>
          </w:tcPr>
          <w:p w14:paraId="22306916">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9</w:t>
            </w:r>
          </w:p>
        </w:tc>
        <w:tc>
          <w:tcPr>
            <w:tcW w:w="836" w:type="dxa"/>
            <w:vAlign w:val="center"/>
          </w:tcPr>
          <w:p w14:paraId="363C279E">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线路改造</w:t>
            </w:r>
          </w:p>
        </w:tc>
        <w:tc>
          <w:tcPr>
            <w:tcW w:w="6700" w:type="dxa"/>
          </w:tcPr>
          <w:p w14:paraId="3CC89BD6">
            <w:pPr>
              <w:widowControl/>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设备网线电源线布线改造，包含PVC管、轧带等辅材</w:t>
            </w:r>
          </w:p>
        </w:tc>
        <w:tc>
          <w:tcPr>
            <w:tcW w:w="671" w:type="dxa"/>
            <w:vAlign w:val="center"/>
          </w:tcPr>
          <w:p w14:paraId="770F267F">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台</w:t>
            </w:r>
          </w:p>
        </w:tc>
        <w:tc>
          <w:tcPr>
            <w:tcW w:w="708" w:type="dxa"/>
            <w:vAlign w:val="center"/>
          </w:tcPr>
          <w:p w14:paraId="1B44DA76">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123</w:t>
            </w:r>
          </w:p>
        </w:tc>
      </w:tr>
      <w:tr w14:paraId="05C24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345" w:hRule="atLeast"/>
        </w:trPr>
        <w:tc>
          <w:tcPr>
            <w:tcW w:w="440" w:type="dxa"/>
            <w:vAlign w:val="center"/>
          </w:tcPr>
          <w:p w14:paraId="602E91E9">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r>
              <w:rPr>
                <w:rFonts w:ascii="宋体" w:hAnsi="宋体" w:eastAsia="宋体" w:cs="宋体"/>
                <w:color w:val="000000" w:themeColor="text1"/>
                <w:sz w:val="18"/>
                <w:szCs w:val="18"/>
                <w14:textFill>
                  <w14:solidFill>
                    <w14:schemeClr w14:val="tx1"/>
                  </w14:solidFill>
                </w14:textFill>
              </w:rPr>
              <w:t>0</w:t>
            </w:r>
          </w:p>
        </w:tc>
        <w:tc>
          <w:tcPr>
            <w:tcW w:w="836" w:type="dxa"/>
            <w:vAlign w:val="center"/>
          </w:tcPr>
          <w:p w14:paraId="75A0723B">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网络运营专线</w:t>
            </w:r>
          </w:p>
        </w:tc>
        <w:tc>
          <w:tcPr>
            <w:tcW w:w="6700" w:type="dxa"/>
          </w:tcPr>
          <w:p w14:paraId="274B326D">
            <w:pPr>
              <w:widowControl/>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专线费用</w:t>
            </w:r>
          </w:p>
        </w:tc>
        <w:tc>
          <w:tcPr>
            <w:tcW w:w="671" w:type="dxa"/>
            <w:vAlign w:val="center"/>
          </w:tcPr>
          <w:p w14:paraId="0ADA5625">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年</w:t>
            </w:r>
          </w:p>
        </w:tc>
        <w:tc>
          <w:tcPr>
            <w:tcW w:w="708" w:type="dxa"/>
            <w:vAlign w:val="center"/>
          </w:tcPr>
          <w:p w14:paraId="7527750C">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r>
      <w:tr w14:paraId="18F13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9407" w:type="dxa"/>
            <w:gridSpan w:val="6"/>
            <w:noWrap/>
            <w:vAlign w:val="center"/>
          </w:tcPr>
          <w:p w14:paraId="0882B1F2">
            <w:pPr>
              <w:widowControl/>
              <w:jc w:val="left"/>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3、中心平台软硬件</w:t>
            </w:r>
          </w:p>
        </w:tc>
      </w:tr>
      <w:tr w14:paraId="526C4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345" w:hRule="atLeast"/>
        </w:trPr>
        <w:tc>
          <w:tcPr>
            <w:tcW w:w="440" w:type="dxa"/>
            <w:vAlign w:val="center"/>
          </w:tcPr>
          <w:p w14:paraId="7A01EBB2">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836" w:type="dxa"/>
            <w:vAlign w:val="center"/>
          </w:tcPr>
          <w:p w14:paraId="36BC0D97">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智慧水安平台服务器</w:t>
            </w:r>
          </w:p>
        </w:tc>
        <w:tc>
          <w:tcPr>
            <w:tcW w:w="6700" w:type="dxa"/>
          </w:tcPr>
          <w:p w14:paraId="6762327E">
            <w:pPr>
              <w:widowControl/>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CPU：配置2颗 C86架构HYGON 7363处理器，单处理器物理核心数≥16核，主频≥2.5 GHz，末级缓存容量≥32 MB，线程数≥32线程，热设计功耗≥135 W，支持内存通道数≥4，位宽≥64；</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内存：配置128G DDR4，8根内存插槽；</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硬盘：2块600G 10K SAS硬盘（Raid1），前置最大可选支持12块3.5寸(兼容2.5寸)热插拔SATA/SAS硬盘或者24块2.5寸热插拔SATA/SAS硬盘，后置最大可选支持2块2.5寸热插拔SATA/SAS硬盘，内置最大可选支持2块2.5寸非热插拔SATA SSD硬盘，板载最大可选支持1个SATA M.2硬盘，可以适配12盘位扩展背板和25盘位扩展背板；</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阵列卡：配置SAS_HBA卡（支持RAID 0/1/10）；</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PCIE扩展：最大支持4个标准PCIE插槽；</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网口：标配板载2个千兆电口，可选配置2个万兆网口，支持选配10GbE SFP+等多种网络接口；</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其他接口：标配1个IPMI RJ-45管理接口，位于机箱后部；7个USB 3.0接口 4个位于机箱后部，2个位于机箱前部，1个位于机箱内部；2个VGA接口 1个位于机箱前部，1个位于机箱后部；</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电源：配置800W（1+1）高效铂金CRPS冗余电源；</w:t>
            </w:r>
          </w:p>
        </w:tc>
        <w:tc>
          <w:tcPr>
            <w:tcW w:w="671" w:type="dxa"/>
            <w:vAlign w:val="center"/>
          </w:tcPr>
          <w:p w14:paraId="3D380768">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台</w:t>
            </w:r>
          </w:p>
        </w:tc>
        <w:tc>
          <w:tcPr>
            <w:tcW w:w="708" w:type="dxa"/>
            <w:vAlign w:val="center"/>
          </w:tcPr>
          <w:p w14:paraId="2980EF62">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r>
      <w:tr w14:paraId="4872E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345" w:hRule="atLeast"/>
        </w:trPr>
        <w:tc>
          <w:tcPr>
            <w:tcW w:w="440" w:type="dxa"/>
            <w:vAlign w:val="center"/>
          </w:tcPr>
          <w:p w14:paraId="1F7FAB1E">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836" w:type="dxa"/>
            <w:vAlign w:val="center"/>
          </w:tcPr>
          <w:p w14:paraId="7FD45A49">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服务器交换机</w:t>
            </w:r>
          </w:p>
        </w:tc>
        <w:tc>
          <w:tcPr>
            <w:tcW w:w="6700" w:type="dxa"/>
          </w:tcPr>
          <w:p w14:paraId="1098B229">
            <w:pPr>
              <w:widowControl/>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提供24个千兆电口，24个千兆光口，6个万兆/千兆SFP光口</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交换容量 598Gbps</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包转发率 252Mpps</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支持静态路由、策略路由、RIP、OSPF、BGP、MPLS等三层路由协议</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支持简单网络管理：WEB浏览器，CLI，Telnet，串口</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 xml:space="preserve">支持IGMP侦听和GRMP </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支持EAPS和ERPS以太网环网保护协议</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支持DHCP Server、DHCP Relay、DHCP Snooping</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支持支持SP、WRR、SP+WRR等队列调度方式</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支持IEEE 802.1x认证、Radius、BDTacacs+认证</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支持基于端口的VLAN，IEEE 802.1Q VLAN和GVRP</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支持QoS（IEEE 802.1P/1Q和TOS/DiffServ）</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支持SNMPv1/v2c/v3用于不同级别的网络管理</w:t>
            </w:r>
          </w:p>
        </w:tc>
        <w:tc>
          <w:tcPr>
            <w:tcW w:w="671" w:type="dxa"/>
            <w:vAlign w:val="center"/>
          </w:tcPr>
          <w:p w14:paraId="4CF78A50">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台</w:t>
            </w:r>
          </w:p>
        </w:tc>
        <w:tc>
          <w:tcPr>
            <w:tcW w:w="708" w:type="dxa"/>
            <w:vAlign w:val="center"/>
          </w:tcPr>
          <w:p w14:paraId="4F81FA79">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r>
      <w:tr w14:paraId="197E6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345" w:hRule="atLeast"/>
        </w:trPr>
        <w:tc>
          <w:tcPr>
            <w:tcW w:w="440" w:type="dxa"/>
            <w:vAlign w:val="center"/>
          </w:tcPr>
          <w:p w14:paraId="7AC334F2">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w:t>
            </w:r>
          </w:p>
        </w:tc>
        <w:tc>
          <w:tcPr>
            <w:tcW w:w="836" w:type="dxa"/>
            <w:vAlign w:val="center"/>
          </w:tcPr>
          <w:p w14:paraId="2DD3245F">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边界防火墙</w:t>
            </w:r>
          </w:p>
        </w:tc>
        <w:tc>
          <w:tcPr>
            <w:tcW w:w="6700" w:type="dxa"/>
            <w:vAlign w:val="center"/>
          </w:tcPr>
          <w:p w14:paraId="18271F1D">
            <w:pPr>
              <w:widowControl/>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网络层吞吐量≥2Gbps；IPS吞吐量≥1.2bps；AV吞吐量≥800Mbps；IPSec吞吐量≥700Mbps；IPSec 隧道数≥4000；并发连接数≥180万；每秒新建连接数≥1.9万</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1U标准机箱，配置≥5个千兆电口，≥4对Combo口；≥1个CON口；≥1个USB3.0口；交流双电源；</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支持NAT扩展和端口复用，可实现NAT地址的单个端口上建立多条会话</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支持多层多级（两层八级）的流量层级，支持基于用户/用户组、应用、URL、ip地址、接口、安全域、VLAN、服务/服务组等对象进行带宽限制</w:t>
            </w:r>
          </w:p>
        </w:tc>
        <w:tc>
          <w:tcPr>
            <w:tcW w:w="671" w:type="dxa"/>
            <w:vAlign w:val="center"/>
          </w:tcPr>
          <w:p w14:paraId="2FE163C4">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台</w:t>
            </w:r>
          </w:p>
        </w:tc>
        <w:tc>
          <w:tcPr>
            <w:tcW w:w="708" w:type="dxa"/>
            <w:vAlign w:val="center"/>
          </w:tcPr>
          <w:p w14:paraId="74BD33EF">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r>
      <w:tr w14:paraId="67C42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345" w:hRule="atLeast"/>
        </w:trPr>
        <w:tc>
          <w:tcPr>
            <w:tcW w:w="440" w:type="dxa"/>
            <w:vAlign w:val="center"/>
          </w:tcPr>
          <w:p w14:paraId="2059E6FA">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w:t>
            </w:r>
          </w:p>
        </w:tc>
        <w:tc>
          <w:tcPr>
            <w:tcW w:w="836" w:type="dxa"/>
            <w:vAlign w:val="center"/>
          </w:tcPr>
          <w:p w14:paraId="33FECE1A">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防火墙升级授权</w:t>
            </w:r>
          </w:p>
        </w:tc>
        <w:tc>
          <w:tcPr>
            <w:tcW w:w="6700" w:type="dxa"/>
            <w:vAlign w:val="center"/>
          </w:tcPr>
          <w:p w14:paraId="513587A6">
            <w:pPr>
              <w:widowControl/>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下一代防火墙专用3年全功能模块升级服务，支持入侵防御、病毒过滤、上网行为管理、带宽管理功能。</w:t>
            </w:r>
          </w:p>
        </w:tc>
        <w:tc>
          <w:tcPr>
            <w:tcW w:w="671" w:type="dxa"/>
            <w:vAlign w:val="center"/>
          </w:tcPr>
          <w:p w14:paraId="0DA1BABB">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套</w:t>
            </w:r>
          </w:p>
        </w:tc>
        <w:tc>
          <w:tcPr>
            <w:tcW w:w="708" w:type="dxa"/>
            <w:vAlign w:val="center"/>
          </w:tcPr>
          <w:p w14:paraId="10856018">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r>
      <w:tr w14:paraId="37D19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345" w:hRule="atLeast"/>
        </w:trPr>
        <w:tc>
          <w:tcPr>
            <w:tcW w:w="440" w:type="dxa"/>
            <w:vAlign w:val="center"/>
          </w:tcPr>
          <w:p w14:paraId="6B6A7123">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5</w:t>
            </w:r>
          </w:p>
        </w:tc>
        <w:tc>
          <w:tcPr>
            <w:tcW w:w="836" w:type="dxa"/>
            <w:vAlign w:val="center"/>
          </w:tcPr>
          <w:p w14:paraId="6D83349D">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42U机柜</w:t>
            </w:r>
          </w:p>
        </w:tc>
        <w:tc>
          <w:tcPr>
            <w:tcW w:w="6700" w:type="dxa"/>
          </w:tcPr>
          <w:p w14:paraId="5D865043">
            <w:pPr>
              <w:widowControl/>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42U，网孔门，落地机柜</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承重：静态1000KG</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前后门材质：前单开网孔门，后双开网孔门，冷轧板 T=1.2</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门敞开百分比：前门78%，后门77.2%</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侧门材质：冷轧板 T=1.0</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门框左右立柱材质：冷轧板 T=1.2（框架）</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左右支架：冷轧板 T=2.0</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横梁：冷轧板 T=1.2</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PDU：1个，8口PDU，输入10A，带2M线</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滚轮：支持，4个</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脚撑：支持，4个</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风扇：不含</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辅件：40套安装螺丝，前/后侧门钥匙各两把</w:t>
            </w:r>
          </w:p>
        </w:tc>
        <w:tc>
          <w:tcPr>
            <w:tcW w:w="671" w:type="dxa"/>
            <w:vAlign w:val="center"/>
          </w:tcPr>
          <w:p w14:paraId="04C20378">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台</w:t>
            </w:r>
          </w:p>
        </w:tc>
        <w:tc>
          <w:tcPr>
            <w:tcW w:w="708" w:type="dxa"/>
            <w:vAlign w:val="center"/>
          </w:tcPr>
          <w:p w14:paraId="220BC001">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r>
      <w:tr w14:paraId="755D9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345" w:hRule="atLeast"/>
        </w:trPr>
        <w:tc>
          <w:tcPr>
            <w:tcW w:w="440" w:type="dxa"/>
            <w:vAlign w:val="center"/>
          </w:tcPr>
          <w:p w14:paraId="7F74D9DC">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w:t>
            </w:r>
          </w:p>
        </w:tc>
        <w:tc>
          <w:tcPr>
            <w:tcW w:w="836" w:type="dxa"/>
            <w:vAlign w:val="center"/>
          </w:tcPr>
          <w:p w14:paraId="40D6C987">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基础模块</w:t>
            </w:r>
          </w:p>
        </w:tc>
        <w:tc>
          <w:tcPr>
            <w:tcW w:w="6700" w:type="dxa"/>
          </w:tcPr>
          <w:p w14:paraId="0AFE1C95">
            <w:pPr>
              <w:widowControl/>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 xml:space="preserve">系统最大区域数量 2万 </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 xml:space="preserve">系统最大区域层级数量 10级 </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 xml:space="preserve">系统区域下最大点位数 5000 </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 xml:space="preserve">系统最大用户数量 100万 </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 xml:space="preserve">系统最大部门数量 2万 </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 xml:space="preserve">系统最大部门层级数量 10级 </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 xml:space="preserve">系统最大同时在线用户数量 8000 </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 xml:space="preserve">系统最大并发登录用户数量 240 </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系统最大角色数量 3万</w:t>
            </w:r>
          </w:p>
        </w:tc>
        <w:tc>
          <w:tcPr>
            <w:tcW w:w="671" w:type="dxa"/>
            <w:vAlign w:val="center"/>
          </w:tcPr>
          <w:p w14:paraId="519B401E">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套</w:t>
            </w:r>
          </w:p>
        </w:tc>
        <w:tc>
          <w:tcPr>
            <w:tcW w:w="708" w:type="dxa"/>
            <w:vAlign w:val="center"/>
          </w:tcPr>
          <w:p w14:paraId="4BF79D62">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r>
      <w:tr w14:paraId="554EC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345" w:hRule="atLeast"/>
        </w:trPr>
        <w:tc>
          <w:tcPr>
            <w:tcW w:w="440" w:type="dxa"/>
            <w:vAlign w:val="center"/>
          </w:tcPr>
          <w:p w14:paraId="220FA77E">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7</w:t>
            </w:r>
          </w:p>
        </w:tc>
        <w:tc>
          <w:tcPr>
            <w:tcW w:w="836" w:type="dxa"/>
            <w:vAlign w:val="center"/>
          </w:tcPr>
          <w:p w14:paraId="4D994BF0">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水位数据监测</w:t>
            </w:r>
          </w:p>
        </w:tc>
        <w:tc>
          <w:tcPr>
            <w:tcW w:w="6700" w:type="dxa"/>
          </w:tcPr>
          <w:p w14:paraId="0D0314C0">
            <w:pPr>
              <w:widowControl/>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支持快速切换水文监测设备类型，查看各水文类型监测信息；</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支持快速切换水位监测设备，支持按名称搜索水位监测设备；</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支持查看设备名称、设备区划、设备安装经度、纬度位置坐标，支持通过地图展示点位位置；</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支持查看关联监控点的实时预览画面，支持自定义时间段查看录像回放；</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支持展示水位历史数据；支持展示一定时间范围内的数据变化趋势图，包括按当日、当周、当月、当年和自定义五个时间维度；支持导出历史数据，包括设备名称、环境量名、时间、数据；</w:t>
            </w:r>
          </w:p>
        </w:tc>
        <w:tc>
          <w:tcPr>
            <w:tcW w:w="671" w:type="dxa"/>
            <w:vAlign w:val="center"/>
          </w:tcPr>
          <w:p w14:paraId="4A3FC611">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套</w:t>
            </w:r>
          </w:p>
        </w:tc>
        <w:tc>
          <w:tcPr>
            <w:tcW w:w="708" w:type="dxa"/>
            <w:vAlign w:val="center"/>
          </w:tcPr>
          <w:p w14:paraId="0B9E5C7C">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r>
      <w:tr w14:paraId="71C5A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345" w:hRule="atLeast"/>
        </w:trPr>
        <w:tc>
          <w:tcPr>
            <w:tcW w:w="440" w:type="dxa"/>
            <w:vAlign w:val="center"/>
          </w:tcPr>
          <w:p w14:paraId="493C35A9">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836" w:type="dxa"/>
            <w:vAlign w:val="center"/>
          </w:tcPr>
          <w:p w14:paraId="25E36698">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雨量数据监测</w:t>
            </w:r>
          </w:p>
        </w:tc>
        <w:tc>
          <w:tcPr>
            <w:tcW w:w="6700" w:type="dxa"/>
          </w:tcPr>
          <w:p w14:paraId="1FE392AA">
            <w:pPr>
              <w:widowControl/>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持查看雨量详情历史数据列表，包括设备名称、上报时间、上报图片；支持按每页20条、50条、100条进行展示；支持导出历史数据，包括设备名称、环境量名、时间、数据；</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支持展示极大值数据，包括周极大值、月极大值、季极大值、年极大值和历史极大值；</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展示预警数据，支持根据设备名称、预警类型：预警时间进行条件查询，展示字段包含预警类型、预警数值、预警时间、设备名称：支持按每页20条、50条、100条进行展示；支持导出预警信息列表，包括设备名称、预警类型、预警数值、预警时间。</w:t>
            </w:r>
          </w:p>
        </w:tc>
        <w:tc>
          <w:tcPr>
            <w:tcW w:w="671" w:type="dxa"/>
            <w:vAlign w:val="center"/>
          </w:tcPr>
          <w:p w14:paraId="787E3522">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套</w:t>
            </w:r>
          </w:p>
        </w:tc>
        <w:tc>
          <w:tcPr>
            <w:tcW w:w="708" w:type="dxa"/>
            <w:vAlign w:val="center"/>
          </w:tcPr>
          <w:p w14:paraId="1CC94E18">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r>
      <w:tr w14:paraId="05270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345" w:hRule="atLeast"/>
        </w:trPr>
        <w:tc>
          <w:tcPr>
            <w:tcW w:w="440" w:type="dxa"/>
            <w:vAlign w:val="center"/>
          </w:tcPr>
          <w:p w14:paraId="45EC29D6">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9</w:t>
            </w:r>
          </w:p>
        </w:tc>
        <w:tc>
          <w:tcPr>
            <w:tcW w:w="836" w:type="dxa"/>
            <w:vAlign w:val="center"/>
          </w:tcPr>
          <w:p w14:paraId="100DD049">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水文数据监测手机端</w:t>
            </w:r>
          </w:p>
        </w:tc>
        <w:tc>
          <w:tcPr>
            <w:tcW w:w="6700" w:type="dxa"/>
          </w:tcPr>
          <w:p w14:paraId="7CFC3651">
            <w:pPr>
              <w:widowControl/>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支持预警类型的切换，搜索条件有对象名称、环境量名称、时间范围（开始时间、结束时间）；</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★支持预警列表根据预警类型展示不同形式，展示环境量类型、对象名称、预警数值、预警时间；</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支持查看环境量和预警相关信息；</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支持在线预览和预警回放，通过按钮跳转到视频播放页面；</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★支持展示环境量的历史数据趋势图（近24小时），支持在图表上展示阈值信息。</w:t>
            </w:r>
          </w:p>
        </w:tc>
        <w:tc>
          <w:tcPr>
            <w:tcW w:w="671" w:type="dxa"/>
            <w:vAlign w:val="center"/>
          </w:tcPr>
          <w:p w14:paraId="72BCAB4C">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套</w:t>
            </w:r>
          </w:p>
        </w:tc>
        <w:tc>
          <w:tcPr>
            <w:tcW w:w="708" w:type="dxa"/>
            <w:vAlign w:val="center"/>
          </w:tcPr>
          <w:p w14:paraId="4B0475C6">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r>
      <w:tr w14:paraId="141D2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345" w:hRule="atLeast"/>
        </w:trPr>
        <w:tc>
          <w:tcPr>
            <w:tcW w:w="440" w:type="dxa"/>
            <w:vAlign w:val="center"/>
          </w:tcPr>
          <w:p w14:paraId="4649B915">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10</w:t>
            </w:r>
          </w:p>
        </w:tc>
        <w:tc>
          <w:tcPr>
            <w:tcW w:w="836" w:type="dxa"/>
            <w:vAlign w:val="center"/>
          </w:tcPr>
          <w:p w14:paraId="154E3046">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视频监控</w:t>
            </w:r>
          </w:p>
        </w:tc>
        <w:tc>
          <w:tcPr>
            <w:tcW w:w="6700" w:type="dxa"/>
          </w:tcPr>
          <w:p w14:paraId="739EB881">
            <w:pPr>
              <w:widowControl/>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支持视频实时预览，取流失败时支持重新取流，支持设置重新取流次数及取流重连时间间隔；</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支持画面抓图、录像、静音、电子放大、3D放大、进入即时回放、云台控制、电视墙显示、开关报警输出、对讲，主/子码流切换、码流信息展示；</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支持多画面保存为资源视图，支持多画面同时抓图、同时录像、全部关闭、同时静音等功能；</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支持多屏播放，支持切换画面为1x1、2x2、3x3、4x4、5x5、1x2、1+2、1+5、1+7、1+8、1+9、1+12、1+16、4+9、1+1+12、3+4、1x4、4x6，支持画面以4:3或16:9展示，支持全屏播放；</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支持组播预览；</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对实时预览画面右键进行抓图、开始录像、静音/开启声音、开启电子放大、开启3D放大、进入即时回放、开启云台、电视墙显示、开关报警输出、开启对讲，主\子码流切换、显示码流信息、切换为图片监控、打开录像回放、关闭窗口等功能。</w:t>
            </w:r>
          </w:p>
        </w:tc>
        <w:tc>
          <w:tcPr>
            <w:tcW w:w="671" w:type="dxa"/>
            <w:vAlign w:val="center"/>
          </w:tcPr>
          <w:p w14:paraId="2B192D38">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套</w:t>
            </w:r>
          </w:p>
        </w:tc>
        <w:tc>
          <w:tcPr>
            <w:tcW w:w="708" w:type="dxa"/>
            <w:vAlign w:val="center"/>
          </w:tcPr>
          <w:p w14:paraId="7FE876A9">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r>
      <w:tr w14:paraId="7C98E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345" w:hRule="atLeast"/>
        </w:trPr>
        <w:tc>
          <w:tcPr>
            <w:tcW w:w="440" w:type="dxa"/>
            <w:vAlign w:val="center"/>
          </w:tcPr>
          <w:p w14:paraId="3EC26F3B">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11</w:t>
            </w:r>
          </w:p>
        </w:tc>
        <w:tc>
          <w:tcPr>
            <w:tcW w:w="836" w:type="dxa"/>
            <w:vAlign w:val="center"/>
          </w:tcPr>
          <w:p w14:paraId="4431EF84">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本级接入路数</w:t>
            </w:r>
          </w:p>
        </w:tc>
        <w:tc>
          <w:tcPr>
            <w:tcW w:w="6700" w:type="dxa"/>
          </w:tcPr>
          <w:p w14:paraId="4ABE86ED">
            <w:pPr>
              <w:widowControl/>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提高视频接入授权不低于200路，支持通过web插件进行视频预览、回放等操作；</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支持根据关键字及拼音字母进行点位模糊搜索，支持对检索点位进行定位到资源树；</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监控点和窗口布局以视图的形式进行管理，包括公有视图和私有视图，支持视图组的新增/删除/修改/查询；支持云台控制、云台锁定；支持监控点的预置点、巡航设置；支持对监控点画面亮度、色度、对比度、饱和度设置，可一键恢复默认参数；支持将视频视图共享给指定人员；</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支持轮巡分组的轮巡监控点添加和删除、窗口个数设置、轮巡顺序设置、轮巡时间间隔设置；支持视频轮巡分组新增/删除/修改/查询；支持轮巡分组顺序的上下移动；支持轮巡的暂停、开始、切换操作。</w:t>
            </w:r>
          </w:p>
        </w:tc>
        <w:tc>
          <w:tcPr>
            <w:tcW w:w="671" w:type="dxa"/>
            <w:vAlign w:val="center"/>
          </w:tcPr>
          <w:p w14:paraId="0A4B0220">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套</w:t>
            </w:r>
          </w:p>
        </w:tc>
        <w:tc>
          <w:tcPr>
            <w:tcW w:w="708" w:type="dxa"/>
            <w:vAlign w:val="center"/>
          </w:tcPr>
          <w:p w14:paraId="7A9D38CC">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r>
      <w:tr w14:paraId="0FA38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345" w:hRule="atLeast"/>
        </w:trPr>
        <w:tc>
          <w:tcPr>
            <w:tcW w:w="440" w:type="dxa"/>
            <w:vAlign w:val="center"/>
          </w:tcPr>
          <w:p w14:paraId="11BAECE1">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12</w:t>
            </w:r>
          </w:p>
        </w:tc>
        <w:tc>
          <w:tcPr>
            <w:tcW w:w="836" w:type="dxa"/>
            <w:vAlign w:val="center"/>
          </w:tcPr>
          <w:p w14:paraId="4B1E281D">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AR全景水闸模块</w:t>
            </w:r>
          </w:p>
        </w:tc>
        <w:tc>
          <w:tcPr>
            <w:tcW w:w="6700" w:type="dxa"/>
          </w:tcPr>
          <w:p w14:paraId="5EF5B919">
            <w:pPr>
              <w:widowControl/>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中低空点位场景信息管理：</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1、支持对高点视频点位进行添加、删除和编辑。</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2、支持对高点视频信息（包括：高点类型、高点编号、高点名称、设备类型、高点通道、顺序号、高点经纬度、可视域信息）进行添加、删除和编辑。 高点视频信息添加成功后以列表形式展示，并支持按组织和点位名称进行精确和模糊检索。</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3、支持对高点视频点位显示顺序进行排序配置，客户端显示高点点位资源时按照配置的顺序进行展示。</w:t>
            </w:r>
          </w:p>
        </w:tc>
        <w:tc>
          <w:tcPr>
            <w:tcW w:w="671" w:type="dxa"/>
            <w:vAlign w:val="center"/>
          </w:tcPr>
          <w:p w14:paraId="13CAE8C0">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套</w:t>
            </w:r>
          </w:p>
        </w:tc>
        <w:tc>
          <w:tcPr>
            <w:tcW w:w="708" w:type="dxa"/>
            <w:vAlign w:val="center"/>
          </w:tcPr>
          <w:p w14:paraId="6A4FBA1B">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r>
      <w:tr w14:paraId="3B4AC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345" w:hRule="atLeast"/>
        </w:trPr>
        <w:tc>
          <w:tcPr>
            <w:tcW w:w="440" w:type="dxa"/>
            <w:vAlign w:val="center"/>
          </w:tcPr>
          <w:p w14:paraId="103FC9CE">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13</w:t>
            </w:r>
          </w:p>
        </w:tc>
        <w:tc>
          <w:tcPr>
            <w:tcW w:w="836" w:type="dxa"/>
            <w:vAlign w:val="center"/>
          </w:tcPr>
          <w:p w14:paraId="7A2D8E78">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AR实景地图应用</w:t>
            </w:r>
          </w:p>
        </w:tc>
        <w:tc>
          <w:tcPr>
            <w:tcW w:w="6700" w:type="dxa"/>
          </w:tcPr>
          <w:p w14:paraId="40BF78FF">
            <w:pPr>
              <w:widowControl/>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支持在高点视频中管理报警防区标签，标签包含标签名称、基本信息（包括：防区名称、防区编码、防区号、所属区域、所属设备）历史报警信息查询，支持查看和筛选防区历史报警信息（包括：所在区域，所属位置、事件源、事件等级、时间、处理状态、处理意见），支持发生报警时标签闪烁红点同时展示报警列表，并可查看报警详情。</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2、低点视频预览: 支持在高点视频中以画中画形式展示低点视频画面，可同时播放多个标签的关联视频，可查看标签的详情信息。</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3、云台控制: "支持对高点云台设备进行云台方向控制，视频画面转动及缩放时，标签跟随视频画面调整显示位置，支持对标签关联的低点视频点位进行云台方向控制。</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4、云台变倍: 支持在视频预览过程中通过鼠标滚轮控制设备进行变倍控制，倍率变动时，标签跟随视频画面调整显示位置。</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5、3D定位: 支持高点云台/球机设备、高点全景设备的特写球机进行3D缩放，由左上到右下框选时视频画面进行放大居中显示，由右下到左上框选时进行缩小居中显示。</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6、手动跟踪目标: 支持高点全景特写球机手动跟踪功能，支持框选移动的目标，特写球机将目标放置在画面中心并变倍放大，通过云台自动跟随移动目标对象转动。</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7、全景和特写球机视频预览: 支持同时预览全景画面和特写球机的画面，球机预览窗口支持缩放。</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8、全景和特写球机视频切换: 支持高点全景设备的全景视频预览画面与特写球机预览画面进行切换显示，全景和特写球机画面都可以作为主画面显示，并且全景视频预览画面与特写球机预览画面中均可展示标签。</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9、视频抓图: 支持视频预览过程中进行视频抓图，图像保存至本地磁盘目录，并可打开图片库进行图片预览。</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10、视频录像: 支持视频预览过程中进行视频录像，录像保存至本地磁盘目录，并可打开录像存储库进行录像文件播放。</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11、视频预览窗口调整: 支持双击高点视频预览窗口标题栏，拖动改变主界面位置，可拖动至辅屏显示。</w:t>
            </w:r>
            <w:r>
              <w:rPr>
                <w:rFonts w:hint="eastAsia" w:ascii="宋体" w:hAnsi="宋体" w:eastAsia="宋体" w:cs="宋体"/>
                <w:color w:val="000000" w:themeColor="text1"/>
                <w:sz w:val="18"/>
                <w:szCs w:val="18"/>
                <w14:textFill>
                  <w14:solidFill>
                    <w14:schemeClr w14:val="tx1"/>
                  </w14:solidFill>
                </w14:textFill>
              </w:rPr>
              <w:br w:type="textWrapping"/>
            </w:r>
            <w:r>
              <w:rPr>
                <w:rFonts w:hint="eastAsia" w:ascii="宋体" w:hAnsi="宋体" w:eastAsia="宋体" w:cs="宋体"/>
                <w:color w:val="000000" w:themeColor="text1"/>
                <w:sz w:val="18"/>
                <w:szCs w:val="18"/>
                <w14:textFill>
                  <w14:solidFill>
                    <w14:schemeClr w14:val="tx1"/>
                  </w14:solidFill>
                </w14:textFill>
              </w:rPr>
              <w:t>12、视频回放检索: 支持按照高点点位、日期、时间段检索高点及标签关联的历史视频。</w:t>
            </w:r>
          </w:p>
        </w:tc>
        <w:tc>
          <w:tcPr>
            <w:tcW w:w="671" w:type="dxa"/>
            <w:vAlign w:val="center"/>
          </w:tcPr>
          <w:p w14:paraId="0C919B97">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套</w:t>
            </w:r>
          </w:p>
        </w:tc>
        <w:tc>
          <w:tcPr>
            <w:tcW w:w="708" w:type="dxa"/>
            <w:vAlign w:val="center"/>
          </w:tcPr>
          <w:p w14:paraId="490AB83C">
            <w:pPr>
              <w:widowControl/>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r>
    </w:tbl>
    <w:p w14:paraId="3DECF31C">
      <w:pPr>
        <w:spacing w:line="480" w:lineRule="auto"/>
        <w:ind w:left="35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2、售后服务内容及要求：</w:t>
      </w:r>
    </w:p>
    <w:p w14:paraId="46373CD5">
      <w:pPr>
        <w:spacing w:line="42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2.1质量保证：按本项目的行业规则或双方签订合同时的约定执行。质保期内如果出现质量问题，成交供应商应当无条件更换，由于质量问题造成的损失由成交供应商负全部责任。</w:t>
      </w:r>
    </w:p>
    <w:p w14:paraId="5025920B">
      <w:pPr>
        <w:spacing w:line="42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2.2售后服务：免费质保</w:t>
      </w:r>
      <w:r>
        <w:rPr>
          <w:rFonts w:hint="eastAsia" w:ascii="Times New Roman" w:hAnsi="Times New Roman" w:cs="Times New Roman"/>
          <w:color w:val="000000" w:themeColor="text1"/>
          <w:shd w:val="clear" w:color="auto" w:fill="FFFFFF"/>
          <w14:textFill>
            <w14:solidFill>
              <w14:schemeClr w14:val="tx1"/>
            </w14:solidFill>
          </w14:textFill>
        </w:rPr>
        <w:t>1</w:t>
      </w:r>
      <w:r>
        <w:rPr>
          <w:rFonts w:ascii="宋体" w:hAnsi="宋体" w:eastAsia="宋体" w:cs="宋体"/>
          <w:color w:val="000000" w:themeColor="text1"/>
          <w:sz w:val="24"/>
          <w14:textFill>
            <w14:solidFill>
              <w14:schemeClr w14:val="tx1"/>
            </w14:solidFill>
          </w14:textFill>
        </w:rPr>
        <w:t>年,在接到采购方服务请求后，</w:t>
      </w:r>
      <w:r>
        <w:rPr>
          <w:rFonts w:hint="eastAsia" w:ascii="Times New Roman" w:hAnsi="Times New Roman" w:cs="Times New Roman"/>
          <w:color w:val="000000" w:themeColor="text1"/>
          <w:shd w:val="clear" w:color="auto" w:fill="FFFFFF"/>
          <w14:textFill>
            <w14:solidFill>
              <w14:schemeClr w14:val="tx1"/>
            </w14:solidFill>
          </w14:textFill>
        </w:rPr>
        <w:t>1</w:t>
      </w:r>
      <w:r>
        <w:rPr>
          <w:rFonts w:ascii="宋体" w:hAnsi="宋体" w:eastAsia="宋体" w:cs="宋体"/>
          <w:color w:val="000000" w:themeColor="text1"/>
          <w:sz w:val="24"/>
          <w14:textFill>
            <w14:solidFill>
              <w14:schemeClr w14:val="tx1"/>
            </w14:solidFill>
          </w14:textFill>
        </w:rPr>
        <w:t>小时响应，</w:t>
      </w:r>
      <w:r>
        <w:rPr>
          <w:rFonts w:hint="eastAsia" w:ascii="Times New Roman" w:hAnsi="Times New Roman" w:cs="Times New Roman"/>
          <w:color w:val="000000" w:themeColor="text1"/>
          <w:shd w:val="clear" w:color="auto" w:fill="FFFFFF"/>
          <w14:textFill>
            <w14:solidFill>
              <w14:schemeClr w14:val="tx1"/>
            </w14:solidFill>
          </w14:textFill>
        </w:rPr>
        <w:t>4</w:t>
      </w:r>
      <w:r>
        <w:rPr>
          <w:rFonts w:ascii="宋体" w:hAnsi="宋体" w:eastAsia="宋体" w:cs="宋体"/>
          <w:color w:val="000000" w:themeColor="text1"/>
          <w:sz w:val="24"/>
          <w14:textFill>
            <w14:solidFill>
              <w14:schemeClr w14:val="tx1"/>
            </w14:solidFill>
          </w14:textFill>
        </w:rPr>
        <w:t>小时内上门解决问题；质保期内提供免费上门服务，质保期外的收费按相关行业规则或由双方协商收取。</w:t>
      </w:r>
    </w:p>
    <w:p w14:paraId="4C608198">
      <w:pPr>
        <w:spacing w:line="42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2.3交货地点：采购人指定地点。</w:t>
      </w:r>
    </w:p>
    <w:p w14:paraId="2D5876A4">
      <w:pPr>
        <w:spacing w:line="42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2.4交货日期：双方签订合同后</w:t>
      </w:r>
      <w:r>
        <w:rPr>
          <w:rFonts w:hint="eastAsia" w:ascii="宋体" w:hAnsi="宋体" w:eastAsia="宋体" w:cs="宋体"/>
          <w:color w:val="000000" w:themeColor="text1"/>
          <w:sz w:val="24"/>
          <w:u w:val="single"/>
          <w14:textFill>
            <w14:solidFill>
              <w14:schemeClr w14:val="tx1"/>
            </w14:solidFill>
          </w14:textFill>
        </w:rPr>
        <w:t>60</w:t>
      </w:r>
      <w:r>
        <w:rPr>
          <w:rFonts w:ascii="宋体" w:hAnsi="宋体" w:eastAsia="宋体" w:cs="宋体"/>
          <w:color w:val="000000" w:themeColor="text1"/>
          <w:sz w:val="24"/>
          <w14:textFill>
            <w14:solidFill>
              <w14:schemeClr w14:val="tx1"/>
            </w14:solidFill>
          </w14:textFill>
        </w:rPr>
        <w:t>日内。</w:t>
      </w:r>
    </w:p>
    <w:p w14:paraId="35CC43ED">
      <w:pPr>
        <w:spacing w:line="42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2.1验收：由最终用户组织验收。</w:t>
      </w:r>
    </w:p>
    <w:p w14:paraId="7856A679">
      <w:pPr>
        <w:spacing w:after="120" w:line="415" w:lineRule="auto"/>
        <w:ind w:firstLine="480"/>
        <w:jc w:val="center"/>
        <w:rPr>
          <w:rFonts w:hint="eastAsia" w:ascii="宋体" w:hAnsi="宋体" w:eastAsia="宋体" w:cs="宋体"/>
          <w:color w:val="000000" w:themeColor="text1"/>
          <w:sz w:val="24"/>
          <w14:textFill>
            <w14:solidFill>
              <w14:schemeClr w14:val="tx1"/>
            </w14:solidFill>
          </w14:textFill>
        </w:rPr>
      </w:pPr>
    </w:p>
    <w:p w14:paraId="2F3D65D2">
      <w:pPr>
        <w:ind w:firstLine="240"/>
        <w:jc w:val="left"/>
        <w:rPr>
          <w:rFonts w:hint="eastAsia" w:ascii="宋体" w:hAnsi="宋体" w:eastAsia="宋体" w:cs="宋体"/>
          <w:color w:val="000000" w:themeColor="text1"/>
          <w:sz w:val="24"/>
          <w14:textFill>
            <w14:solidFill>
              <w14:schemeClr w14:val="tx1"/>
            </w14:solidFill>
          </w14:textFill>
        </w:rPr>
      </w:pPr>
    </w:p>
    <w:p w14:paraId="6177F87D">
      <w:pPr>
        <w:pStyle w:val="2"/>
        <w:ind w:firstLine="210"/>
        <w:rPr>
          <w:color w:val="000000" w:themeColor="text1"/>
          <w14:textFill>
            <w14:solidFill>
              <w14:schemeClr w14:val="tx1"/>
            </w14:solidFill>
          </w14:textFill>
        </w:rPr>
      </w:pPr>
    </w:p>
    <w:p w14:paraId="5284AD06">
      <w:pPr>
        <w:pStyle w:val="2"/>
        <w:ind w:firstLine="210"/>
        <w:rPr>
          <w:color w:val="000000" w:themeColor="text1"/>
          <w14:textFill>
            <w14:solidFill>
              <w14:schemeClr w14:val="tx1"/>
            </w14:solidFill>
          </w14:textFill>
        </w:rPr>
      </w:pPr>
    </w:p>
    <w:p w14:paraId="46EEA24F">
      <w:pPr>
        <w:pStyle w:val="2"/>
        <w:ind w:firstLine="210"/>
        <w:rPr>
          <w:color w:val="000000" w:themeColor="text1"/>
          <w14:textFill>
            <w14:solidFill>
              <w14:schemeClr w14:val="tx1"/>
            </w14:solidFill>
          </w14:textFill>
        </w:rPr>
      </w:pPr>
    </w:p>
    <w:p w14:paraId="4BD59674">
      <w:pPr>
        <w:pStyle w:val="2"/>
        <w:ind w:firstLine="210"/>
        <w:rPr>
          <w:color w:val="000000" w:themeColor="text1"/>
          <w14:textFill>
            <w14:solidFill>
              <w14:schemeClr w14:val="tx1"/>
            </w14:solidFill>
          </w14:textFill>
        </w:rPr>
      </w:pPr>
    </w:p>
    <w:p w14:paraId="5BF9AD3E">
      <w:pPr>
        <w:pStyle w:val="2"/>
        <w:ind w:firstLine="210"/>
        <w:rPr>
          <w:color w:val="000000" w:themeColor="text1"/>
          <w14:textFill>
            <w14:solidFill>
              <w14:schemeClr w14:val="tx1"/>
            </w14:solidFill>
          </w14:textFill>
        </w:rPr>
      </w:pPr>
    </w:p>
    <w:p w14:paraId="1477F9D8">
      <w:pPr>
        <w:pStyle w:val="2"/>
        <w:ind w:firstLine="210"/>
        <w:rPr>
          <w:color w:val="000000" w:themeColor="text1"/>
          <w14:textFill>
            <w14:solidFill>
              <w14:schemeClr w14:val="tx1"/>
            </w14:solidFill>
          </w14:textFill>
        </w:rPr>
      </w:pPr>
    </w:p>
    <w:p w14:paraId="59B89089">
      <w:pPr>
        <w:pStyle w:val="2"/>
        <w:ind w:firstLine="210"/>
        <w:rPr>
          <w:color w:val="000000" w:themeColor="text1"/>
          <w14:textFill>
            <w14:solidFill>
              <w14:schemeClr w14:val="tx1"/>
            </w14:solidFill>
          </w14:textFill>
        </w:rPr>
      </w:pPr>
    </w:p>
    <w:p w14:paraId="188DB309">
      <w:pPr>
        <w:pStyle w:val="2"/>
        <w:ind w:firstLine="210"/>
        <w:rPr>
          <w:color w:val="000000" w:themeColor="text1"/>
          <w14:textFill>
            <w14:solidFill>
              <w14:schemeClr w14:val="tx1"/>
            </w14:solidFill>
          </w14:textFill>
        </w:rPr>
      </w:pPr>
    </w:p>
    <w:p w14:paraId="0F1A1CE4">
      <w:pPr>
        <w:pStyle w:val="2"/>
        <w:ind w:firstLine="210"/>
        <w:rPr>
          <w:color w:val="000000" w:themeColor="text1"/>
          <w14:textFill>
            <w14:solidFill>
              <w14:schemeClr w14:val="tx1"/>
            </w14:solidFill>
          </w14:textFill>
        </w:rPr>
      </w:pPr>
    </w:p>
    <w:p w14:paraId="77D30847">
      <w:pPr>
        <w:pStyle w:val="2"/>
        <w:ind w:firstLine="210"/>
        <w:rPr>
          <w:color w:val="000000" w:themeColor="text1"/>
          <w14:textFill>
            <w14:solidFill>
              <w14:schemeClr w14:val="tx1"/>
            </w14:solidFill>
          </w14:textFill>
        </w:rPr>
      </w:pPr>
    </w:p>
    <w:p w14:paraId="75F1877F">
      <w:pPr>
        <w:pStyle w:val="2"/>
        <w:ind w:firstLine="210"/>
        <w:rPr>
          <w:color w:val="000000" w:themeColor="text1"/>
          <w14:textFill>
            <w14:solidFill>
              <w14:schemeClr w14:val="tx1"/>
            </w14:solidFill>
          </w14:textFill>
        </w:rPr>
      </w:pPr>
    </w:p>
    <w:p w14:paraId="4DE80F24">
      <w:pPr>
        <w:pStyle w:val="2"/>
        <w:ind w:firstLine="210"/>
        <w:rPr>
          <w:color w:val="000000" w:themeColor="text1"/>
          <w14:textFill>
            <w14:solidFill>
              <w14:schemeClr w14:val="tx1"/>
            </w14:solidFill>
          </w14:textFill>
        </w:rPr>
      </w:pPr>
    </w:p>
    <w:p w14:paraId="5A99C998">
      <w:pPr>
        <w:pStyle w:val="2"/>
        <w:ind w:firstLine="210"/>
        <w:rPr>
          <w:color w:val="000000" w:themeColor="text1"/>
          <w14:textFill>
            <w14:solidFill>
              <w14:schemeClr w14:val="tx1"/>
            </w14:solidFill>
          </w14:textFill>
        </w:rPr>
      </w:pPr>
    </w:p>
    <w:p w14:paraId="58D7AD2D">
      <w:pPr>
        <w:pStyle w:val="2"/>
        <w:ind w:firstLine="210"/>
        <w:rPr>
          <w:color w:val="000000" w:themeColor="text1"/>
          <w14:textFill>
            <w14:solidFill>
              <w14:schemeClr w14:val="tx1"/>
            </w14:solidFill>
          </w14:textFill>
        </w:rPr>
      </w:pPr>
    </w:p>
    <w:p w14:paraId="6D7C131B">
      <w:pPr>
        <w:spacing w:line="480" w:lineRule="auto"/>
        <w:jc w:val="center"/>
        <w:rPr>
          <w:rFonts w:hint="eastAsia" w:ascii="宋体" w:hAnsi="宋体" w:eastAsia="宋体" w:cs="宋体"/>
          <w:b/>
          <w:bCs/>
          <w:color w:val="000000" w:themeColor="text1"/>
          <w:sz w:val="24"/>
          <w14:textFill>
            <w14:solidFill>
              <w14:schemeClr w14:val="tx1"/>
            </w14:solidFill>
          </w14:textFill>
        </w:rPr>
      </w:pPr>
      <w:r>
        <w:rPr>
          <w:rFonts w:ascii="宋体" w:hAnsi="宋体" w:eastAsia="宋体" w:cs="宋体"/>
          <w:b/>
          <w:bCs/>
          <w:color w:val="000000" w:themeColor="text1"/>
          <w:sz w:val="24"/>
          <w14:textFill>
            <w14:solidFill>
              <w14:schemeClr w14:val="tx1"/>
            </w14:solidFill>
          </w14:textFill>
        </w:rPr>
        <w:t>第四章  响应性文件内容及格式</w:t>
      </w:r>
    </w:p>
    <w:p w14:paraId="4BF5F555">
      <w:pPr>
        <w:spacing w:line="520" w:lineRule="auto"/>
        <w:ind w:firstLine="480"/>
        <w:jc w:val="center"/>
        <w:rPr>
          <w:rFonts w:hint="eastAsia" w:ascii="宋体" w:hAnsi="宋体" w:eastAsia="宋体" w:cs="宋体"/>
          <w:color w:val="000000" w:themeColor="text1"/>
          <w:sz w:val="24"/>
          <w14:textFill>
            <w14:solidFill>
              <w14:schemeClr w14:val="tx1"/>
            </w14:solidFill>
          </w14:textFill>
        </w:rPr>
      </w:pPr>
    </w:p>
    <w:p w14:paraId="35D1A7E7">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注：请供应商按照以下文件的要求格式、内容，顺序制作响应性文件，并编制目录及页码，否则可能将影响对响应性文件的评价。 </w:t>
      </w:r>
    </w:p>
    <w:p w14:paraId="47232395">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w:t>
      </w:r>
    </w:p>
    <w:p w14:paraId="2A18DCBA">
      <w:pPr>
        <w:spacing w:line="560" w:lineRule="auto"/>
        <w:ind w:firstLine="482"/>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重要提示：</w:t>
      </w:r>
    </w:p>
    <w:p w14:paraId="16D89DFF">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w:t>
      </w:r>
      <w:r>
        <w:rPr>
          <w:rFonts w:ascii="宋体" w:hAnsi="宋体" w:eastAsia="宋体" w:cs="宋体"/>
          <w:color w:val="000000" w:themeColor="text1"/>
          <w:sz w:val="24"/>
          <w14:textFill>
            <w14:solidFill>
              <w14:schemeClr w14:val="tx1"/>
            </w14:solidFill>
          </w14:textFill>
        </w:rPr>
        <w:t>．供应商在编制响应性文件时，对于给定格式的文件内容，必须按照给定的标准格式进行填报；对于没有给定标准格式的文件内容，可以由供应商自行设计。</w:t>
      </w:r>
    </w:p>
    <w:p w14:paraId="0F31EB9F">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w:t>
      </w:r>
      <w:r>
        <w:rPr>
          <w:rFonts w:ascii="宋体" w:hAnsi="宋体" w:eastAsia="宋体" w:cs="宋体"/>
          <w:color w:val="000000" w:themeColor="text1"/>
          <w:sz w:val="24"/>
          <w14:textFill>
            <w14:solidFill>
              <w14:schemeClr w14:val="tx1"/>
            </w14:solidFill>
          </w14:textFill>
        </w:rPr>
        <w:t>.法定代表人本人参加竞争性磋商的，不需提供授权委托书。</w:t>
      </w:r>
    </w:p>
    <w:p w14:paraId="0928FE25">
      <w:pPr>
        <w:jc w:val="left"/>
        <w:rPr>
          <w:rFonts w:hint="eastAsia" w:ascii="宋体" w:hAnsi="宋体" w:eastAsia="宋体" w:cs="宋体"/>
          <w:color w:val="000000" w:themeColor="text1"/>
          <w:sz w:val="24"/>
          <w14:textFill>
            <w14:solidFill>
              <w14:schemeClr w14:val="tx1"/>
            </w14:solidFill>
          </w14:textFill>
        </w:rPr>
      </w:pPr>
    </w:p>
    <w:p w14:paraId="04AA7A95">
      <w:pPr>
        <w:jc w:val="left"/>
        <w:rPr>
          <w:rFonts w:hint="eastAsia" w:ascii="宋体" w:hAnsi="宋体" w:eastAsia="宋体" w:cs="宋体"/>
          <w:color w:val="000000" w:themeColor="text1"/>
          <w:sz w:val="24"/>
          <w14:textFill>
            <w14:solidFill>
              <w14:schemeClr w14:val="tx1"/>
            </w14:solidFill>
          </w14:textFill>
        </w:rPr>
      </w:pPr>
    </w:p>
    <w:p w14:paraId="1B2D4EE4">
      <w:pPr>
        <w:jc w:val="left"/>
        <w:rPr>
          <w:rFonts w:hint="eastAsia" w:ascii="宋体" w:hAnsi="宋体" w:eastAsia="宋体" w:cs="宋体"/>
          <w:color w:val="000000" w:themeColor="text1"/>
          <w:sz w:val="24"/>
          <w14:textFill>
            <w14:solidFill>
              <w14:schemeClr w14:val="tx1"/>
            </w14:solidFill>
          </w14:textFill>
        </w:rPr>
      </w:pPr>
    </w:p>
    <w:p w14:paraId="3438537A">
      <w:pPr>
        <w:jc w:val="left"/>
        <w:rPr>
          <w:rFonts w:hint="eastAsia" w:ascii="宋体" w:hAnsi="宋体" w:eastAsia="宋体" w:cs="宋体"/>
          <w:color w:val="000000" w:themeColor="text1"/>
          <w:sz w:val="24"/>
          <w14:textFill>
            <w14:solidFill>
              <w14:schemeClr w14:val="tx1"/>
            </w14:solidFill>
          </w14:textFill>
        </w:rPr>
      </w:pPr>
    </w:p>
    <w:p w14:paraId="6FE73035">
      <w:pPr>
        <w:jc w:val="left"/>
        <w:rPr>
          <w:rFonts w:hint="eastAsia" w:ascii="宋体" w:hAnsi="宋体" w:eastAsia="宋体" w:cs="宋体"/>
          <w:color w:val="000000" w:themeColor="text1"/>
          <w:sz w:val="24"/>
          <w14:textFill>
            <w14:solidFill>
              <w14:schemeClr w14:val="tx1"/>
            </w14:solidFill>
          </w14:textFill>
        </w:rPr>
      </w:pPr>
    </w:p>
    <w:p w14:paraId="133146A3">
      <w:pPr>
        <w:jc w:val="left"/>
        <w:rPr>
          <w:rFonts w:hint="eastAsia" w:ascii="宋体" w:hAnsi="宋体" w:eastAsia="宋体" w:cs="宋体"/>
          <w:color w:val="000000" w:themeColor="text1"/>
          <w:sz w:val="24"/>
          <w14:textFill>
            <w14:solidFill>
              <w14:schemeClr w14:val="tx1"/>
            </w14:solidFill>
          </w14:textFill>
        </w:rPr>
      </w:pPr>
    </w:p>
    <w:p w14:paraId="646F858C">
      <w:pPr>
        <w:jc w:val="left"/>
        <w:rPr>
          <w:rFonts w:hint="eastAsia" w:ascii="宋体" w:hAnsi="宋体" w:eastAsia="宋体" w:cs="宋体"/>
          <w:color w:val="000000" w:themeColor="text1"/>
          <w:sz w:val="24"/>
          <w14:textFill>
            <w14:solidFill>
              <w14:schemeClr w14:val="tx1"/>
            </w14:solidFill>
          </w14:textFill>
        </w:rPr>
      </w:pPr>
    </w:p>
    <w:p w14:paraId="25633DC1">
      <w:pPr>
        <w:jc w:val="left"/>
        <w:rPr>
          <w:rFonts w:hint="eastAsia" w:ascii="宋体" w:hAnsi="宋体" w:eastAsia="宋体" w:cs="宋体"/>
          <w:color w:val="000000" w:themeColor="text1"/>
          <w:sz w:val="24"/>
          <w14:textFill>
            <w14:solidFill>
              <w14:schemeClr w14:val="tx1"/>
            </w14:solidFill>
          </w14:textFill>
        </w:rPr>
      </w:pPr>
    </w:p>
    <w:p w14:paraId="6B44CC2F">
      <w:pPr>
        <w:jc w:val="left"/>
        <w:rPr>
          <w:rFonts w:hint="eastAsia" w:ascii="宋体" w:hAnsi="宋体" w:eastAsia="宋体" w:cs="宋体"/>
          <w:color w:val="000000" w:themeColor="text1"/>
          <w:sz w:val="24"/>
          <w14:textFill>
            <w14:solidFill>
              <w14:schemeClr w14:val="tx1"/>
            </w14:solidFill>
          </w14:textFill>
        </w:rPr>
      </w:pPr>
    </w:p>
    <w:p w14:paraId="495A1452">
      <w:pPr>
        <w:jc w:val="left"/>
        <w:rPr>
          <w:rFonts w:hint="eastAsia" w:ascii="宋体" w:hAnsi="宋体" w:eastAsia="宋体" w:cs="宋体"/>
          <w:color w:val="000000" w:themeColor="text1"/>
          <w:sz w:val="24"/>
          <w14:textFill>
            <w14:solidFill>
              <w14:schemeClr w14:val="tx1"/>
            </w14:solidFill>
          </w14:textFill>
        </w:rPr>
      </w:pPr>
    </w:p>
    <w:p w14:paraId="1FCA6156">
      <w:pPr>
        <w:jc w:val="left"/>
        <w:rPr>
          <w:rFonts w:hint="eastAsia" w:ascii="宋体" w:hAnsi="宋体" w:eastAsia="宋体" w:cs="宋体"/>
          <w:color w:val="000000" w:themeColor="text1"/>
          <w:sz w:val="24"/>
          <w14:textFill>
            <w14:solidFill>
              <w14:schemeClr w14:val="tx1"/>
            </w14:solidFill>
          </w14:textFill>
        </w:rPr>
      </w:pPr>
    </w:p>
    <w:p w14:paraId="3204E806">
      <w:pPr>
        <w:jc w:val="left"/>
        <w:rPr>
          <w:rFonts w:hint="eastAsia" w:ascii="宋体" w:hAnsi="宋体" w:eastAsia="宋体" w:cs="宋体"/>
          <w:color w:val="000000" w:themeColor="text1"/>
          <w:sz w:val="24"/>
          <w14:textFill>
            <w14:solidFill>
              <w14:schemeClr w14:val="tx1"/>
            </w14:solidFill>
          </w14:textFill>
        </w:rPr>
      </w:pPr>
    </w:p>
    <w:p w14:paraId="01460879">
      <w:pPr>
        <w:jc w:val="left"/>
        <w:rPr>
          <w:rFonts w:hint="eastAsia" w:ascii="宋体" w:hAnsi="宋体" w:eastAsia="宋体" w:cs="宋体"/>
          <w:color w:val="000000" w:themeColor="text1"/>
          <w:sz w:val="24"/>
          <w14:textFill>
            <w14:solidFill>
              <w14:schemeClr w14:val="tx1"/>
            </w14:solidFill>
          </w14:textFill>
        </w:rPr>
      </w:pPr>
    </w:p>
    <w:p w14:paraId="76BFB8B6">
      <w:pPr>
        <w:jc w:val="left"/>
        <w:rPr>
          <w:rFonts w:hint="eastAsia" w:ascii="宋体" w:hAnsi="宋体" w:eastAsia="宋体" w:cs="宋体"/>
          <w:color w:val="000000" w:themeColor="text1"/>
          <w:sz w:val="24"/>
          <w14:textFill>
            <w14:solidFill>
              <w14:schemeClr w14:val="tx1"/>
            </w14:solidFill>
          </w14:textFill>
        </w:rPr>
      </w:pPr>
    </w:p>
    <w:p w14:paraId="341E0525">
      <w:pPr>
        <w:tabs>
          <w:tab w:val="left" w:pos="0"/>
          <w:tab w:val="left" w:pos="993"/>
          <w:tab w:val="left" w:pos="1134"/>
        </w:tabs>
        <w:ind w:firstLine="480"/>
        <w:rPr>
          <w:rFonts w:hint="eastAsia" w:ascii="宋体" w:hAnsi="宋体" w:eastAsia="宋体" w:cs="宋体"/>
          <w:color w:val="000000" w:themeColor="text1"/>
          <w:sz w:val="24"/>
          <w14:textFill>
            <w14:solidFill>
              <w14:schemeClr w14:val="tx1"/>
            </w14:solidFill>
          </w14:textFill>
        </w:rPr>
      </w:pPr>
    </w:p>
    <w:p w14:paraId="7EB83886">
      <w:pPr>
        <w:tabs>
          <w:tab w:val="left" w:pos="0"/>
          <w:tab w:val="left" w:pos="993"/>
          <w:tab w:val="left" w:pos="1134"/>
        </w:tabs>
        <w:ind w:firstLine="480"/>
        <w:rPr>
          <w:rFonts w:hint="eastAsia" w:ascii="宋体" w:hAnsi="宋体" w:eastAsia="宋体" w:cs="宋体"/>
          <w:color w:val="000000" w:themeColor="text1"/>
          <w:sz w:val="24"/>
          <w14:textFill>
            <w14:solidFill>
              <w14:schemeClr w14:val="tx1"/>
            </w14:solidFill>
          </w14:textFill>
        </w:rPr>
      </w:pPr>
    </w:p>
    <w:p w14:paraId="7C5D75F2">
      <w:pPr>
        <w:tabs>
          <w:tab w:val="left" w:pos="0"/>
          <w:tab w:val="left" w:pos="993"/>
          <w:tab w:val="left" w:pos="1134"/>
        </w:tabs>
        <w:ind w:firstLine="480"/>
        <w:rPr>
          <w:rFonts w:hint="eastAsia" w:ascii="宋体" w:hAnsi="宋体" w:eastAsia="宋体" w:cs="宋体"/>
          <w:color w:val="000000" w:themeColor="text1"/>
          <w:sz w:val="24"/>
          <w14:textFill>
            <w14:solidFill>
              <w14:schemeClr w14:val="tx1"/>
            </w14:solidFill>
          </w14:textFill>
        </w:rPr>
      </w:pPr>
    </w:p>
    <w:p w14:paraId="2882BC20">
      <w:pPr>
        <w:tabs>
          <w:tab w:val="left" w:pos="0"/>
          <w:tab w:val="left" w:pos="993"/>
          <w:tab w:val="left" w:pos="1134"/>
        </w:tabs>
        <w:ind w:firstLine="480"/>
        <w:rPr>
          <w:rFonts w:hint="eastAsia" w:ascii="宋体" w:hAnsi="宋体" w:eastAsia="宋体" w:cs="宋体"/>
          <w:color w:val="000000" w:themeColor="text1"/>
          <w:sz w:val="24"/>
          <w14:textFill>
            <w14:solidFill>
              <w14:schemeClr w14:val="tx1"/>
            </w14:solidFill>
          </w14:textFill>
        </w:rPr>
      </w:pPr>
    </w:p>
    <w:p w14:paraId="3A77F12A">
      <w:pPr>
        <w:jc w:val="left"/>
        <w:rPr>
          <w:rFonts w:hint="eastAsia" w:ascii="宋体" w:hAnsi="宋体" w:eastAsia="宋体" w:cs="宋体"/>
          <w:color w:val="000000" w:themeColor="text1"/>
          <w:sz w:val="24"/>
          <w14:textFill>
            <w14:solidFill>
              <w14:schemeClr w14:val="tx1"/>
            </w14:solidFill>
          </w14:textFill>
        </w:rPr>
      </w:pPr>
    </w:p>
    <w:p w14:paraId="266BB46C">
      <w:pPr>
        <w:jc w:val="left"/>
        <w:rPr>
          <w:rFonts w:hint="eastAsia" w:ascii="宋体" w:hAnsi="宋体" w:eastAsia="宋体" w:cs="宋体"/>
          <w:color w:val="000000" w:themeColor="text1"/>
          <w:sz w:val="24"/>
          <w14:textFill>
            <w14:solidFill>
              <w14:schemeClr w14:val="tx1"/>
            </w14:solidFill>
          </w14:textFill>
        </w:rPr>
      </w:pPr>
    </w:p>
    <w:p w14:paraId="0CF556C0">
      <w:pPr>
        <w:jc w:val="left"/>
        <w:rPr>
          <w:rFonts w:hint="eastAsia" w:ascii="宋体" w:hAnsi="宋体" w:eastAsia="宋体" w:cs="宋体"/>
          <w:color w:val="000000" w:themeColor="text1"/>
          <w:sz w:val="24"/>
          <w14:textFill>
            <w14:solidFill>
              <w14:schemeClr w14:val="tx1"/>
            </w14:solidFill>
          </w14:textFill>
        </w:rPr>
      </w:pPr>
    </w:p>
    <w:p w14:paraId="3B0DAA1D">
      <w:pPr>
        <w:spacing w:line="360" w:lineRule="auto"/>
        <w:jc w:val="left"/>
        <w:rPr>
          <w:rFonts w:hint="eastAsia" w:ascii="宋体" w:hAnsi="宋体" w:eastAsia="宋体" w:cs="宋体"/>
          <w:color w:val="000000" w:themeColor="text1"/>
          <w:sz w:val="24"/>
          <w14:textFill>
            <w14:solidFill>
              <w14:schemeClr w14:val="tx1"/>
            </w14:solidFill>
          </w14:textFill>
        </w:rPr>
      </w:pPr>
    </w:p>
    <w:p w14:paraId="1643F461">
      <w:pPr>
        <w:spacing w:line="360" w:lineRule="auto"/>
        <w:jc w:val="left"/>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格式2-1</w:t>
      </w:r>
    </w:p>
    <w:p w14:paraId="4802D88C">
      <w:pPr>
        <w:spacing w:line="360" w:lineRule="auto"/>
        <w:jc w:val="center"/>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法定代表人身份证明书</w:t>
      </w:r>
    </w:p>
    <w:p w14:paraId="303A4C40">
      <w:pPr>
        <w:spacing w:line="360" w:lineRule="auto"/>
        <w:jc w:val="center"/>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（法定代表人参加竞争性磋商的，出具此证明书）</w:t>
      </w:r>
    </w:p>
    <w:p w14:paraId="478C017A">
      <w:pPr>
        <w:spacing w:line="360" w:lineRule="auto"/>
        <w:ind w:firstLine="480"/>
        <w:rPr>
          <w:rFonts w:hint="eastAsia" w:ascii="宋体" w:hAnsi="宋体" w:eastAsia="宋体" w:cs="宋体"/>
          <w:color w:val="000000" w:themeColor="text1"/>
          <w:sz w:val="24"/>
          <w14:textFill>
            <w14:solidFill>
              <w14:schemeClr w14:val="tx1"/>
            </w14:solidFill>
          </w14:textFill>
        </w:rPr>
      </w:pPr>
    </w:p>
    <w:p w14:paraId="61217112">
      <w:pPr>
        <w:spacing w:line="3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同志，系我单位法定代表人，任</w:t>
      </w:r>
    </w:p>
    <w:p w14:paraId="5AFBB1E1">
      <w:pPr>
        <w:spacing w:line="360" w:lineRule="auto"/>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职务。</w:t>
      </w:r>
    </w:p>
    <w:p w14:paraId="04E3E5A0">
      <w:pPr>
        <w:spacing w:line="3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特此证明。</w:t>
      </w:r>
    </w:p>
    <w:p w14:paraId="35ECD948">
      <w:pPr>
        <w:spacing w:line="3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附：联系地址：               </w:t>
      </w:r>
    </w:p>
    <w:p w14:paraId="5A5874CC">
      <w:pPr>
        <w:spacing w:line="360" w:lineRule="auto"/>
        <w:ind w:firstLine="960"/>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联系电话：</w:t>
      </w:r>
    </w:p>
    <w:tbl>
      <w:tblPr>
        <w:tblStyle w:val="8"/>
        <w:tblW w:w="0" w:type="auto"/>
        <w:tblInd w:w="0" w:type="dxa"/>
        <w:tblLayout w:type="autofit"/>
        <w:tblCellMar>
          <w:top w:w="0" w:type="dxa"/>
          <w:left w:w="10" w:type="dxa"/>
          <w:bottom w:w="0" w:type="dxa"/>
          <w:right w:w="10" w:type="dxa"/>
        </w:tblCellMar>
      </w:tblPr>
      <w:tblGrid>
        <w:gridCol w:w="5328"/>
      </w:tblGrid>
      <w:tr w14:paraId="04B70081">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E85A78E">
            <w:pPr>
              <w:spacing w:line="480" w:lineRule="auto"/>
              <w:rPr>
                <w:rFonts w:hint="eastAsia" w:ascii="宋体" w:hAnsi="宋体" w:eastAsia="宋体" w:cs="宋体"/>
                <w:b/>
                <w:color w:val="000000" w:themeColor="text1"/>
                <w:sz w:val="24"/>
                <w14:textFill>
                  <w14:solidFill>
                    <w14:schemeClr w14:val="tx1"/>
                  </w14:solidFill>
                </w14:textFill>
              </w:rPr>
            </w:pPr>
          </w:p>
          <w:p w14:paraId="3879A636">
            <w:pPr>
              <w:spacing w:line="480" w:lineRule="auto"/>
              <w:rPr>
                <w:rFonts w:hint="eastAsia" w:ascii="宋体" w:hAnsi="宋体" w:eastAsia="宋体" w:cs="宋体"/>
                <w:b/>
                <w:color w:val="000000" w:themeColor="text1"/>
                <w:sz w:val="24"/>
                <w14:textFill>
                  <w14:solidFill>
                    <w14:schemeClr w14:val="tx1"/>
                  </w14:solidFill>
                </w14:textFill>
              </w:rPr>
            </w:pPr>
          </w:p>
          <w:p w14:paraId="2DEA453A">
            <w:pPr>
              <w:spacing w:line="480" w:lineRule="auto"/>
              <w:jc w:val="center"/>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（※附：法定代表人身份证复印件※）</w:t>
            </w:r>
          </w:p>
          <w:p w14:paraId="0F6E9339">
            <w:pPr>
              <w:spacing w:line="480" w:lineRule="auto"/>
              <w:rPr>
                <w:rFonts w:hint="eastAsia" w:ascii="宋体" w:hAnsi="宋体" w:eastAsia="宋体" w:cs="宋体"/>
                <w:color w:val="000000" w:themeColor="text1"/>
                <w:sz w:val="24"/>
                <w14:textFill>
                  <w14:solidFill>
                    <w14:schemeClr w14:val="tx1"/>
                  </w14:solidFill>
                </w14:textFill>
              </w:rPr>
            </w:pPr>
          </w:p>
          <w:p w14:paraId="20129A52">
            <w:pPr>
              <w:spacing w:line="480" w:lineRule="auto"/>
              <w:rPr>
                <w:rFonts w:hint="eastAsia" w:ascii="宋体" w:hAnsi="宋体" w:eastAsia="宋体" w:cs="宋体"/>
                <w:color w:val="000000" w:themeColor="text1"/>
                <w14:textFill>
                  <w14:solidFill>
                    <w14:schemeClr w14:val="tx1"/>
                  </w14:solidFill>
                </w14:textFill>
              </w:rPr>
            </w:pPr>
          </w:p>
        </w:tc>
      </w:tr>
    </w:tbl>
    <w:p w14:paraId="7B9AF7A0">
      <w:pPr>
        <w:spacing w:line="360" w:lineRule="auto"/>
        <w:rPr>
          <w:rFonts w:hint="eastAsia" w:ascii="宋体" w:hAnsi="宋体" w:eastAsia="宋体" w:cs="宋体"/>
          <w:color w:val="000000" w:themeColor="text1"/>
          <w:sz w:val="24"/>
          <w14:textFill>
            <w14:solidFill>
              <w14:schemeClr w14:val="tx1"/>
            </w14:solidFill>
          </w14:textFill>
        </w:rPr>
      </w:pPr>
    </w:p>
    <w:p w14:paraId="031AC01F">
      <w:pPr>
        <w:spacing w:line="360" w:lineRule="auto"/>
        <w:jc w:val="center"/>
        <w:rPr>
          <w:rFonts w:hint="eastAsia" w:ascii="宋体" w:hAnsi="宋体" w:eastAsia="宋体" w:cs="宋体"/>
          <w:color w:val="000000" w:themeColor="text1"/>
          <w:sz w:val="24"/>
          <w14:textFill>
            <w14:solidFill>
              <w14:schemeClr w14:val="tx1"/>
            </w14:solidFill>
          </w14:textFill>
        </w:rPr>
      </w:pPr>
    </w:p>
    <w:p w14:paraId="344916A4">
      <w:pPr>
        <w:spacing w:line="360" w:lineRule="auto"/>
        <w:ind w:firstLine="384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投标人电子签章： </w:t>
      </w:r>
    </w:p>
    <w:p w14:paraId="72F65FF4">
      <w:pPr>
        <w:spacing w:line="360" w:lineRule="auto"/>
        <w:jc w:val="center"/>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年   月  日</w:t>
      </w:r>
    </w:p>
    <w:p w14:paraId="70CC0455">
      <w:pPr>
        <w:spacing w:line="360" w:lineRule="auto"/>
        <w:jc w:val="center"/>
        <w:rPr>
          <w:rFonts w:hint="eastAsia" w:ascii="宋体" w:hAnsi="宋体" w:eastAsia="宋体" w:cs="宋体"/>
          <w:color w:val="000000" w:themeColor="text1"/>
          <w:sz w:val="24"/>
          <w14:textFill>
            <w14:solidFill>
              <w14:schemeClr w14:val="tx1"/>
            </w14:solidFill>
          </w14:textFill>
        </w:rPr>
      </w:pPr>
    </w:p>
    <w:p w14:paraId="5DCF11E9">
      <w:pPr>
        <w:spacing w:line="360" w:lineRule="auto"/>
        <w:jc w:val="center"/>
        <w:rPr>
          <w:rFonts w:hint="eastAsia" w:ascii="宋体" w:hAnsi="宋体" w:eastAsia="宋体" w:cs="宋体"/>
          <w:color w:val="000000" w:themeColor="text1"/>
          <w:sz w:val="24"/>
          <w14:textFill>
            <w14:solidFill>
              <w14:schemeClr w14:val="tx1"/>
            </w14:solidFill>
          </w14:textFill>
        </w:rPr>
      </w:pPr>
    </w:p>
    <w:p w14:paraId="6BEEFA2C">
      <w:pPr>
        <w:pStyle w:val="2"/>
        <w:ind w:firstLine="210"/>
        <w:rPr>
          <w:color w:val="000000" w:themeColor="text1"/>
          <w14:textFill>
            <w14:solidFill>
              <w14:schemeClr w14:val="tx1"/>
            </w14:solidFill>
          </w14:textFill>
        </w:rPr>
      </w:pPr>
    </w:p>
    <w:p w14:paraId="4A0064B7">
      <w:pPr>
        <w:pStyle w:val="2"/>
        <w:ind w:firstLine="210"/>
        <w:rPr>
          <w:color w:val="000000" w:themeColor="text1"/>
          <w14:textFill>
            <w14:solidFill>
              <w14:schemeClr w14:val="tx1"/>
            </w14:solidFill>
          </w14:textFill>
        </w:rPr>
      </w:pPr>
    </w:p>
    <w:p w14:paraId="0C24AEB4">
      <w:pPr>
        <w:pStyle w:val="2"/>
        <w:ind w:firstLine="210"/>
        <w:rPr>
          <w:color w:val="000000" w:themeColor="text1"/>
          <w14:textFill>
            <w14:solidFill>
              <w14:schemeClr w14:val="tx1"/>
            </w14:solidFill>
          </w14:textFill>
        </w:rPr>
      </w:pPr>
    </w:p>
    <w:p w14:paraId="764EEA48">
      <w:pPr>
        <w:pStyle w:val="2"/>
        <w:ind w:firstLine="210"/>
        <w:rPr>
          <w:color w:val="000000" w:themeColor="text1"/>
          <w14:textFill>
            <w14:solidFill>
              <w14:schemeClr w14:val="tx1"/>
            </w14:solidFill>
          </w14:textFill>
        </w:rPr>
      </w:pPr>
    </w:p>
    <w:p w14:paraId="4C7EC384">
      <w:pPr>
        <w:pStyle w:val="2"/>
        <w:ind w:firstLine="210"/>
        <w:rPr>
          <w:color w:val="000000" w:themeColor="text1"/>
          <w14:textFill>
            <w14:solidFill>
              <w14:schemeClr w14:val="tx1"/>
            </w14:solidFill>
          </w14:textFill>
        </w:rPr>
      </w:pPr>
    </w:p>
    <w:p w14:paraId="361F866E">
      <w:pPr>
        <w:pStyle w:val="2"/>
        <w:ind w:firstLine="210"/>
        <w:rPr>
          <w:color w:val="000000" w:themeColor="text1"/>
          <w14:textFill>
            <w14:solidFill>
              <w14:schemeClr w14:val="tx1"/>
            </w14:solidFill>
          </w14:textFill>
        </w:rPr>
      </w:pPr>
    </w:p>
    <w:p w14:paraId="7274FDE1">
      <w:pPr>
        <w:pStyle w:val="2"/>
        <w:ind w:firstLine="210"/>
        <w:rPr>
          <w:color w:val="000000" w:themeColor="text1"/>
          <w14:textFill>
            <w14:solidFill>
              <w14:schemeClr w14:val="tx1"/>
            </w14:solidFill>
          </w14:textFill>
        </w:rPr>
      </w:pPr>
    </w:p>
    <w:p w14:paraId="0D3C8B5D">
      <w:pPr>
        <w:pStyle w:val="2"/>
        <w:ind w:firstLine="210"/>
        <w:rPr>
          <w:color w:val="000000" w:themeColor="text1"/>
          <w14:textFill>
            <w14:solidFill>
              <w14:schemeClr w14:val="tx1"/>
            </w14:solidFill>
          </w14:textFill>
        </w:rPr>
      </w:pPr>
    </w:p>
    <w:p w14:paraId="66BB348B">
      <w:pPr>
        <w:spacing w:line="360" w:lineRule="auto"/>
        <w:jc w:val="left"/>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格式2-2</w:t>
      </w:r>
    </w:p>
    <w:p w14:paraId="36DB9675">
      <w:pPr>
        <w:spacing w:line="360" w:lineRule="auto"/>
        <w:ind w:firstLine="480"/>
        <w:jc w:val="center"/>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授权委托书</w:t>
      </w:r>
    </w:p>
    <w:p w14:paraId="2127D7CE">
      <w:pPr>
        <w:spacing w:line="360" w:lineRule="auto"/>
        <w:jc w:val="center"/>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（委托代理人参加竞争性磋商的，出具此证明书）</w:t>
      </w:r>
    </w:p>
    <w:p w14:paraId="108EB063">
      <w:pPr>
        <w:spacing w:line="360" w:lineRule="auto"/>
        <w:ind w:firstLine="480"/>
        <w:rPr>
          <w:rFonts w:hint="eastAsia" w:ascii="宋体" w:hAnsi="宋体" w:eastAsia="宋体" w:cs="宋体"/>
          <w:color w:val="000000" w:themeColor="text1"/>
          <w:sz w:val="24"/>
          <w14:textFill>
            <w14:solidFill>
              <w14:schemeClr w14:val="tx1"/>
            </w14:solidFill>
          </w14:textFill>
        </w:rPr>
      </w:pPr>
    </w:p>
    <w:p w14:paraId="4D11826E">
      <w:pPr>
        <w:spacing w:line="3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委托人授权（被委托人的姓名、职务）为委托人的委托代理人，就项目编号为的项目及合同的执行，以本单位名义处理一切与之有关的事务。</w:t>
      </w:r>
    </w:p>
    <w:p w14:paraId="33C5A634">
      <w:pPr>
        <w:spacing w:line="3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本授权书于年月日签字生效，特此声明。</w:t>
      </w:r>
    </w:p>
    <w:p w14:paraId="4085F67A">
      <w:pPr>
        <w:spacing w:line="360" w:lineRule="auto"/>
        <w:rPr>
          <w:rFonts w:hint="eastAsia" w:ascii="宋体" w:hAnsi="宋体" w:eastAsia="宋体" w:cs="宋体"/>
          <w:color w:val="000000" w:themeColor="text1"/>
          <w:sz w:val="24"/>
          <w14:textFill>
            <w14:solidFill>
              <w14:schemeClr w14:val="tx1"/>
            </w14:solidFill>
          </w14:textFill>
        </w:rPr>
      </w:pPr>
    </w:p>
    <w:p w14:paraId="6E4D7B23">
      <w:pPr>
        <w:spacing w:line="3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委托人：</w:t>
      </w:r>
    </w:p>
    <w:p w14:paraId="2D79DF3C">
      <w:pPr>
        <w:spacing w:line="3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投标人电子公章：           </w:t>
      </w:r>
    </w:p>
    <w:p w14:paraId="3775BB77">
      <w:pPr>
        <w:spacing w:line="3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被委托人：</w:t>
      </w:r>
    </w:p>
    <w:p w14:paraId="3AA5A6B0">
      <w:pPr>
        <w:spacing w:line="3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法定代表人：</w:t>
      </w:r>
    </w:p>
    <w:tbl>
      <w:tblPr>
        <w:tblStyle w:val="8"/>
        <w:tblW w:w="0" w:type="auto"/>
        <w:tblInd w:w="0" w:type="dxa"/>
        <w:tblLayout w:type="autofit"/>
        <w:tblCellMar>
          <w:top w:w="0" w:type="dxa"/>
          <w:left w:w="10" w:type="dxa"/>
          <w:bottom w:w="0" w:type="dxa"/>
          <w:right w:w="10" w:type="dxa"/>
        </w:tblCellMar>
      </w:tblPr>
      <w:tblGrid>
        <w:gridCol w:w="5508"/>
      </w:tblGrid>
      <w:tr w14:paraId="19A458E8">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FF87B56">
            <w:pPr>
              <w:spacing w:line="480" w:lineRule="auto"/>
              <w:rPr>
                <w:rFonts w:hint="eastAsia" w:ascii="宋体" w:hAnsi="宋体" w:eastAsia="宋体" w:cs="宋体"/>
                <w:b/>
                <w:color w:val="000000" w:themeColor="text1"/>
                <w:sz w:val="24"/>
                <w14:textFill>
                  <w14:solidFill>
                    <w14:schemeClr w14:val="tx1"/>
                  </w14:solidFill>
                </w14:textFill>
              </w:rPr>
            </w:pPr>
          </w:p>
          <w:p w14:paraId="7AA0846E">
            <w:pPr>
              <w:spacing w:line="480" w:lineRule="auto"/>
              <w:rPr>
                <w:rFonts w:hint="eastAsia" w:ascii="宋体" w:hAnsi="宋体" w:eastAsia="宋体" w:cs="宋体"/>
                <w:b/>
                <w:color w:val="000000" w:themeColor="text1"/>
                <w:sz w:val="24"/>
                <w14:textFill>
                  <w14:solidFill>
                    <w14:schemeClr w14:val="tx1"/>
                  </w14:solidFill>
                </w14:textFill>
              </w:rPr>
            </w:pPr>
          </w:p>
          <w:p w14:paraId="7B056944">
            <w:pPr>
              <w:spacing w:line="480" w:lineRule="auto"/>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（※附：被委托人身份证复印件※）</w:t>
            </w:r>
          </w:p>
        </w:tc>
      </w:tr>
    </w:tbl>
    <w:p w14:paraId="50F371DB">
      <w:pPr>
        <w:spacing w:line="360" w:lineRule="auto"/>
        <w:ind w:firstLine="480"/>
        <w:rPr>
          <w:rFonts w:hint="eastAsia" w:ascii="宋体" w:hAnsi="宋体" w:eastAsia="宋体" w:cs="宋体"/>
          <w:color w:val="000000" w:themeColor="text1"/>
          <w:sz w:val="24"/>
          <w14:textFill>
            <w14:solidFill>
              <w14:schemeClr w14:val="tx1"/>
            </w14:solidFill>
          </w14:textFill>
        </w:rPr>
      </w:pPr>
    </w:p>
    <w:p w14:paraId="2663B387">
      <w:pPr>
        <w:spacing w:line="360" w:lineRule="auto"/>
        <w:jc w:val="center"/>
        <w:rPr>
          <w:rFonts w:hint="eastAsia" w:ascii="宋体" w:hAnsi="宋体" w:eastAsia="宋体" w:cs="宋体"/>
          <w:color w:val="000000" w:themeColor="text1"/>
          <w:sz w:val="24"/>
          <w14:textFill>
            <w14:solidFill>
              <w14:schemeClr w14:val="tx1"/>
            </w14:solidFill>
          </w14:textFill>
        </w:rPr>
      </w:pPr>
    </w:p>
    <w:p w14:paraId="59EB1B22">
      <w:pPr>
        <w:spacing w:line="360" w:lineRule="auto"/>
        <w:jc w:val="center"/>
        <w:rPr>
          <w:rFonts w:hint="eastAsia" w:ascii="宋体" w:hAnsi="宋体" w:eastAsia="宋体" w:cs="宋体"/>
          <w:color w:val="000000" w:themeColor="text1"/>
          <w:sz w:val="24"/>
          <w14:textFill>
            <w14:solidFill>
              <w14:schemeClr w14:val="tx1"/>
            </w14:solidFill>
          </w14:textFill>
        </w:rPr>
      </w:pPr>
    </w:p>
    <w:p w14:paraId="2B7CC011">
      <w:pPr>
        <w:spacing w:line="360" w:lineRule="auto"/>
        <w:jc w:val="center"/>
        <w:rPr>
          <w:rFonts w:hint="eastAsia" w:ascii="宋体" w:hAnsi="宋体" w:eastAsia="宋体" w:cs="宋体"/>
          <w:color w:val="000000" w:themeColor="text1"/>
          <w:sz w:val="24"/>
          <w14:textFill>
            <w14:solidFill>
              <w14:schemeClr w14:val="tx1"/>
            </w14:solidFill>
          </w14:textFill>
        </w:rPr>
      </w:pPr>
    </w:p>
    <w:p w14:paraId="6BE12869">
      <w:pPr>
        <w:spacing w:line="360" w:lineRule="auto"/>
        <w:jc w:val="center"/>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投标人电子公章：                                       </w:t>
      </w:r>
    </w:p>
    <w:p w14:paraId="37D834FD">
      <w:pPr>
        <w:spacing w:line="360" w:lineRule="auto"/>
        <w:jc w:val="center"/>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年   月   日</w:t>
      </w:r>
    </w:p>
    <w:p w14:paraId="7C7596AA">
      <w:pPr>
        <w:spacing w:line="360" w:lineRule="auto"/>
        <w:jc w:val="center"/>
        <w:rPr>
          <w:rFonts w:hint="eastAsia" w:ascii="宋体" w:hAnsi="宋体" w:eastAsia="宋体" w:cs="宋体"/>
          <w:color w:val="000000" w:themeColor="text1"/>
          <w:sz w:val="24"/>
          <w14:textFill>
            <w14:solidFill>
              <w14:schemeClr w14:val="tx1"/>
            </w14:solidFill>
          </w14:textFill>
        </w:rPr>
      </w:pPr>
    </w:p>
    <w:p w14:paraId="4621DFE8">
      <w:pPr>
        <w:ind w:firstLine="240"/>
        <w:jc w:val="left"/>
        <w:rPr>
          <w:rFonts w:hint="eastAsia" w:ascii="宋体" w:hAnsi="宋体" w:eastAsia="宋体" w:cs="宋体"/>
          <w:color w:val="000000" w:themeColor="text1"/>
          <w:sz w:val="24"/>
          <w14:textFill>
            <w14:solidFill>
              <w14:schemeClr w14:val="tx1"/>
            </w14:solidFill>
          </w14:textFill>
        </w:rPr>
      </w:pPr>
    </w:p>
    <w:p w14:paraId="1C97B3B4">
      <w:pPr>
        <w:ind w:firstLine="240"/>
        <w:jc w:val="left"/>
        <w:rPr>
          <w:rFonts w:hint="eastAsia" w:ascii="宋体" w:hAnsi="宋体" w:eastAsia="宋体" w:cs="宋体"/>
          <w:color w:val="000000" w:themeColor="text1"/>
          <w:sz w:val="24"/>
          <w14:textFill>
            <w14:solidFill>
              <w14:schemeClr w14:val="tx1"/>
            </w14:solidFill>
          </w14:textFill>
        </w:rPr>
      </w:pPr>
    </w:p>
    <w:p w14:paraId="02D5D3DD">
      <w:pPr>
        <w:ind w:firstLine="240"/>
        <w:jc w:val="left"/>
        <w:rPr>
          <w:rFonts w:hint="eastAsia" w:ascii="宋体" w:hAnsi="宋体" w:eastAsia="宋体" w:cs="宋体"/>
          <w:color w:val="000000" w:themeColor="text1"/>
          <w:sz w:val="24"/>
          <w14:textFill>
            <w14:solidFill>
              <w14:schemeClr w14:val="tx1"/>
            </w14:solidFill>
          </w14:textFill>
        </w:rPr>
      </w:pPr>
    </w:p>
    <w:p w14:paraId="602D8619">
      <w:pPr>
        <w:ind w:firstLine="240"/>
        <w:jc w:val="left"/>
        <w:rPr>
          <w:rFonts w:hint="eastAsia" w:ascii="宋体" w:hAnsi="宋体" w:eastAsia="宋体" w:cs="宋体"/>
          <w:color w:val="000000" w:themeColor="text1"/>
          <w:sz w:val="24"/>
          <w14:textFill>
            <w14:solidFill>
              <w14:schemeClr w14:val="tx1"/>
            </w14:solidFill>
          </w14:textFill>
        </w:rPr>
      </w:pPr>
    </w:p>
    <w:p w14:paraId="4D7E4B7E">
      <w:pPr>
        <w:pStyle w:val="2"/>
        <w:ind w:firstLine="210"/>
        <w:rPr>
          <w:color w:val="000000" w:themeColor="text1"/>
          <w14:textFill>
            <w14:solidFill>
              <w14:schemeClr w14:val="tx1"/>
            </w14:solidFill>
          </w14:textFill>
        </w:rPr>
      </w:pPr>
    </w:p>
    <w:p w14:paraId="01230C86">
      <w:pPr>
        <w:ind w:firstLine="240"/>
        <w:jc w:val="left"/>
        <w:rPr>
          <w:rFonts w:hint="eastAsia" w:ascii="宋体" w:hAnsi="宋体" w:eastAsia="宋体" w:cs="宋体"/>
          <w:color w:val="000000" w:themeColor="text1"/>
          <w:sz w:val="24"/>
          <w14:textFill>
            <w14:solidFill>
              <w14:schemeClr w14:val="tx1"/>
            </w14:solidFill>
          </w14:textFill>
        </w:rPr>
      </w:pPr>
    </w:p>
    <w:p w14:paraId="38A42BCD">
      <w:pPr>
        <w:pStyle w:val="2"/>
        <w:ind w:firstLine="210"/>
        <w:rPr>
          <w:color w:val="000000" w:themeColor="text1"/>
          <w14:textFill>
            <w14:solidFill>
              <w14:schemeClr w14:val="tx1"/>
            </w14:solidFill>
          </w14:textFill>
        </w:rPr>
      </w:pPr>
    </w:p>
    <w:p w14:paraId="0D311704">
      <w:pPr>
        <w:pStyle w:val="2"/>
        <w:ind w:firstLine="210"/>
        <w:rPr>
          <w:color w:val="000000" w:themeColor="text1"/>
          <w14:textFill>
            <w14:solidFill>
              <w14:schemeClr w14:val="tx1"/>
            </w14:solidFill>
          </w14:textFill>
        </w:rPr>
      </w:pPr>
    </w:p>
    <w:p w14:paraId="2F4CB498">
      <w:pPr>
        <w:spacing w:line="360" w:lineRule="auto"/>
        <w:jc w:val="left"/>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格式2-3</w:t>
      </w:r>
    </w:p>
    <w:p w14:paraId="2CB8F147">
      <w:pPr>
        <w:ind w:firstLine="240"/>
        <w:jc w:val="left"/>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供应商资格其他资料</w:t>
      </w:r>
    </w:p>
    <w:p w14:paraId="4E0D0443">
      <w:pPr>
        <w:ind w:firstLine="240"/>
        <w:jc w:val="left"/>
        <w:rPr>
          <w:rFonts w:hint="eastAsia" w:ascii="宋体" w:hAnsi="宋体" w:eastAsia="宋体" w:cs="宋体"/>
          <w:color w:val="000000" w:themeColor="text1"/>
          <w:sz w:val="24"/>
          <w14:textFill>
            <w14:solidFill>
              <w14:schemeClr w14:val="tx1"/>
            </w14:solidFill>
          </w14:textFill>
        </w:rPr>
      </w:pPr>
    </w:p>
    <w:p w14:paraId="64696584">
      <w:pPr>
        <w:ind w:firstLine="240"/>
        <w:jc w:val="left"/>
        <w:rPr>
          <w:rFonts w:hint="eastAsia" w:ascii="宋体" w:hAnsi="宋体" w:eastAsia="宋体" w:cs="宋体"/>
          <w:color w:val="000000" w:themeColor="text1"/>
          <w:sz w:val="24"/>
          <w14:textFill>
            <w14:solidFill>
              <w14:schemeClr w14:val="tx1"/>
            </w14:solidFill>
          </w14:textFill>
        </w:rPr>
      </w:pPr>
    </w:p>
    <w:p w14:paraId="3A68575D">
      <w:pPr>
        <w:ind w:firstLine="240"/>
        <w:jc w:val="left"/>
        <w:rPr>
          <w:rFonts w:hint="eastAsia" w:ascii="宋体" w:hAnsi="宋体" w:eastAsia="宋体" w:cs="宋体"/>
          <w:color w:val="000000" w:themeColor="text1"/>
          <w:sz w:val="24"/>
          <w14:textFill>
            <w14:solidFill>
              <w14:schemeClr w14:val="tx1"/>
            </w14:solidFill>
          </w14:textFill>
        </w:rPr>
      </w:pPr>
    </w:p>
    <w:p w14:paraId="4FEC5F87">
      <w:pPr>
        <w:ind w:firstLine="240"/>
        <w:jc w:val="left"/>
        <w:rPr>
          <w:rFonts w:hint="eastAsia" w:ascii="宋体" w:hAnsi="宋体" w:eastAsia="宋体" w:cs="宋体"/>
          <w:color w:val="000000" w:themeColor="text1"/>
          <w:sz w:val="24"/>
          <w14:textFill>
            <w14:solidFill>
              <w14:schemeClr w14:val="tx1"/>
            </w14:solidFill>
          </w14:textFill>
        </w:rPr>
      </w:pPr>
    </w:p>
    <w:p w14:paraId="3A19A897">
      <w:pPr>
        <w:spacing w:line="360" w:lineRule="auto"/>
        <w:jc w:val="left"/>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格式3</w:t>
      </w:r>
    </w:p>
    <w:p w14:paraId="05658DF0">
      <w:pPr>
        <w:spacing w:line="560" w:lineRule="auto"/>
        <w:jc w:val="center"/>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投标函</w:t>
      </w:r>
    </w:p>
    <w:p w14:paraId="2402E4F0">
      <w:pPr>
        <w:spacing w:line="360" w:lineRule="auto"/>
        <w:jc w:val="left"/>
        <w:rPr>
          <w:rFonts w:hint="eastAsia" w:ascii="宋体" w:hAnsi="宋体" w:eastAsia="宋体" w:cs="宋体"/>
          <w:color w:val="000000" w:themeColor="text1"/>
          <w:sz w:val="24"/>
          <w:shd w:val="clear" w:color="auto" w:fill="FFFFFF"/>
          <w14:textFill>
            <w14:solidFill>
              <w14:schemeClr w14:val="tx1"/>
            </w14:solidFill>
          </w14:textFill>
        </w:rPr>
      </w:pPr>
      <w:r>
        <w:rPr>
          <w:rFonts w:ascii="宋体" w:hAnsi="宋体" w:eastAsia="宋体" w:cs="宋体"/>
          <w:color w:val="000000" w:themeColor="text1"/>
          <w:sz w:val="24"/>
          <w:shd w:val="clear" w:color="auto" w:fill="FFFFFF"/>
          <w14:textFill>
            <w14:solidFill>
              <w14:schemeClr w14:val="tx1"/>
            </w14:solidFill>
          </w14:textFill>
        </w:rPr>
        <w:t>致：周口市公共资源交易中心</w:t>
      </w:r>
      <w:r>
        <w:rPr>
          <w:rFonts w:hint="eastAsia" w:ascii="宋体" w:hAnsi="宋体" w:eastAsia="宋体" w:cs="宋体"/>
          <w:color w:val="000000" w:themeColor="text1"/>
          <w:sz w:val="24"/>
          <w:shd w:val="clear" w:color="auto" w:fill="FFFFFF"/>
          <w14:textFill>
            <w14:solidFill>
              <w14:schemeClr w14:val="tx1"/>
            </w14:solidFill>
          </w14:textFill>
        </w:rPr>
        <w:t>（</w:t>
      </w:r>
      <w:r>
        <w:rPr>
          <w:rFonts w:ascii="宋体" w:hAnsi="宋体" w:eastAsia="宋体" w:cs="宋体"/>
          <w:color w:val="000000" w:themeColor="text1"/>
          <w:sz w:val="24"/>
          <w:shd w:val="clear" w:color="auto" w:fill="FFFFFF"/>
          <w14:textFill>
            <w14:solidFill>
              <w14:schemeClr w14:val="tx1"/>
            </w14:solidFill>
          </w14:textFill>
        </w:rPr>
        <w:t>政府采购中心</w:t>
      </w:r>
      <w:r>
        <w:rPr>
          <w:rFonts w:hint="eastAsia" w:ascii="宋体" w:hAnsi="宋体" w:eastAsia="宋体" w:cs="宋体"/>
          <w:color w:val="000000" w:themeColor="text1"/>
          <w:sz w:val="24"/>
          <w:shd w:val="clear" w:color="auto" w:fill="FFFFFF"/>
          <w14:textFill>
            <w14:solidFill>
              <w14:schemeClr w14:val="tx1"/>
            </w14:solidFill>
          </w14:textFill>
        </w:rPr>
        <w:t>)</w:t>
      </w:r>
    </w:p>
    <w:p w14:paraId="1E15A03C">
      <w:pPr>
        <w:rPr>
          <w:rFonts w:hint="eastAsia" w:ascii="宋体" w:hAnsi="宋体" w:eastAsia="宋体" w:cs="宋体"/>
          <w:color w:val="000000" w:themeColor="text1"/>
          <w:sz w:val="24"/>
          <w14:textFill>
            <w14:solidFill>
              <w14:schemeClr w14:val="tx1"/>
            </w14:solidFill>
          </w14:textFill>
        </w:rPr>
      </w:pPr>
    </w:p>
    <w:p w14:paraId="3EB0D77E">
      <w:pPr>
        <w:ind w:firstLine="60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根据贵方              项目的竞争性磋商邀请（项目编号：          ），委托代理人      (全名、职务)代表              供应商名称、地址)提交投标文件，报价为</w:t>
      </w:r>
      <w:r>
        <w:rPr>
          <w:rFonts w:ascii="宋体" w:hAnsi="宋体" w:eastAsia="宋体" w:cs="宋体"/>
          <w:color w:val="000000" w:themeColor="text1"/>
          <w:sz w:val="24"/>
          <w:u w:val="single"/>
          <w14:textFill>
            <w14:solidFill>
              <w14:schemeClr w14:val="tx1"/>
            </w14:solidFill>
          </w14:textFill>
        </w:rPr>
        <w:t>：    元，</w:t>
      </w:r>
      <w:r>
        <w:rPr>
          <w:rFonts w:ascii="宋体" w:hAnsi="宋体" w:eastAsia="宋体" w:cs="宋体"/>
          <w:color w:val="000000" w:themeColor="text1"/>
          <w:sz w:val="24"/>
          <w14:textFill>
            <w14:solidFill>
              <w14:schemeClr w14:val="tx1"/>
            </w14:solidFill>
          </w14:textFill>
        </w:rPr>
        <w:t>并对之负法律责任。</w:t>
      </w:r>
    </w:p>
    <w:p w14:paraId="2147D15F">
      <w:pPr>
        <w:ind w:firstLine="568"/>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据此函，宣布同意如下：</w:t>
      </w:r>
    </w:p>
    <w:p w14:paraId="5B37DFC2">
      <w:pPr>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(1)我们完全理解贵方不一定要接受最低报价，并同意本文件规定的响应性文件有效期。</w:t>
      </w:r>
    </w:p>
    <w:p w14:paraId="099002CD">
      <w:pPr>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(2)我们已详细审核全部竞争性磋商文件，我们知道必须放弃提出含糊不清或误解的问题的权利。</w:t>
      </w:r>
    </w:p>
    <w:p w14:paraId="74C82678">
      <w:pPr>
        <w:numPr>
          <w:ilvl w:val="0"/>
          <w:numId w:val="26"/>
        </w:numPr>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同意向贵方提供贵方可能另外要求的与其竞争性磋商有关的任何证据和资料。</w:t>
      </w:r>
    </w:p>
    <w:p w14:paraId="3D78CC0B">
      <w:pPr>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(4)一旦我们成交，我们将严格履行合同责任和义务。</w:t>
      </w:r>
    </w:p>
    <w:p w14:paraId="5E38A4FA">
      <w:pPr>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(5)我们完全理解不向未成交人解释未成交理由的义务。</w:t>
      </w:r>
    </w:p>
    <w:p w14:paraId="3E1DE2A3">
      <w:pPr>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(6)与本次竞争性磋商有关的正式通讯地址为：</w:t>
      </w:r>
    </w:p>
    <w:p w14:paraId="1B8C5C90">
      <w:pPr>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地 址：                  邮 编：</w:t>
      </w:r>
    </w:p>
    <w:p w14:paraId="72C7AF84">
      <w:pPr>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电 话：                  传 真：</w:t>
      </w:r>
    </w:p>
    <w:p w14:paraId="71A5456C">
      <w:pPr>
        <w:ind w:firstLine="480"/>
        <w:jc w:val="left"/>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我们保证：</w:t>
      </w:r>
    </w:p>
    <w:p w14:paraId="6C6544C8">
      <w:pPr>
        <w:ind w:firstLine="480"/>
        <w:jc w:val="left"/>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(1)不提供虚假材料谋取成交；</w:t>
      </w:r>
    </w:p>
    <w:p w14:paraId="040C92F0">
      <w:pPr>
        <w:ind w:firstLine="480"/>
        <w:jc w:val="left"/>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(2)不以不正当手段抵毁、排挤其他供应商；</w:t>
      </w:r>
    </w:p>
    <w:p w14:paraId="716DB26A">
      <w:pPr>
        <w:ind w:firstLine="480"/>
        <w:jc w:val="left"/>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(3)不与采购人和其它供应商恶意串通；</w:t>
      </w:r>
    </w:p>
    <w:p w14:paraId="18627350">
      <w:pPr>
        <w:ind w:firstLine="480"/>
        <w:jc w:val="left"/>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(4)不向采购人和采购代理机构提供不正当利益；</w:t>
      </w:r>
    </w:p>
    <w:p w14:paraId="13EE7FA2">
      <w:pPr>
        <w:ind w:firstLine="480"/>
        <w:jc w:val="left"/>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(5)不拒绝有关部门监督检查或提供虚假情况。</w:t>
      </w:r>
    </w:p>
    <w:p w14:paraId="3FA32CD6">
      <w:pPr>
        <w:spacing w:line="560" w:lineRule="auto"/>
        <w:ind w:firstLine="720"/>
        <w:jc w:val="left"/>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联系人：              联系电话：</w:t>
      </w:r>
    </w:p>
    <w:p w14:paraId="71FBF66A">
      <w:pPr>
        <w:spacing w:line="360" w:lineRule="auto"/>
        <w:jc w:val="left"/>
        <w:rPr>
          <w:rFonts w:hint="eastAsia" w:ascii="宋体" w:hAnsi="宋体" w:eastAsia="宋体" w:cs="宋体"/>
          <w:color w:val="000000" w:themeColor="text1"/>
          <w:sz w:val="24"/>
          <w14:textFill>
            <w14:solidFill>
              <w14:schemeClr w14:val="tx1"/>
            </w14:solidFill>
          </w14:textFill>
        </w:rPr>
      </w:pPr>
    </w:p>
    <w:p w14:paraId="6A293731">
      <w:pPr>
        <w:spacing w:line="360" w:lineRule="auto"/>
        <w:jc w:val="left"/>
        <w:rPr>
          <w:rFonts w:hint="eastAsia" w:ascii="宋体" w:hAnsi="宋体" w:eastAsia="宋体" w:cs="宋体"/>
          <w:color w:val="000000" w:themeColor="text1"/>
          <w:sz w:val="24"/>
          <w14:textFill>
            <w14:solidFill>
              <w14:schemeClr w14:val="tx1"/>
            </w14:solidFill>
          </w14:textFill>
        </w:rPr>
      </w:pPr>
    </w:p>
    <w:p w14:paraId="4A374837">
      <w:pPr>
        <w:spacing w:line="360" w:lineRule="auto"/>
        <w:jc w:val="left"/>
        <w:rPr>
          <w:rFonts w:hint="eastAsia" w:ascii="宋体" w:hAnsi="宋体" w:eastAsia="宋体" w:cs="宋体"/>
          <w:color w:val="000000" w:themeColor="text1"/>
          <w:sz w:val="24"/>
          <w14:textFill>
            <w14:solidFill>
              <w14:schemeClr w14:val="tx1"/>
            </w14:solidFill>
          </w14:textFill>
        </w:rPr>
      </w:pPr>
    </w:p>
    <w:p w14:paraId="45DA31A8">
      <w:pPr>
        <w:spacing w:line="360" w:lineRule="auto"/>
        <w:ind w:firstLine="3360"/>
        <w:jc w:val="left"/>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投标人电子公章：</w:t>
      </w:r>
    </w:p>
    <w:p w14:paraId="5EAFE567">
      <w:pPr>
        <w:spacing w:line="360" w:lineRule="auto"/>
        <w:jc w:val="center"/>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年   月   日</w:t>
      </w:r>
    </w:p>
    <w:p w14:paraId="1D00856C">
      <w:pPr>
        <w:spacing w:line="360" w:lineRule="auto"/>
        <w:jc w:val="center"/>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w:t>
      </w:r>
    </w:p>
    <w:p w14:paraId="380B5461">
      <w:pPr>
        <w:spacing w:line="360" w:lineRule="auto"/>
        <w:jc w:val="left"/>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格式4</w:t>
      </w:r>
    </w:p>
    <w:p w14:paraId="25B0E668">
      <w:pPr>
        <w:keepNext/>
        <w:keepLines/>
        <w:spacing w:before="260" w:after="260" w:line="416" w:lineRule="auto"/>
        <w:jc w:val="center"/>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一．报价一览表</w:t>
      </w:r>
    </w:p>
    <w:tbl>
      <w:tblPr>
        <w:tblStyle w:val="8"/>
        <w:tblW w:w="0" w:type="auto"/>
        <w:jc w:val="center"/>
        <w:tblLayout w:type="autofit"/>
        <w:tblCellMar>
          <w:top w:w="0" w:type="dxa"/>
          <w:left w:w="10" w:type="dxa"/>
          <w:bottom w:w="0" w:type="dxa"/>
          <w:right w:w="10" w:type="dxa"/>
        </w:tblCellMar>
      </w:tblPr>
      <w:tblGrid>
        <w:gridCol w:w="2368"/>
        <w:gridCol w:w="6154"/>
      </w:tblGrid>
      <w:tr w14:paraId="0EF68D2B">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83DD1B">
            <w:pPr>
              <w:spacing w:line="360" w:lineRule="auto"/>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C6068F">
            <w:pPr>
              <w:spacing w:line="360" w:lineRule="auto"/>
              <w:jc w:val="center"/>
              <w:rPr>
                <w:rFonts w:hint="eastAsia" w:ascii="宋体" w:hAnsi="宋体" w:eastAsia="宋体" w:cs="宋体"/>
                <w:color w:val="000000" w:themeColor="text1"/>
                <w:sz w:val="22"/>
                <w14:textFill>
                  <w14:solidFill>
                    <w14:schemeClr w14:val="tx1"/>
                  </w14:solidFill>
                </w14:textFill>
              </w:rPr>
            </w:pPr>
          </w:p>
        </w:tc>
      </w:tr>
      <w:tr w14:paraId="2DC981B3">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926FC8">
            <w:pPr>
              <w:spacing w:line="360" w:lineRule="auto"/>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D7183C">
            <w:pPr>
              <w:spacing w:line="360" w:lineRule="auto"/>
              <w:rPr>
                <w:rFonts w:hint="eastAsia" w:ascii="宋体" w:hAnsi="宋体" w:eastAsia="宋体" w:cs="宋体"/>
                <w:color w:val="000000" w:themeColor="text1"/>
                <w:sz w:val="22"/>
                <w14:textFill>
                  <w14:solidFill>
                    <w14:schemeClr w14:val="tx1"/>
                  </w14:solidFill>
                </w14:textFill>
              </w:rPr>
            </w:pPr>
          </w:p>
        </w:tc>
      </w:tr>
      <w:tr w14:paraId="57B0AD23">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8189F1">
            <w:pPr>
              <w:spacing w:line="360" w:lineRule="auto"/>
              <w:jc w:val="center"/>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最终投标报价（包：）</w:t>
            </w:r>
          </w:p>
          <w:p w14:paraId="5295BB31">
            <w:pPr>
              <w:spacing w:line="360" w:lineRule="auto"/>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3B1C11">
            <w:pPr>
              <w:spacing w:line="360" w:lineRule="auto"/>
              <w:ind w:right="-670"/>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投标总价：       大写：           </w:t>
            </w:r>
          </w:p>
        </w:tc>
      </w:tr>
      <w:tr w14:paraId="31E89F15">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EF064F">
            <w:pPr>
              <w:spacing w:line="360" w:lineRule="auto"/>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D1E26E">
            <w:pPr>
              <w:spacing w:line="360" w:lineRule="auto"/>
              <w:jc w:val="left"/>
              <w:rPr>
                <w:rFonts w:hint="eastAsia" w:ascii="宋体" w:hAnsi="宋体" w:eastAsia="宋体" w:cs="宋体"/>
                <w:color w:val="000000" w:themeColor="text1"/>
                <w:sz w:val="22"/>
                <w14:textFill>
                  <w14:solidFill>
                    <w14:schemeClr w14:val="tx1"/>
                  </w14:solidFill>
                </w14:textFill>
              </w:rPr>
            </w:pPr>
          </w:p>
        </w:tc>
      </w:tr>
    </w:tbl>
    <w:p w14:paraId="442BABB1">
      <w:pPr>
        <w:spacing w:before="100" w:after="100" w:line="360" w:lineRule="auto"/>
        <w:ind w:firstLine="492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投标人电子公章： </w:t>
      </w:r>
    </w:p>
    <w:p w14:paraId="5A666E94">
      <w:pPr>
        <w:spacing w:line="360" w:lineRule="auto"/>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备注：</w:t>
      </w:r>
    </w:p>
    <w:p w14:paraId="26AD1655">
      <w:pPr>
        <w:spacing w:line="360" w:lineRule="auto"/>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1、此表用于开标会唱标之用。</w:t>
      </w:r>
    </w:p>
    <w:p w14:paraId="593E8A4D">
      <w:pPr>
        <w:spacing w:line="360" w:lineRule="auto"/>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2、表中最终投标报价即为优惠后报价，并作为评审及定标依据。任何有选择或有条件的最终投标报价，或者表中某一包填写多个报价，均为无效报价。</w:t>
      </w:r>
    </w:p>
    <w:p w14:paraId="4F4C9A7E">
      <w:pPr>
        <w:spacing w:line="360" w:lineRule="auto"/>
        <w:jc w:val="left"/>
        <w:rPr>
          <w:rFonts w:hint="eastAsia" w:ascii="宋体" w:hAnsi="宋体" w:eastAsia="宋体" w:cs="宋体"/>
          <w:color w:val="000000" w:themeColor="text1"/>
          <w:sz w:val="24"/>
          <w14:textFill>
            <w14:solidFill>
              <w14:schemeClr w14:val="tx1"/>
            </w14:solidFill>
          </w14:textFill>
        </w:rPr>
      </w:pPr>
    </w:p>
    <w:p w14:paraId="48CFAA8A">
      <w:pPr>
        <w:spacing w:line="360" w:lineRule="auto"/>
        <w:jc w:val="left"/>
        <w:rPr>
          <w:rFonts w:hint="eastAsia" w:ascii="宋体" w:hAnsi="宋体" w:eastAsia="宋体" w:cs="宋体"/>
          <w:color w:val="000000" w:themeColor="text1"/>
          <w:sz w:val="24"/>
          <w14:textFill>
            <w14:solidFill>
              <w14:schemeClr w14:val="tx1"/>
            </w14:solidFill>
          </w14:textFill>
        </w:rPr>
      </w:pPr>
    </w:p>
    <w:p w14:paraId="61CE5702">
      <w:pPr>
        <w:pStyle w:val="2"/>
        <w:ind w:firstLine="210"/>
        <w:rPr>
          <w:color w:val="000000" w:themeColor="text1"/>
          <w14:textFill>
            <w14:solidFill>
              <w14:schemeClr w14:val="tx1"/>
            </w14:solidFill>
          </w14:textFill>
        </w:rPr>
      </w:pPr>
    </w:p>
    <w:p w14:paraId="43ECD0A0">
      <w:pPr>
        <w:pStyle w:val="2"/>
        <w:ind w:firstLine="210"/>
        <w:rPr>
          <w:color w:val="000000" w:themeColor="text1"/>
          <w14:textFill>
            <w14:solidFill>
              <w14:schemeClr w14:val="tx1"/>
            </w14:solidFill>
          </w14:textFill>
        </w:rPr>
      </w:pPr>
    </w:p>
    <w:p w14:paraId="6F0C6F5A">
      <w:pPr>
        <w:pStyle w:val="2"/>
        <w:ind w:firstLine="210"/>
        <w:rPr>
          <w:color w:val="000000" w:themeColor="text1"/>
          <w14:textFill>
            <w14:solidFill>
              <w14:schemeClr w14:val="tx1"/>
            </w14:solidFill>
          </w14:textFill>
        </w:rPr>
      </w:pPr>
    </w:p>
    <w:p w14:paraId="4B18B8BF">
      <w:pPr>
        <w:pStyle w:val="2"/>
        <w:ind w:firstLine="210"/>
        <w:rPr>
          <w:color w:val="000000" w:themeColor="text1"/>
          <w14:textFill>
            <w14:solidFill>
              <w14:schemeClr w14:val="tx1"/>
            </w14:solidFill>
          </w14:textFill>
        </w:rPr>
      </w:pPr>
    </w:p>
    <w:p w14:paraId="0E744457">
      <w:pPr>
        <w:pStyle w:val="2"/>
        <w:ind w:firstLine="210"/>
        <w:rPr>
          <w:color w:val="000000" w:themeColor="text1"/>
          <w14:textFill>
            <w14:solidFill>
              <w14:schemeClr w14:val="tx1"/>
            </w14:solidFill>
          </w14:textFill>
        </w:rPr>
      </w:pPr>
    </w:p>
    <w:p w14:paraId="1D6E85FD">
      <w:pPr>
        <w:pStyle w:val="2"/>
        <w:ind w:firstLine="210"/>
        <w:rPr>
          <w:color w:val="000000" w:themeColor="text1"/>
          <w14:textFill>
            <w14:solidFill>
              <w14:schemeClr w14:val="tx1"/>
            </w14:solidFill>
          </w14:textFill>
        </w:rPr>
      </w:pPr>
    </w:p>
    <w:p w14:paraId="34170038">
      <w:pPr>
        <w:pStyle w:val="2"/>
        <w:ind w:firstLine="210"/>
        <w:rPr>
          <w:color w:val="000000" w:themeColor="text1"/>
          <w14:textFill>
            <w14:solidFill>
              <w14:schemeClr w14:val="tx1"/>
            </w14:solidFill>
          </w14:textFill>
        </w:rPr>
      </w:pPr>
    </w:p>
    <w:p w14:paraId="71703EDB">
      <w:pPr>
        <w:pStyle w:val="2"/>
        <w:ind w:firstLine="210"/>
        <w:rPr>
          <w:color w:val="000000" w:themeColor="text1"/>
          <w14:textFill>
            <w14:solidFill>
              <w14:schemeClr w14:val="tx1"/>
            </w14:solidFill>
          </w14:textFill>
        </w:rPr>
      </w:pPr>
    </w:p>
    <w:p w14:paraId="7A284194">
      <w:pPr>
        <w:pStyle w:val="2"/>
        <w:ind w:firstLine="210"/>
        <w:rPr>
          <w:color w:val="000000" w:themeColor="text1"/>
          <w14:textFill>
            <w14:solidFill>
              <w14:schemeClr w14:val="tx1"/>
            </w14:solidFill>
          </w14:textFill>
        </w:rPr>
      </w:pPr>
    </w:p>
    <w:p w14:paraId="7568CBDD">
      <w:pPr>
        <w:pStyle w:val="2"/>
        <w:ind w:firstLine="210"/>
        <w:rPr>
          <w:color w:val="000000" w:themeColor="text1"/>
          <w14:textFill>
            <w14:solidFill>
              <w14:schemeClr w14:val="tx1"/>
            </w14:solidFill>
          </w14:textFill>
        </w:rPr>
      </w:pPr>
    </w:p>
    <w:p w14:paraId="5061DC4A">
      <w:pPr>
        <w:pStyle w:val="2"/>
        <w:ind w:firstLine="210"/>
        <w:rPr>
          <w:color w:val="000000" w:themeColor="text1"/>
          <w14:textFill>
            <w14:solidFill>
              <w14:schemeClr w14:val="tx1"/>
            </w14:solidFill>
          </w14:textFill>
        </w:rPr>
      </w:pPr>
    </w:p>
    <w:p w14:paraId="554CD83A">
      <w:pPr>
        <w:pStyle w:val="2"/>
        <w:ind w:firstLine="210"/>
        <w:rPr>
          <w:color w:val="000000" w:themeColor="text1"/>
          <w14:textFill>
            <w14:solidFill>
              <w14:schemeClr w14:val="tx1"/>
            </w14:solidFill>
          </w14:textFill>
        </w:rPr>
      </w:pPr>
    </w:p>
    <w:p w14:paraId="000FFEA5">
      <w:pPr>
        <w:pStyle w:val="2"/>
        <w:ind w:firstLine="210"/>
        <w:rPr>
          <w:color w:val="000000" w:themeColor="text1"/>
          <w14:textFill>
            <w14:solidFill>
              <w14:schemeClr w14:val="tx1"/>
            </w14:solidFill>
          </w14:textFill>
        </w:rPr>
      </w:pPr>
    </w:p>
    <w:p w14:paraId="00A89DB1">
      <w:pPr>
        <w:spacing w:line="360" w:lineRule="auto"/>
        <w:jc w:val="left"/>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格式5</w:t>
      </w:r>
    </w:p>
    <w:p w14:paraId="5FB6470C">
      <w:pPr>
        <w:keepNext/>
        <w:keepLines/>
        <w:spacing w:before="260" w:after="260" w:line="416" w:lineRule="auto"/>
        <w:jc w:val="center"/>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．投标分项报价表</w:t>
      </w:r>
    </w:p>
    <w:p w14:paraId="6ED0843F">
      <w:pPr>
        <w:jc w:val="center"/>
        <w:rPr>
          <w:rFonts w:ascii="Times New Roman" w:hAnsi="Times New Roman" w:eastAsia="Times New Roman" w:cs="Times New Roman"/>
          <w:color w:val="000000" w:themeColor="text1"/>
          <w:sz w:val="24"/>
          <w14:textFill>
            <w14:solidFill>
              <w14:schemeClr w14:val="tx1"/>
            </w14:solidFill>
          </w14:textFill>
        </w:rPr>
      </w:pPr>
    </w:p>
    <w:p w14:paraId="506E549B">
      <w:pPr>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谈判供应商名称：</w:t>
      </w:r>
    </w:p>
    <w:p w14:paraId="33B0918E">
      <w:pPr>
        <w:jc w:val="center"/>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单位：元</w:t>
      </w:r>
    </w:p>
    <w:tbl>
      <w:tblPr>
        <w:tblStyle w:val="8"/>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384CB65D">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17CCC6DC">
            <w:pPr>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5F5AA55">
            <w:pPr>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C94527F">
            <w:pPr>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12DC740">
            <w:pPr>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441B86C">
            <w:pPr>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小计</w:t>
            </w:r>
          </w:p>
        </w:tc>
      </w:tr>
      <w:tr w14:paraId="2C2BEB44">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FCF14A">
            <w:pPr>
              <w:jc w:val="center"/>
              <w:rPr>
                <w:rFonts w:hint="eastAsia" w:ascii="宋体" w:hAnsi="宋体" w:eastAsia="宋体" w:cs="宋体"/>
                <w:color w:val="000000" w:themeColor="text1"/>
                <w:sz w:val="22"/>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0FC1861E">
            <w:pPr>
              <w:jc w:val="center"/>
              <w:rPr>
                <w:rFonts w:hint="eastAsia"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E42E579">
            <w:pPr>
              <w:jc w:val="center"/>
              <w:rPr>
                <w:rFonts w:hint="eastAsia"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76A0BC1">
            <w:pPr>
              <w:jc w:val="center"/>
              <w:rPr>
                <w:rFonts w:hint="eastAsia" w:ascii="宋体" w:hAnsi="宋体" w:eastAsia="宋体" w:cs="宋体"/>
                <w:color w:val="000000" w:themeColor="text1"/>
                <w:sz w:val="22"/>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A51B8D0">
            <w:pPr>
              <w:jc w:val="center"/>
              <w:rPr>
                <w:rFonts w:hint="eastAsia" w:ascii="宋体" w:hAnsi="宋体" w:eastAsia="宋体" w:cs="宋体"/>
                <w:color w:val="000000" w:themeColor="text1"/>
                <w:sz w:val="22"/>
                <w14:textFill>
                  <w14:solidFill>
                    <w14:schemeClr w14:val="tx1"/>
                  </w14:solidFill>
                </w14:textFill>
              </w:rPr>
            </w:pPr>
          </w:p>
        </w:tc>
      </w:tr>
      <w:tr w14:paraId="2C8133E1">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D522B">
            <w:pPr>
              <w:jc w:val="center"/>
              <w:rPr>
                <w:rFonts w:hint="eastAsia" w:ascii="宋体" w:hAnsi="宋体" w:eastAsia="宋体" w:cs="宋体"/>
                <w:color w:val="000000" w:themeColor="text1"/>
                <w:sz w:val="22"/>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4A75F384">
            <w:pPr>
              <w:jc w:val="center"/>
              <w:rPr>
                <w:rFonts w:hint="eastAsia"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A0BFC20">
            <w:pPr>
              <w:jc w:val="center"/>
              <w:rPr>
                <w:rFonts w:hint="eastAsia"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8D4240E">
            <w:pPr>
              <w:jc w:val="center"/>
              <w:rPr>
                <w:rFonts w:hint="eastAsia" w:ascii="宋体" w:hAnsi="宋体" w:eastAsia="宋体" w:cs="宋体"/>
                <w:color w:val="000000" w:themeColor="text1"/>
                <w:sz w:val="22"/>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D77EB0D">
            <w:pPr>
              <w:jc w:val="center"/>
              <w:rPr>
                <w:rFonts w:hint="eastAsia" w:ascii="宋体" w:hAnsi="宋体" w:eastAsia="宋体" w:cs="宋体"/>
                <w:color w:val="000000" w:themeColor="text1"/>
                <w:sz w:val="22"/>
                <w14:textFill>
                  <w14:solidFill>
                    <w14:schemeClr w14:val="tx1"/>
                  </w14:solidFill>
                </w14:textFill>
              </w:rPr>
            </w:pPr>
          </w:p>
        </w:tc>
      </w:tr>
      <w:tr w14:paraId="4F09C0AC">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B016C7">
            <w:pPr>
              <w:jc w:val="center"/>
              <w:rPr>
                <w:rFonts w:hint="eastAsia" w:ascii="宋体" w:hAnsi="宋体" w:eastAsia="宋体" w:cs="宋体"/>
                <w:color w:val="000000" w:themeColor="text1"/>
                <w:sz w:val="22"/>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4566BA8B">
            <w:pPr>
              <w:jc w:val="center"/>
              <w:rPr>
                <w:rFonts w:hint="eastAsia"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10F2FDB">
            <w:pPr>
              <w:jc w:val="center"/>
              <w:rPr>
                <w:rFonts w:hint="eastAsia"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EAB915E">
            <w:pPr>
              <w:jc w:val="center"/>
              <w:rPr>
                <w:rFonts w:hint="eastAsia" w:ascii="宋体" w:hAnsi="宋体" w:eastAsia="宋体" w:cs="宋体"/>
                <w:color w:val="000000" w:themeColor="text1"/>
                <w:sz w:val="22"/>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6F48E73">
            <w:pPr>
              <w:jc w:val="center"/>
              <w:rPr>
                <w:rFonts w:hint="eastAsia" w:ascii="宋体" w:hAnsi="宋体" w:eastAsia="宋体" w:cs="宋体"/>
                <w:color w:val="000000" w:themeColor="text1"/>
                <w:sz w:val="22"/>
                <w14:textFill>
                  <w14:solidFill>
                    <w14:schemeClr w14:val="tx1"/>
                  </w14:solidFill>
                </w14:textFill>
              </w:rPr>
            </w:pPr>
          </w:p>
        </w:tc>
      </w:tr>
      <w:tr w14:paraId="6A121613">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3159BB">
            <w:pPr>
              <w:jc w:val="center"/>
              <w:rPr>
                <w:rFonts w:hint="eastAsia" w:ascii="宋体" w:hAnsi="宋体" w:eastAsia="宋体" w:cs="宋体"/>
                <w:color w:val="000000" w:themeColor="text1"/>
                <w:sz w:val="22"/>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344C2D35">
            <w:pPr>
              <w:jc w:val="center"/>
              <w:rPr>
                <w:rFonts w:hint="eastAsia"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96F0EA9">
            <w:pPr>
              <w:jc w:val="center"/>
              <w:rPr>
                <w:rFonts w:hint="eastAsia"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4926360">
            <w:pPr>
              <w:jc w:val="center"/>
              <w:rPr>
                <w:rFonts w:hint="eastAsia" w:ascii="宋体" w:hAnsi="宋体" w:eastAsia="宋体" w:cs="宋体"/>
                <w:color w:val="000000" w:themeColor="text1"/>
                <w:sz w:val="22"/>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EFB4EFD">
            <w:pPr>
              <w:jc w:val="center"/>
              <w:rPr>
                <w:rFonts w:hint="eastAsia" w:ascii="宋体" w:hAnsi="宋体" w:eastAsia="宋体" w:cs="宋体"/>
                <w:color w:val="000000" w:themeColor="text1"/>
                <w:sz w:val="22"/>
                <w14:textFill>
                  <w14:solidFill>
                    <w14:schemeClr w14:val="tx1"/>
                  </w14:solidFill>
                </w14:textFill>
              </w:rPr>
            </w:pPr>
          </w:p>
        </w:tc>
      </w:tr>
      <w:tr w14:paraId="0E4AC46E">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E5D2C2">
            <w:pPr>
              <w:jc w:val="center"/>
              <w:rPr>
                <w:rFonts w:hint="eastAsia" w:ascii="宋体" w:hAnsi="宋体" w:eastAsia="宋体" w:cs="宋体"/>
                <w:color w:val="000000" w:themeColor="text1"/>
                <w:sz w:val="22"/>
                <w14:textFill>
                  <w14:solidFill>
                    <w14:schemeClr w14:val="tx1"/>
                  </w14:solidFill>
                </w14:textFill>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55D33FFB">
            <w:pPr>
              <w:jc w:val="center"/>
              <w:rPr>
                <w:rFonts w:hint="eastAsia"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4A626B">
            <w:pPr>
              <w:jc w:val="center"/>
              <w:rPr>
                <w:rFonts w:hint="eastAsia"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54AE5B5E">
            <w:pPr>
              <w:jc w:val="center"/>
              <w:rPr>
                <w:rFonts w:hint="eastAsia" w:ascii="宋体" w:hAnsi="宋体" w:eastAsia="宋体" w:cs="宋体"/>
                <w:color w:val="000000" w:themeColor="text1"/>
                <w:sz w:val="22"/>
                <w14:textFill>
                  <w14:solidFill>
                    <w14:schemeClr w14:val="tx1"/>
                  </w14:solidFill>
                </w14:textFill>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3FF3FD57">
            <w:pPr>
              <w:jc w:val="center"/>
              <w:rPr>
                <w:rFonts w:hint="eastAsia" w:ascii="宋体" w:hAnsi="宋体" w:eastAsia="宋体" w:cs="宋体"/>
                <w:color w:val="000000" w:themeColor="text1"/>
                <w:sz w:val="22"/>
                <w14:textFill>
                  <w14:solidFill>
                    <w14:schemeClr w14:val="tx1"/>
                  </w14:solidFill>
                </w14:textFill>
              </w:rPr>
            </w:pPr>
          </w:p>
        </w:tc>
      </w:tr>
      <w:tr w14:paraId="6311B8BE">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5E70EC">
            <w:pPr>
              <w:jc w:val="center"/>
              <w:rPr>
                <w:rFonts w:hint="eastAsia" w:ascii="宋体" w:hAnsi="宋体" w:eastAsia="宋体" w:cs="宋体"/>
                <w:color w:val="000000" w:themeColor="text1"/>
                <w:sz w:val="22"/>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731EFA14">
            <w:pPr>
              <w:jc w:val="center"/>
              <w:rPr>
                <w:rFonts w:hint="eastAsia"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66CC422">
            <w:pPr>
              <w:jc w:val="center"/>
              <w:rPr>
                <w:rFonts w:hint="eastAsia"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5AD115D">
            <w:pPr>
              <w:jc w:val="center"/>
              <w:rPr>
                <w:rFonts w:hint="eastAsia" w:ascii="宋体" w:hAnsi="宋体" w:eastAsia="宋体" w:cs="宋体"/>
                <w:color w:val="000000" w:themeColor="text1"/>
                <w:sz w:val="22"/>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B7FDB6D">
            <w:pPr>
              <w:jc w:val="center"/>
              <w:rPr>
                <w:rFonts w:hint="eastAsia" w:ascii="宋体" w:hAnsi="宋体" w:eastAsia="宋体" w:cs="宋体"/>
                <w:color w:val="000000" w:themeColor="text1"/>
                <w:sz w:val="22"/>
                <w14:textFill>
                  <w14:solidFill>
                    <w14:schemeClr w14:val="tx1"/>
                  </w14:solidFill>
                </w14:textFill>
              </w:rPr>
            </w:pPr>
          </w:p>
        </w:tc>
      </w:tr>
      <w:tr w14:paraId="69509571">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E92A30">
            <w:pPr>
              <w:jc w:val="center"/>
              <w:rPr>
                <w:rFonts w:hint="eastAsia" w:ascii="宋体" w:hAnsi="宋体" w:eastAsia="宋体" w:cs="宋体"/>
                <w:color w:val="000000" w:themeColor="text1"/>
                <w:sz w:val="22"/>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4104531F">
            <w:pPr>
              <w:jc w:val="center"/>
              <w:rPr>
                <w:rFonts w:hint="eastAsia"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DF5A460">
            <w:pPr>
              <w:jc w:val="center"/>
              <w:rPr>
                <w:rFonts w:hint="eastAsia"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3AFE818">
            <w:pPr>
              <w:jc w:val="center"/>
              <w:rPr>
                <w:rFonts w:hint="eastAsia" w:ascii="宋体" w:hAnsi="宋体" w:eastAsia="宋体" w:cs="宋体"/>
                <w:color w:val="000000" w:themeColor="text1"/>
                <w:sz w:val="22"/>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E67A5CD">
            <w:pPr>
              <w:jc w:val="center"/>
              <w:rPr>
                <w:rFonts w:hint="eastAsia" w:ascii="宋体" w:hAnsi="宋体" w:eastAsia="宋体" w:cs="宋体"/>
                <w:color w:val="000000" w:themeColor="text1"/>
                <w:sz w:val="22"/>
                <w14:textFill>
                  <w14:solidFill>
                    <w14:schemeClr w14:val="tx1"/>
                  </w14:solidFill>
                </w14:textFill>
              </w:rPr>
            </w:pPr>
          </w:p>
        </w:tc>
      </w:tr>
      <w:tr w14:paraId="79F4C357">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820683">
            <w:pPr>
              <w:jc w:val="center"/>
              <w:rPr>
                <w:rFonts w:hint="eastAsia" w:ascii="宋体" w:hAnsi="宋体" w:eastAsia="宋体" w:cs="宋体"/>
                <w:color w:val="000000" w:themeColor="text1"/>
                <w:sz w:val="22"/>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3E40B019">
            <w:pPr>
              <w:jc w:val="center"/>
              <w:rPr>
                <w:rFonts w:hint="eastAsia"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2B0871F">
            <w:pPr>
              <w:jc w:val="center"/>
              <w:rPr>
                <w:rFonts w:hint="eastAsia"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93C9A82">
            <w:pPr>
              <w:jc w:val="center"/>
              <w:rPr>
                <w:rFonts w:hint="eastAsia" w:ascii="宋体" w:hAnsi="宋体" w:eastAsia="宋体" w:cs="宋体"/>
                <w:color w:val="000000" w:themeColor="text1"/>
                <w:sz w:val="22"/>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5005CCC">
            <w:pPr>
              <w:jc w:val="center"/>
              <w:rPr>
                <w:rFonts w:hint="eastAsia" w:ascii="宋体" w:hAnsi="宋体" w:eastAsia="宋体" w:cs="宋体"/>
                <w:color w:val="000000" w:themeColor="text1"/>
                <w:sz w:val="22"/>
                <w14:textFill>
                  <w14:solidFill>
                    <w14:schemeClr w14:val="tx1"/>
                  </w14:solidFill>
                </w14:textFill>
              </w:rPr>
            </w:pPr>
          </w:p>
        </w:tc>
      </w:tr>
      <w:tr w14:paraId="28C6FBD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F6DA84">
            <w:pPr>
              <w:jc w:val="center"/>
              <w:rPr>
                <w:rFonts w:hint="eastAsia" w:ascii="宋体" w:hAnsi="宋体" w:eastAsia="宋体" w:cs="宋体"/>
                <w:color w:val="000000" w:themeColor="text1"/>
                <w:sz w:val="22"/>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4229C1CF">
            <w:pPr>
              <w:jc w:val="center"/>
              <w:rPr>
                <w:rFonts w:hint="eastAsia"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6FD0374">
            <w:pPr>
              <w:jc w:val="center"/>
              <w:rPr>
                <w:rFonts w:hint="eastAsia"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37A7080">
            <w:pPr>
              <w:jc w:val="center"/>
              <w:rPr>
                <w:rFonts w:hint="eastAsia" w:ascii="宋体" w:hAnsi="宋体" w:eastAsia="宋体" w:cs="宋体"/>
                <w:color w:val="000000" w:themeColor="text1"/>
                <w:sz w:val="22"/>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B3AC5E7">
            <w:pPr>
              <w:jc w:val="center"/>
              <w:rPr>
                <w:rFonts w:hint="eastAsia" w:ascii="宋体" w:hAnsi="宋体" w:eastAsia="宋体" w:cs="宋体"/>
                <w:color w:val="000000" w:themeColor="text1"/>
                <w:sz w:val="22"/>
                <w14:textFill>
                  <w14:solidFill>
                    <w14:schemeClr w14:val="tx1"/>
                  </w14:solidFill>
                </w14:textFill>
              </w:rPr>
            </w:pPr>
          </w:p>
        </w:tc>
      </w:tr>
      <w:tr w14:paraId="07008201">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4B96264">
            <w:pPr>
              <w:jc w:val="center"/>
              <w:rPr>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总价（人民币大写）：￥</w:t>
            </w:r>
            <w:r>
              <w:rPr>
                <w:rFonts w:ascii="Times New Roman" w:hAnsi="Times New Roman" w:eastAsia="Times New Roman" w:cs="Times New Roman"/>
                <w:color w:val="000000" w:themeColor="text1"/>
                <w:sz w:val="24"/>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元</w:t>
            </w:r>
          </w:p>
        </w:tc>
      </w:tr>
    </w:tbl>
    <w:p w14:paraId="39881497">
      <w:pPr>
        <w:jc w:val="center"/>
        <w:rPr>
          <w:rFonts w:ascii="Times New Roman" w:hAnsi="Times New Roman" w:eastAsia="Times New Roman" w:cs="Times New Roman"/>
          <w:color w:val="000000" w:themeColor="text1"/>
          <w:sz w:val="24"/>
          <w14:textFill>
            <w14:solidFill>
              <w14:schemeClr w14:val="tx1"/>
            </w14:solidFill>
          </w14:textFill>
        </w:rPr>
      </w:pPr>
    </w:p>
    <w:p w14:paraId="348AAF7C">
      <w:pPr>
        <w:jc w:val="center"/>
        <w:rPr>
          <w:rFonts w:ascii="Times New Roman" w:hAnsi="Times New Roman" w:eastAsia="Times New Roman" w:cs="Times New Roman"/>
          <w:color w:val="000000" w:themeColor="text1"/>
          <w:sz w:val="24"/>
          <w14:textFill>
            <w14:solidFill>
              <w14:schemeClr w14:val="tx1"/>
            </w14:solidFill>
          </w14:textFill>
        </w:rPr>
      </w:pPr>
    </w:p>
    <w:p w14:paraId="477AFE97">
      <w:pPr>
        <w:jc w:val="center"/>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谈判供应商代表签字：谈判供应商公章日期：</w:t>
      </w:r>
    </w:p>
    <w:p w14:paraId="5485B8D3">
      <w:pPr>
        <w:spacing w:line="360" w:lineRule="auto"/>
        <w:jc w:val="center"/>
        <w:rPr>
          <w:rFonts w:hint="eastAsia" w:ascii="宋体" w:hAnsi="宋体" w:eastAsia="宋体" w:cs="宋体"/>
          <w:b/>
          <w:color w:val="000000" w:themeColor="text1"/>
          <w:sz w:val="24"/>
          <w14:textFill>
            <w14:solidFill>
              <w14:schemeClr w14:val="tx1"/>
            </w14:solidFill>
          </w14:textFill>
        </w:rPr>
      </w:pPr>
    </w:p>
    <w:p w14:paraId="29106BEB">
      <w:pPr>
        <w:spacing w:line="360" w:lineRule="auto"/>
        <w:jc w:val="center"/>
        <w:rPr>
          <w:rFonts w:hint="eastAsia" w:ascii="宋体" w:hAnsi="宋体" w:eastAsia="宋体" w:cs="宋体"/>
          <w:b/>
          <w:color w:val="000000" w:themeColor="text1"/>
          <w:sz w:val="24"/>
          <w14:textFill>
            <w14:solidFill>
              <w14:schemeClr w14:val="tx1"/>
            </w14:solidFill>
          </w14:textFill>
        </w:rPr>
      </w:pPr>
    </w:p>
    <w:p w14:paraId="7608D41C">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4BBE29C9">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5955E859">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4FBF807D">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00B1134E">
      <w:pPr>
        <w:ind w:firstLine="210"/>
        <w:jc w:val="left"/>
        <w:rPr>
          <w:rFonts w:ascii="Times New Roman" w:hAnsi="Times New Roman" w:cs="Times New Roman"/>
          <w:color w:val="000000" w:themeColor="text1"/>
          <w:sz w:val="22"/>
          <w14:textFill>
            <w14:solidFill>
              <w14:schemeClr w14:val="tx1"/>
            </w14:solidFill>
          </w14:textFill>
        </w:rPr>
      </w:pPr>
    </w:p>
    <w:p w14:paraId="243E4D49">
      <w:pPr>
        <w:pStyle w:val="2"/>
        <w:ind w:firstLine="210"/>
        <w:rPr>
          <w:color w:val="000000" w:themeColor="text1"/>
          <w14:textFill>
            <w14:solidFill>
              <w14:schemeClr w14:val="tx1"/>
            </w14:solidFill>
          </w14:textFill>
        </w:rPr>
      </w:pPr>
    </w:p>
    <w:p w14:paraId="0527BAF9">
      <w:pPr>
        <w:pStyle w:val="2"/>
        <w:ind w:firstLine="210"/>
        <w:rPr>
          <w:color w:val="000000" w:themeColor="text1"/>
          <w14:textFill>
            <w14:solidFill>
              <w14:schemeClr w14:val="tx1"/>
            </w14:solidFill>
          </w14:textFill>
        </w:rPr>
      </w:pPr>
    </w:p>
    <w:p w14:paraId="603C8C14">
      <w:pPr>
        <w:pStyle w:val="2"/>
        <w:ind w:firstLine="210"/>
        <w:rPr>
          <w:color w:val="000000" w:themeColor="text1"/>
          <w14:textFill>
            <w14:solidFill>
              <w14:schemeClr w14:val="tx1"/>
            </w14:solidFill>
          </w14:textFill>
        </w:rPr>
      </w:pPr>
    </w:p>
    <w:p w14:paraId="0DD6C481">
      <w:pPr>
        <w:pStyle w:val="2"/>
        <w:ind w:firstLine="210"/>
        <w:rPr>
          <w:color w:val="000000" w:themeColor="text1"/>
          <w14:textFill>
            <w14:solidFill>
              <w14:schemeClr w14:val="tx1"/>
            </w14:solidFill>
          </w14:textFill>
        </w:rPr>
      </w:pPr>
    </w:p>
    <w:p w14:paraId="033D53F2">
      <w:pPr>
        <w:pStyle w:val="2"/>
        <w:ind w:firstLine="210"/>
        <w:rPr>
          <w:color w:val="000000" w:themeColor="text1"/>
          <w14:textFill>
            <w14:solidFill>
              <w14:schemeClr w14:val="tx1"/>
            </w14:solidFill>
          </w14:textFill>
        </w:rPr>
      </w:pPr>
    </w:p>
    <w:p w14:paraId="62CA1E8A">
      <w:pPr>
        <w:pStyle w:val="2"/>
        <w:ind w:firstLine="210"/>
        <w:rPr>
          <w:color w:val="000000" w:themeColor="text1"/>
          <w14:textFill>
            <w14:solidFill>
              <w14:schemeClr w14:val="tx1"/>
            </w14:solidFill>
          </w14:textFill>
        </w:rPr>
      </w:pPr>
    </w:p>
    <w:p w14:paraId="7F0273BD">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1C1F282D">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72550C67">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43C9C540">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2EA10F94">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73DF66BF">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5C75A040">
      <w:pPr>
        <w:spacing w:line="360" w:lineRule="auto"/>
        <w:jc w:val="left"/>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格式6                     </w:t>
      </w:r>
      <w:r>
        <w:rPr>
          <w:rFonts w:ascii="宋体" w:hAnsi="宋体" w:eastAsia="宋体" w:cs="宋体"/>
          <w:b/>
          <w:color w:val="000000" w:themeColor="text1"/>
          <w:sz w:val="24"/>
          <w14:textFill>
            <w14:solidFill>
              <w14:schemeClr w14:val="tx1"/>
            </w14:solidFill>
          </w14:textFill>
        </w:rPr>
        <w:t>技术参数响应表</w:t>
      </w:r>
    </w:p>
    <w:p w14:paraId="2791A2A0">
      <w:pPr>
        <w:rPr>
          <w:rFonts w:hint="eastAsia" w:ascii="宋体" w:hAnsi="宋体" w:eastAsia="宋体" w:cs="宋体"/>
          <w:color w:val="000000" w:themeColor="text1"/>
          <w:sz w:val="24"/>
          <w14:textFill>
            <w14:solidFill>
              <w14:schemeClr w14:val="tx1"/>
            </w14:solidFill>
          </w14:textFill>
        </w:rPr>
      </w:pPr>
    </w:p>
    <w:p w14:paraId="191892C5">
      <w:pPr>
        <w:rPr>
          <w:rFonts w:hint="eastAsia" w:ascii="宋体" w:hAnsi="宋体" w:eastAsia="宋体" w:cs="宋体"/>
          <w:color w:val="000000" w:themeColor="text1"/>
          <w:sz w:val="24"/>
          <w14:textFill>
            <w14:solidFill>
              <w14:schemeClr w14:val="tx1"/>
            </w14:solidFill>
          </w14:textFill>
        </w:rPr>
      </w:pPr>
    </w:p>
    <w:tbl>
      <w:tblPr>
        <w:tblStyle w:val="8"/>
        <w:tblW w:w="0" w:type="auto"/>
        <w:tblInd w:w="0" w:type="dxa"/>
        <w:tblLayout w:type="autofit"/>
        <w:tblCellMar>
          <w:top w:w="0" w:type="dxa"/>
          <w:left w:w="10" w:type="dxa"/>
          <w:bottom w:w="0" w:type="dxa"/>
          <w:right w:w="10" w:type="dxa"/>
        </w:tblCellMar>
      </w:tblPr>
      <w:tblGrid>
        <w:gridCol w:w="701"/>
        <w:gridCol w:w="700"/>
        <w:gridCol w:w="3231"/>
        <w:gridCol w:w="2629"/>
        <w:gridCol w:w="1261"/>
      </w:tblGrid>
      <w:tr w14:paraId="64F0DFD1">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C33D59">
            <w:pPr>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155880">
            <w:pPr>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按投标人所投内容填写</w:t>
            </w:r>
          </w:p>
        </w:tc>
      </w:tr>
      <w:tr w14:paraId="228A43F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C75369">
            <w:pPr>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D79EA4">
            <w:pPr>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EDB598">
            <w:pPr>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5C7503">
            <w:pPr>
              <w:jc w:val="center"/>
              <w:rPr>
                <w:rFonts w:hint="eastAsia" w:ascii="宋体" w:hAnsi="宋体" w:eastAsia="宋体" w:cs="宋体"/>
                <w:b/>
                <w:bCs/>
                <w:color w:val="000000" w:themeColor="text1"/>
                <w14:textFill>
                  <w14:solidFill>
                    <w14:schemeClr w14:val="tx1"/>
                  </w14:solidFill>
                </w14:textFill>
              </w:rPr>
            </w:pPr>
            <w:r>
              <w:rPr>
                <w:rFonts w:ascii="宋体" w:hAnsi="宋体" w:eastAsia="宋体" w:cs="宋体"/>
                <w:b/>
                <w:bCs/>
                <w:color w:val="000000" w:themeColor="text1"/>
                <w:sz w:val="24"/>
                <w14:textFill>
                  <w14:solidFill>
                    <w14:schemeClr w14:val="tx1"/>
                  </w14:solidFill>
                </w14:textFill>
              </w:rPr>
              <w:t>响应文件</w:t>
            </w:r>
            <w:r>
              <w:rPr>
                <w:rFonts w:hint="eastAsia" w:ascii="宋体" w:hAnsi="宋体" w:eastAsia="宋体" w:cs="宋体"/>
                <w:b/>
                <w:bCs/>
                <w:color w:val="000000" w:themeColor="text1"/>
                <w:sz w:val="24"/>
                <w14:textFill>
                  <w14:solidFill>
                    <w14:schemeClr w14:val="tx1"/>
                  </w14:solidFill>
                </w14:textFill>
              </w:rPr>
              <w:t>（品牌型号）</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01EA67">
            <w:pPr>
              <w:jc w:val="center"/>
              <w:rPr>
                <w:rFonts w:hint="eastAsia" w:ascii="宋体" w:hAnsi="宋体" w:eastAsia="宋体" w:cs="宋体"/>
                <w:b/>
                <w:bCs/>
                <w:color w:val="000000" w:themeColor="text1"/>
                <w14:textFill>
                  <w14:solidFill>
                    <w14:schemeClr w14:val="tx1"/>
                  </w14:solidFill>
                </w14:textFill>
              </w:rPr>
            </w:pPr>
            <w:r>
              <w:rPr>
                <w:rFonts w:ascii="宋体" w:hAnsi="宋体" w:eastAsia="宋体" w:cs="宋体"/>
                <w:b/>
                <w:bCs/>
                <w:color w:val="000000" w:themeColor="text1"/>
                <w:sz w:val="24"/>
                <w14:textFill>
                  <w14:solidFill>
                    <w14:schemeClr w14:val="tx1"/>
                  </w14:solidFill>
                </w14:textFill>
              </w:rPr>
              <w:t>偏离说明</w:t>
            </w:r>
          </w:p>
        </w:tc>
      </w:tr>
      <w:tr w14:paraId="76ECF272">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5F2132">
            <w:pPr>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893E4D">
            <w:pPr>
              <w:jc w:val="left"/>
              <w:rPr>
                <w:rFonts w:hint="eastAsia" w:ascii="宋体" w:hAnsi="宋体" w:eastAsia="宋体" w:cs="宋体"/>
                <w:color w:val="000000" w:themeColor="text1"/>
                <w:sz w:val="22"/>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D27E038">
            <w:pPr>
              <w:rPr>
                <w:rFonts w:hint="eastAsia" w:ascii="宋体" w:hAnsi="宋体" w:eastAsia="宋体" w:cs="宋体"/>
                <w:color w:val="000000" w:themeColor="text1"/>
                <w:sz w:val="22"/>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D1B2CA">
            <w:pPr>
              <w:rPr>
                <w:rFonts w:hint="eastAsia" w:ascii="宋体" w:hAnsi="宋体" w:eastAsia="宋体" w:cs="宋体"/>
                <w:color w:val="000000" w:themeColor="text1"/>
                <w:sz w:val="22"/>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C4BF54">
            <w:pPr>
              <w:jc w:val="center"/>
              <w:rPr>
                <w:rFonts w:hint="eastAsia" w:ascii="宋体" w:hAnsi="宋体" w:eastAsia="宋体" w:cs="宋体"/>
                <w:color w:val="000000" w:themeColor="text1"/>
                <w:sz w:val="22"/>
                <w14:textFill>
                  <w14:solidFill>
                    <w14:schemeClr w14:val="tx1"/>
                  </w14:solidFill>
                </w14:textFill>
              </w:rPr>
            </w:pPr>
          </w:p>
        </w:tc>
      </w:tr>
      <w:tr w14:paraId="178543C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1E060F">
            <w:pPr>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DB5706">
            <w:pPr>
              <w:jc w:val="center"/>
              <w:rPr>
                <w:rFonts w:hint="eastAsia" w:ascii="宋体" w:hAnsi="宋体" w:eastAsia="宋体" w:cs="宋体"/>
                <w:color w:val="000000" w:themeColor="text1"/>
                <w:sz w:val="22"/>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A65878">
            <w:pPr>
              <w:ind w:left="240" w:hanging="240"/>
              <w:jc w:val="left"/>
              <w:rPr>
                <w:rFonts w:hint="eastAsia" w:ascii="宋体" w:hAnsi="宋体" w:eastAsia="宋体" w:cs="宋体"/>
                <w:color w:val="000000" w:themeColor="text1"/>
                <w:sz w:val="22"/>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9CE4E2">
            <w:pPr>
              <w:ind w:left="240" w:hanging="240"/>
              <w:jc w:val="left"/>
              <w:rPr>
                <w:rFonts w:hint="eastAsia" w:ascii="宋体" w:hAnsi="宋体" w:eastAsia="宋体" w:cs="宋体"/>
                <w:color w:val="000000" w:themeColor="text1"/>
                <w:sz w:val="22"/>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05A484">
            <w:pPr>
              <w:jc w:val="center"/>
              <w:rPr>
                <w:rFonts w:hint="eastAsia" w:ascii="宋体" w:hAnsi="宋体" w:eastAsia="宋体" w:cs="宋体"/>
                <w:color w:val="000000" w:themeColor="text1"/>
                <w:sz w:val="22"/>
                <w14:textFill>
                  <w14:solidFill>
                    <w14:schemeClr w14:val="tx1"/>
                  </w14:solidFill>
                </w14:textFill>
              </w:rPr>
            </w:pPr>
          </w:p>
        </w:tc>
      </w:tr>
      <w:tr w14:paraId="69947BFC">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870662">
            <w:pPr>
              <w:jc w:val="center"/>
              <w:rPr>
                <w:rFonts w:hint="eastAsia" w:ascii="宋体" w:hAnsi="宋体" w:eastAsia="宋体" w:cs="宋体"/>
                <w:color w:val="000000" w:themeColor="text1"/>
                <w:sz w:val="22"/>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0CC18E">
            <w:pPr>
              <w:jc w:val="center"/>
              <w:rPr>
                <w:rFonts w:hint="eastAsia" w:ascii="宋体" w:hAnsi="宋体" w:eastAsia="宋体" w:cs="宋体"/>
                <w:color w:val="000000" w:themeColor="text1"/>
                <w:sz w:val="22"/>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6A4A69">
            <w:pPr>
              <w:ind w:left="240" w:hanging="240"/>
              <w:jc w:val="left"/>
              <w:rPr>
                <w:rFonts w:hint="eastAsia" w:ascii="宋体" w:hAnsi="宋体" w:eastAsia="宋体" w:cs="宋体"/>
                <w:color w:val="000000" w:themeColor="text1"/>
                <w:sz w:val="22"/>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B59893">
            <w:pPr>
              <w:ind w:left="240" w:hanging="240"/>
              <w:jc w:val="left"/>
              <w:rPr>
                <w:rFonts w:hint="eastAsia" w:ascii="宋体" w:hAnsi="宋体" w:eastAsia="宋体" w:cs="宋体"/>
                <w:color w:val="000000" w:themeColor="text1"/>
                <w:sz w:val="22"/>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AB381C">
            <w:pPr>
              <w:jc w:val="center"/>
              <w:rPr>
                <w:rFonts w:hint="eastAsia" w:ascii="宋体" w:hAnsi="宋体" w:eastAsia="宋体" w:cs="宋体"/>
                <w:color w:val="000000" w:themeColor="text1"/>
                <w:sz w:val="22"/>
                <w14:textFill>
                  <w14:solidFill>
                    <w14:schemeClr w14:val="tx1"/>
                  </w14:solidFill>
                </w14:textFill>
              </w:rPr>
            </w:pPr>
          </w:p>
        </w:tc>
      </w:tr>
      <w:tr w14:paraId="74E1D8F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656F62">
            <w:pPr>
              <w:jc w:val="center"/>
              <w:rPr>
                <w:rFonts w:hint="eastAsia" w:ascii="宋体" w:hAnsi="宋体" w:eastAsia="宋体" w:cs="宋体"/>
                <w:color w:val="000000" w:themeColor="text1"/>
                <w:sz w:val="22"/>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6EA73E">
            <w:pPr>
              <w:jc w:val="center"/>
              <w:rPr>
                <w:rFonts w:hint="eastAsia" w:ascii="宋体" w:hAnsi="宋体" w:eastAsia="宋体" w:cs="宋体"/>
                <w:color w:val="000000" w:themeColor="text1"/>
                <w:sz w:val="22"/>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12C88D">
            <w:pPr>
              <w:ind w:left="240" w:hanging="240"/>
              <w:jc w:val="left"/>
              <w:rPr>
                <w:rFonts w:hint="eastAsia" w:ascii="宋体" w:hAnsi="宋体" w:eastAsia="宋体" w:cs="宋体"/>
                <w:color w:val="000000" w:themeColor="text1"/>
                <w:sz w:val="22"/>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A46E9D">
            <w:pPr>
              <w:ind w:left="240" w:hanging="240"/>
              <w:jc w:val="left"/>
              <w:rPr>
                <w:rFonts w:hint="eastAsia" w:ascii="宋体" w:hAnsi="宋体" w:eastAsia="宋体" w:cs="宋体"/>
                <w:color w:val="000000" w:themeColor="text1"/>
                <w:sz w:val="22"/>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344903">
            <w:pPr>
              <w:jc w:val="center"/>
              <w:rPr>
                <w:rFonts w:hint="eastAsia" w:ascii="宋体" w:hAnsi="宋体" w:eastAsia="宋体" w:cs="宋体"/>
                <w:color w:val="000000" w:themeColor="text1"/>
                <w:sz w:val="22"/>
                <w14:textFill>
                  <w14:solidFill>
                    <w14:schemeClr w14:val="tx1"/>
                  </w14:solidFill>
                </w14:textFill>
              </w:rPr>
            </w:pPr>
          </w:p>
        </w:tc>
      </w:tr>
      <w:tr w14:paraId="7AB956E0">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4D9CFB">
            <w:pPr>
              <w:jc w:val="center"/>
              <w:rPr>
                <w:rFonts w:hint="eastAsia" w:ascii="宋体" w:hAnsi="宋体" w:eastAsia="宋体" w:cs="宋体"/>
                <w:color w:val="000000" w:themeColor="text1"/>
                <w:sz w:val="22"/>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8BF877">
            <w:pPr>
              <w:jc w:val="center"/>
              <w:rPr>
                <w:rFonts w:hint="eastAsia" w:ascii="宋体" w:hAnsi="宋体" w:eastAsia="宋体" w:cs="宋体"/>
                <w:color w:val="000000" w:themeColor="text1"/>
                <w:sz w:val="22"/>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C7B84E">
            <w:pPr>
              <w:ind w:left="240" w:hanging="240"/>
              <w:jc w:val="left"/>
              <w:rPr>
                <w:rFonts w:hint="eastAsia" w:ascii="宋体" w:hAnsi="宋体" w:eastAsia="宋体" w:cs="宋体"/>
                <w:color w:val="000000" w:themeColor="text1"/>
                <w:sz w:val="22"/>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F688B0">
            <w:pPr>
              <w:ind w:left="240" w:hanging="240"/>
              <w:jc w:val="left"/>
              <w:rPr>
                <w:rFonts w:hint="eastAsia" w:ascii="宋体" w:hAnsi="宋体" w:eastAsia="宋体" w:cs="宋体"/>
                <w:color w:val="000000" w:themeColor="text1"/>
                <w:sz w:val="22"/>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E6A7A0">
            <w:pPr>
              <w:jc w:val="center"/>
              <w:rPr>
                <w:rFonts w:hint="eastAsia" w:ascii="宋体" w:hAnsi="宋体" w:eastAsia="宋体" w:cs="宋体"/>
                <w:color w:val="000000" w:themeColor="text1"/>
                <w:sz w:val="22"/>
                <w14:textFill>
                  <w14:solidFill>
                    <w14:schemeClr w14:val="tx1"/>
                  </w14:solidFill>
                </w14:textFill>
              </w:rPr>
            </w:pPr>
          </w:p>
        </w:tc>
      </w:tr>
      <w:tr w14:paraId="77B242F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46C098">
            <w:pPr>
              <w:jc w:val="center"/>
              <w:rPr>
                <w:rFonts w:hint="eastAsia" w:ascii="宋体" w:hAnsi="宋体" w:eastAsia="宋体" w:cs="宋体"/>
                <w:color w:val="000000" w:themeColor="text1"/>
                <w:sz w:val="22"/>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574C61">
            <w:pPr>
              <w:jc w:val="center"/>
              <w:rPr>
                <w:rFonts w:hint="eastAsia" w:ascii="宋体" w:hAnsi="宋体" w:eastAsia="宋体" w:cs="宋体"/>
                <w:color w:val="000000" w:themeColor="text1"/>
                <w:sz w:val="22"/>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19F1D0">
            <w:pPr>
              <w:ind w:left="240" w:hanging="240"/>
              <w:jc w:val="left"/>
              <w:rPr>
                <w:rFonts w:hint="eastAsia" w:ascii="宋体" w:hAnsi="宋体" w:eastAsia="宋体" w:cs="宋体"/>
                <w:color w:val="000000" w:themeColor="text1"/>
                <w:sz w:val="22"/>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5EAAD5">
            <w:pPr>
              <w:ind w:left="240" w:hanging="240"/>
              <w:jc w:val="left"/>
              <w:rPr>
                <w:rFonts w:hint="eastAsia" w:ascii="宋体" w:hAnsi="宋体" w:eastAsia="宋体" w:cs="宋体"/>
                <w:color w:val="000000" w:themeColor="text1"/>
                <w:sz w:val="22"/>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CC6101">
            <w:pPr>
              <w:jc w:val="center"/>
              <w:rPr>
                <w:rFonts w:hint="eastAsia" w:ascii="宋体" w:hAnsi="宋体" w:eastAsia="宋体" w:cs="宋体"/>
                <w:color w:val="000000" w:themeColor="text1"/>
                <w:sz w:val="22"/>
                <w14:textFill>
                  <w14:solidFill>
                    <w14:schemeClr w14:val="tx1"/>
                  </w14:solidFill>
                </w14:textFill>
              </w:rPr>
            </w:pPr>
          </w:p>
        </w:tc>
      </w:tr>
    </w:tbl>
    <w:p w14:paraId="0CC01B9C">
      <w:pPr>
        <w:rPr>
          <w:rFonts w:hint="eastAsia" w:ascii="宋体" w:hAnsi="宋体" w:eastAsia="宋体" w:cs="宋体"/>
          <w:color w:val="000000" w:themeColor="text1"/>
          <w:sz w:val="24"/>
          <w14:textFill>
            <w14:solidFill>
              <w14:schemeClr w14:val="tx1"/>
            </w14:solidFill>
          </w14:textFill>
        </w:rPr>
      </w:pPr>
    </w:p>
    <w:p w14:paraId="40EFD85C">
      <w:pPr>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(可根据需求自行更改)</w:t>
      </w:r>
    </w:p>
    <w:p w14:paraId="4C4C0D19">
      <w:pPr>
        <w:rPr>
          <w:rFonts w:hint="eastAsia" w:ascii="宋体" w:hAnsi="宋体" w:eastAsia="宋体" w:cs="宋体"/>
          <w:color w:val="000000" w:themeColor="text1"/>
          <w:sz w:val="24"/>
          <w14:textFill>
            <w14:solidFill>
              <w14:schemeClr w14:val="tx1"/>
            </w14:solidFill>
          </w14:textFill>
        </w:rPr>
      </w:pPr>
    </w:p>
    <w:p w14:paraId="1C9F6375">
      <w:pPr>
        <w:spacing w:line="360" w:lineRule="auto"/>
        <w:ind w:left="5250" w:firstLine="24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投标人电子公章：</w:t>
      </w:r>
    </w:p>
    <w:p w14:paraId="29B73E25">
      <w:pPr>
        <w:spacing w:line="360" w:lineRule="auto"/>
        <w:jc w:val="right"/>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年  月  日</w:t>
      </w:r>
    </w:p>
    <w:p w14:paraId="75D7E595">
      <w:pPr>
        <w:spacing w:line="360" w:lineRule="auto"/>
        <w:rPr>
          <w:rFonts w:hint="eastAsia" w:ascii="宋体" w:hAnsi="宋体" w:eastAsia="宋体" w:cs="宋体"/>
          <w:b/>
          <w:color w:val="000000" w:themeColor="text1"/>
          <w:sz w:val="24"/>
          <w14:textFill>
            <w14:solidFill>
              <w14:schemeClr w14:val="tx1"/>
            </w14:solidFill>
          </w14:textFill>
        </w:rPr>
      </w:pPr>
    </w:p>
    <w:p w14:paraId="768F84A7">
      <w:pPr>
        <w:spacing w:line="360" w:lineRule="auto"/>
        <w:rPr>
          <w:rFonts w:hint="eastAsia" w:ascii="宋体" w:hAnsi="宋体" w:eastAsia="宋体" w:cs="宋体"/>
          <w:b/>
          <w:color w:val="000000" w:themeColor="text1"/>
          <w:sz w:val="24"/>
          <w14:textFill>
            <w14:solidFill>
              <w14:schemeClr w14:val="tx1"/>
            </w14:solidFill>
          </w14:textFill>
        </w:rPr>
      </w:pPr>
    </w:p>
    <w:p w14:paraId="7AE100DC">
      <w:pPr>
        <w:spacing w:line="360" w:lineRule="auto"/>
        <w:rPr>
          <w:rFonts w:hint="eastAsia" w:ascii="宋体" w:hAnsi="宋体" w:eastAsia="宋体" w:cs="宋体"/>
          <w:b/>
          <w:color w:val="000000" w:themeColor="text1"/>
          <w:sz w:val="24"/>
          <w14:textFill>
            <w14:solidFill>
              <w14:schemeClr w14:val="tx1"/>
            </w14:solidFill>
          </w14:textFill>
        </w:rPr>
      </w:pPr>
    </w:p>
    <w:p w14:paraId="24EB046A">
      <w:pPr>
        <w:spacing w:line="360" w:lineRule="auto"/>
        <w:jc w:val="left"/>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格式7</w:t>
      </w:r>
    </w:p>
    <w:p w14:paraId="67152029">
      <w:pPr>
        <w:tabs>
          <w:tab w:val="left" w:pos="0"/>
          <w:tab w:val="left" w:pos="993"/>
          <w:tab w:val="left" w:pos="1134"/>
        </w:tabs>
        <w:ind w:firstLine="480"/>
        <w:rPr>
          <w:rFonts w:hint="eastAsia" w:ascii="宋体" w:hAnsi="宋体" w:eastAsia="宋体" w:cs="宋体"/>
          <w:color w:val="000000" w:themeColor="text1"/>
          <w:sz w:val="24"/>
          <w14:textFill>
            <w14:solidFill>
              <w14:schemeClr w14:val="tx1"/>
            </w14:solidFill>
          </w14:textFill>
        </w:rPr>
      </w:pPr>
    </w:p>
    <w:p w14:paraId="307FB3F1">
      <w:pPr>
        <w:spacing w:line="380" w:lineRule="auto"/>
        <w:jc w:val="center"/>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售后服务承诺</w:t>
      </w:r>
    </w:p>
    <w:p w14:paraId="2E26DF5F">
      <w:pPr>
        <w:spacing w:line="380" w:lineRule="auto"/>
        <w:jc w:val="center"/>
        <w:rPr>
          <w:rFonts w:hint="eastAsia" w:ascii="宋体" w:hAnsi="宋体" w:eastAsia="宋体" w:cs="宋体"/>
          <w:color w:val="000000" w:themeColor="text1"/>
          <w:sz w:val="24"/>
          <w14:textFill>
            <w14:solidFill>
              <w14:schemeClr w14:val="tx1"/>
            </w14:solidFill>
          </w14:textFill>
        </w:rPr>
      </w:pPr>
    </w:p>
    <w:p w14:paraId="2454098B">
      <w:pPr>
        <w:spacing w:line="380" w:lineRule="auto"/>
        <w:ind w:firstLine="360"/>
        <w:rPr>
          <w:rFonts w:hint="eastAsia" w:ascii="宋体" w:hAnsi="宋体" w:eastAsia="宋体" w:cs="宋体"/>
          <w:color w:val="000000" w:themeColor="text1"/>
          <w:sz w:val="24"/>
          <w14:textFill>
            <w14:solidFill>
              <w14:schemeClr w14:val="tx1"/>
            </w14:solidFill>
          </w14:textFill>
        </w:rPr>
      </w:pPr>
    </w:p>
    <w:p w14:paraId="46FEDEA8">
      <w:pPr>
        <w:rPr>
          <w:rFonts w:hint="eastAsia" w:ascii="宋体" w:hAnsi="宋体" w:eastAsia="宋体" w:cs="宋体"/>
          <w:color w:val="000000" w:themeColor="text1"/>
          <w:sz w:val="24"/>
          <w14:textFill>
            <w14:solidFill>
              <w14:schemeClr w14:val="tx1"/>
            </w14:solidFill>
          </w14:textFill>
        </w:rPr>
      </w:pPr>
    </w:p>
    <w:p w14:paraId="3AB09F9C">
      <w:pPr>
        <w:rPr>
          <w:rFonts w:hint="eastAsia" w:ascii="宋体" w:hAnsi="宋体" w:eastAsia="宋体" w:cs="宋体"/>
          <w:color w:val="000000" w:themeColor="text1"/>
          <w:sz w:val="24"/>
          <w14:textFill>
            <w14:solidFill>
              <w14:schemeClr w14:val="tx1"/>
            </w14:solidFill>
          </w14:textFill>
        </w:rPr>
      </w:pPr>
    </w:p>
    <w:p w14:paraId="24E7EF94">
      <w:pPr>
        <w:rPr>
          <w:rFonts w:hint="eastAsia" w:ascii="宋体" w:hAnsi="宋体" w:eastAsia="宋体" w:cs="宋体"/>
          <w:color w:val="000000" w:themeColor="text1"/>
          <w:sz w:val="24"/>
          <w14:textFill>
            <w14:solidFill>
              <w14:schemeClr w14:val="tx1"/>
            </w14:solidFill>
          </w14:textFill>
        </w:rPr>
      </w:pPr>
    </w:p>
    <w:p w14:paraId="70DEB450">
      <w:pPr>
        <w:rPr>
          <w:rFonts w:hint="eastAsia" w:ascii="宋体" w:hAnsi="宋体" w:eastAsia="宋体" w:cs="宋体"/>
          <w:color w:val="000000" w:themeColor="text1"/>
          <w:sz w:val="24"/>
          <w14:textFill>
            <w14:solidFill>
              <w14:schemeClr w14:val="tx1"/>
            </w14:solidFill>
          </w14:textFill>
        </w:rPr>
      </w:pPr>
    </w:p>
    <w:p w14:paraId="2AB86011">
      <w:pPr>
        <w:rPr>
          <w:rFonts w:hint="eastAsia" w:ascii="宋体" w:hAnsi="宋体" w:eastAsia="宋体" w:cs="宋体"/>
          <w:color w:val="000000" w:themeColor="text1"/>
          <w:sz w:val="24"/>
          <w14:textFill>
            <w14:solidFill>
              <w14:schemeClr w14:val="tx1"/>
            </w14:solidFill>
          </w14:textFill>
        </w:rPr>
      </w:pPr>
    </w:p>
    <w:p w14:paraId="7E4A4184">
      <w:pPr>
        <w:spacing w:line="380" w:lineRule="auto"/>
        <w:rPr>
          <w:rFonts w:hint="eastAsia" w:ascii="宋体" w:hAnsi="宋体" w:eastAsia="宋体" w:cs="宋体"/>
          <w:color w:val="000000" w:themeColor="text1"/>
          <w:sz w:val="24"/>
          <w14:textFill>
            <w14:solidFill>
              <w14:schemeClr w14:val="tx1"/>
            </w14:solidFill>
          </w14:textFill>
        </w:rPr>
      </w:pPr>
    </w:p>
    <w:p w14:paraId="01C060E3">
      <w:pPr>
        <w:spacing w:line="380" w:lineRule="auto"/>
        <w:ind w:firstLine="4008"/>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投标人电子公章：</w:t>
      </w:r>
    </w:p>
    <w:p w14:paraId="4C51A8B9">
      <w:pPr>
        <w:spacing w:line="380" w:lineRule="auto"/>
        <w:ind w:right="640" w:firstLine="1560"/>
        <w:rPr>
          <w:rFonts w:hint="eastAsia" w:ascii="宋体" w:hAnsi="宋体" w:eastAsia="宋体" w:cs="宋体"/>
          <w:color w:val="000000" w:themeColor="text1"/>
          <w:sz w:val="24"/>
          <w14:textFill>
            <w14:solidFill>
              <w14:schemeClr w14:val="tx1"/>
            </w14:solidFill>
          </w14:textFill>
        </w:rPr>
      </w:pPr>
    </w:p>
    <w:p w14:paraId="73C2AD41">
      <w:pPr>
        <w:spacing w:line="380" w:lineRule="auto"/>
        <w:ind w:right="640" w:firstLine="4680"/>
        <w:rPr>
          <w:rFonts w:hint="eastAsia" w:ascii="宋体" w:hAnsi="宋体" w:eastAsia="宋体" w:cs="宋体"/>
          <w:color w:val="000000" w:themeColor="text1"/>
          <w:sz w:val="24"/>
          <w14:textFill>
            <w14:solidFill>
              <w14:schemeClr w14:val="tx1"/>
            </w14:solidFill>
          </w14:textFill>
        </w:rPr>
      </w:pPr>
    </w:p>
    <w:p w14:paraId="0E7D849D">
      <w:pPr>
        <w:spacing w:line="380" w:lineRule="auto"/>
        <w:jc w:val="center"/>
        <w:rPr>
          <w:rFonts w:hint="eastAsia" w:ascii="宋体" w:hAnsi="宋体" w:eastAsia="宋体" w:cs="宋体"/>
          <w:color w:val="000000" w:themeColor="text1"/>
          <w:sz w:val="24"/>
          <w14:textFill>
            <w14:solidFill>
              <w14:schemeClr w14:val="tx1"/>
            </w14:solidFill>
          </w14:textFill>
        </w:rPr>
      </w:pPr>
    </w:p>
    <w:p w14:paraId="00552107">
      <w:pPr>
        <w:spacing w:line="380" w:lineRule="auto"/>
        <w:ind w:firstLine="360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年   月    日</w:t>
      </w:r>
    </w:p>
    <w:p w14:paraId="5CE0C08A">
      <w:pPr>
        <w:rPr>
          <w:color w:val="000000" w:themeColor="text1"/>
          <w14:textFill>
            <w14:solidFill>
              <w14:schemeClr w14:val="tx1"/>
            </w14:solidFill>
          </w14:textFill>
        </w:rPr>
      </w:pPr>
    </w:p>
    <w:p w14:paraId="3547546A">
      <w:pPr>
        <w:spacing w:line="360" w:lineRule="auto"/>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格式8</w:t>
      </w:r>
    </w:p>
    <w:p w14:paraId="0C7E260D">
      <w:pPr>
        <w:spacing w:line="360" w:lineRule="auto"/>
        <w:ind w:firstLine="16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合格供应商的声明函和承诺书</w:t>
      </w:r>
    </w:p>
    <w:p w14:paraId="5E867565">
      <w:pPr>
        <w:spacing w:line="360" w:lineRule="auto"/>
        <w:jc w:val="center"/>
        <w:rPr>
          <w:rFonts w:hint="eastAsia" w:ascii="宋体" w:hAnsi="宋体" w:eastAsia="宋体" w:cs="宋体"/>
          <w:b/>
          <w:color w:val="000000" w:themeColor="text1"/>
          <w:sz w:val="24"/>
          <w14:textFill>
            <w14:solidFill>
              <w14:schemeClr w14:val="tx1"/>
            </w14:solidFill>
          </w14:textFill>
        </w:rPr>
      </w:pPr>
    </w:p>
    <w:p w14:paraId="67529821">
      <w:pPr>
        <w:spacing w:line="360" w:lineRule="auto"/>
        <w:jc w:val="center"/>
        <w:rPr>
          <w:rFonts w:hint="eastAsia" w:ascii="宋体" w:hAnsi="宋体" w:eastAsia="宋体" w:cs="宋体"/>
          <w:b/>
          <w:color w:val="000000" w:themeColor="text1"/>
          <w:sz w:val="24"/>
          <w14:textFill>
            <w14:solidFill>
              <w14:schemeClr w14:val="tx1"/>
            </w14:solidFill>
          </w14:textFill>
        </w:rPr>
      </w:pPr>
    </w:p>
    <w:p w14:paraId="66A30E2A">
      <w:pPr>
        <w:spacing w:line="360" w:lineRule="auto"/>
        <w:jc w:val="center"/>
        <w:rPr>
          <w:rFonts w:hint="eastAsia" w:ascii="宋体" w:hAnsi="宋体" w:eastAsia="宋体" w:cs="宋体"/>
          <w:b/>
          <w:color w:val="000000" w:themeColor="text1"/>
          <w:sz w:val="24"/>
          <w14:textFill>
            <w14:solidFill>
              <w14:schemeClr w14:val="tx1"/>
            </w14:solidFill>
          </w14:textFill>
        </w:rPr>
      </w:pPr>
    </w:p>
    <w:p w14:paraId="18635BD8">
      <w:pPr>
        <w:spacing w:line="360" w:lineRule="auto"/>
        <w:jc w:val="center"/>
        <w:rPr>
          <w:rFonts w:hint="eastAsia" w:ascii="宋体" w:hAnsi="宋体" w:eastAsia="宋体" w:cs="宋体"/>
          <w:b/>
          <w:color w:val="000000" w:themeColor="text1"/>
          <w:sz w:val="24"/>
          <w14:textFill>
            <w14:solidFill>
              <w14:schemeClr w14:val="tx1"/>
            </w14:solidFill>
          </w14:textFill>
        </w:rPr>
      </w:pPr>
    </w:p>
    <w:p w14:paraId="36C7273D">
      <w:pPr>
        <w:spacing w:line="360" w:lineRule="auto"/>
        <w:jc w:val="center"/>
        <w:rPr>
          <w:rFonts w:hint="eastAsia" w:ascii="宋体" w:hAnsi="宋体" w:eastAsia="宋体" w:cs="宋体"/>
          <w:b/>
          <w:color w:val="000000" w:themeColor="text1"/>
          <w:sz w:val="24"/>
          <w14:textFill>
            <w14:solidFill>
              <w14:schemeClr w14:val="tx1"/>
            </w14:solidFill>
          </w14:textFill>
        </w:rPr>
      </w:pPr>
    </w:p>
    <w:p w14:paraId="11392ABA">
      <w:pPr>
        <w:spacing w:line="360" w:lineRule="auto"/>
        <w:jc w:val="center"/>
        <w:rPr>
          <w:rFonts w:hint="eastAsia" w:ascii="宋体" w:hAnsi="宋体" w:eastAsia="宋体" w:cs="宋体"/>
          <w:b/>
          <w:color w:val="000000" w:themeColor="text1"/>
          <w:sz w:val="24"/>
          <w14:textFill>
            <w14:solidFill>
              <w14:schemeClr w14:val="tx1"/>
            </w14:solidFill>
          </w14:textFill>
        </w:rPr>
      </w:pPr>
    </w:p>
    <w:p w14:paraId="5928D3B2">
      <w:pPr>
        <w:spacing w:line="360" w:lineRule="auto"/>
        <w:jc w:val="center"/>
        <w:rPr>
          <w:rFonts w:hint="eastAsia" w:ascii="宋体" w:hAnsi="宋体" w:eastAsia="宋体" w:cs="宋体"/>
          <w:b/>
          <w:color w:val="000000" w:themeColor="text1"/>
          <w:sz w:val="24"/>
          <w14:textFill>
            <w14:solidFill>
              <w14:schemeClr w14:val="tx1"/>
            </w14:solidFill>
          </w14:textFill>
        </w:rPr>
      </w:pPr>
    </w:p>
    <w:p w14:paraId="0E4E415D">
      <w:pPr>
        <w:pStyle w:val="11"/>
        <w:rPr>
          <w:color w:val="000000" w:themeColor="text1"/>
          <w14:textFill>
            <w14:solidFill>
              <w14:schemeClr w14:val="tx1"/>
            </w14:solidFill>
          </w14:textFill>
        </w:rPr>
      </w:pPr>
    </w:p>
    <w:p w14:paraId="6B2E3D43">
      <w:pPr>
        <w:spacing w:line="360" w:lineRule="auto"/>
        <w:jc w:val="center"/>
        <w:rPr>
          <w:rFonts w:hint="eastAsia" w:ascii="宋体" w:hAnsi="宋体" w:eastAsia="宋体" w:cs="宋体"/>
          <w:b/>
          <w:color w:val="000000" w:themeColor="text1"/>
          <w:sz w:val="24"/>
          <w14:textFill>
            <w14:solidFill>
              <w14:schemeClr w14:val="tx1"/>
            </w14:solidFill>
          </w14:textFill>
        </w:rPr>
      </w:pPr>
    </w:p>
    <w:p w14:paraId="67F1212F">
      <w:pPr>
        <w:spacing w:line="360" w:lineRule="auto"/>
        <w:jc w:val="center"/>
        <w:rPr>
          <w:rFonts w:hint="eastAsia" w:ascii="宋体" w:hAnsi="宋体" w:eastAsia="宋体" w:cs="宋体"/>
          <w:b/>
          <w:color w:val="000000" w:themeColor="text1"/>
          <w:sz w:val="24"/>
          <w14:textFill>
            <w14:solidFill>
              <w14:schemeClr w14:val="tx1"/>
            </w14:solidFill>
          </w14:textFill>
        </w:rPr>
      </w:pPr>
    </w:p>
    <w:p w14:paraId="2892ED01">
      <w:pPr>
        <w:spacing w:line="360" w:lineRule="auto"/>
        <w:jc w:val="center"/>
        <w:rPr>
          <w:rFonts w:hint="eastAsia" w:ascii="宋体" w:hAnsi="宋体" w:eastAsia="宋体" w:cs="宋体"/>
          <w:b/>
          <w:color w:val="000000" w:themeColor="text1"/>
          <w:sz w:val="24"/>
          <w14:textFill>
            <w14:solidFill>
              <w14:schemeClr w14:val="tx1"/>
            </w14:solidFill>
          </w14:textFill>
        </w:rPr>
      </w:pPr>
    </w:p>
    <w:p w14:paraId="279B0C8B">
      <w:pPr>
        <w:spacing w:line="360" w:lineRule="auto"/>
        <w:jc w:val="center"/>
        <w:rPr>
          <w:rFonts w:hint="eastAsia" w:ascii="宋体" w:hAnsi="宋体" w:eastAsia="宋体" w:cs="宋体"/>
          <w:b/>
          <w:color w:val="000000" w:themeColor="text1"/>
          <w:sz w:val="24"/>
          <w14:textFill>
            <w14:solidFill>
              <w14:schemeClr w14:val="tx1"/>
            </w14:solidFill>
          </w14:textFill>
        </w:rPr>
      </w:pPr>
    </w:p>
    <w:p w14:paraId="023CE76C">
      <w:pPr>
        <w:spacing w:line="360" w:lineRule="auto"/>
        <w:jc w:val="center"/>
        <w:rPr>
          <w:rFonts w:hint="eastAsia" w:ascii="宋体" w:hAnsi="宋体" w:eastAsia="宋体" w:cs="宋体"/>
          <w:b/>
          <w:color w:val="000000" w:themeColor="text1"/>
          <w:sz w:val="24"/>
          <w14:textFill>
            <w14:solidFill>
              <w14:schemeClr w14:val="tx1"/>
            </w14:solidFill>
          </w14:textFill>
        </w:rPr>
      </w:pPr>
    </w:p>
    <w:p w14:paraId="7586D32D">
      <w:pPr>
        <w:spacing w:line="360" w:lineRule="auto"/>
        <w:jc w:val="center"/>
        <w:rPr>
          <w:rFonts w:hint="eastAsia" w:ascii="宋体" w:hAnsi="宋体" w:eastAsia="宋体" w:cs="宋体"/>
          <w:b/>
          <w:color w:val="000000" w:themeColor="text1"/>
          <w:sz w:val="24"/>
          <w14:textFill>
            <w14:solidFill>
              <w14:schemeClr w14:val="tx1"/>
            </w14:solidFill>
          </w14:textFill>
        </w:rPr>
      </w:pPr>
    </w:p>
    <w:p w14:paraId="5060675A">
      <w:pPr>
        <w:spacing w:line="360" w:lineRule="auto"/>
        <w:jc w:val="center"/>
        <w:rPr>
          <w:rFonts w:hint="eastAsia" w:ascii="宋体" w:hAnsi="宋体" w:eastAsia="宋体" w:cs="宋体"/>
          <w:b/>
          <w:color w:val="000000" w:themeColor="text1"/>
          <w:sz w:val="24"/>
          <w14:textFill>
            <w14:solidFill>
              <w14:schemeClr w14:val="tx1"/>
            </w14:solidFill>
          </w14:textFill>
        </w:rPr>
      </w:pPr>
    </w:p>
    <w:p w14:paraId="1D69B7CC">
      <w:pPr>
        <w:spacing w:line="380" w:lineRule="auto"/>
        <w:ind w:firstLine="336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投标人电子公章：</w:t>
      </w:r>
    </w:p>
    <w:p w14:paraId="7BBCC740">
      <w:pPr>
        <w:spacing w:line="380" w:lineRule="auto"/>
        <w:ind w:right="640" w:firstLine="1560"/>
        <w:rPr>
          <w:rFonts w:hint="eastAsia" w:ascii="宋体" w:hAnsi="宋体" w:eastAsia="宋体" w:cs="宋体"/>
          <w:color w:val="000000" w:themeColor="text1"/>
          <w:sz w:val="24"/>
          <w14:textFill>
            <w14:solidFill>
              <w14:schemeClr w14:val="tx1"/>
            </w14:solidFill>
          </w14:textFill>
        </w:rPr>
      </w:pPr>
    </w:p>
    <w:p w14:paraId="1434E0A8">
      <w:pPr>
        <w:spacing w:line="360" w:lineRule="auto"/>
        <w:jc w:val="center"/>
        <w:rPr>
          <w:rFonts w:hint="eastAsia" w:ascii="宋体" w:hAnsi="宋体" w:eastAsia="宋体" w:cs="宋体"/>
          <w:b/>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年   月    日</w:t>
      </w:r>
    </w:p>
    <w:p w14:paraId="4B9B50FE">
      <w:pPr>
        <w:spacing w:line="360" w:lineRule="auto"/>
        <w:jc w:val="center"/>
        <w:rPr>
          <w:rFonts w:hint="eastAsia" w:ascii="宋体" w:hAnsi="宋体" w:eastAsia="宋体" w:cs="宋体"/>
          <w:b/>
          <w:color w:val="000000" w:themeColor="text1"/>
          <w:sz w:val="24"/>
          <w14:textFill>
            <w14:solidFill>
              <w14:schemeClr w14:val="tx1"/>
            </w14:solidFill>
          </w14:textFill>
        </w:rPr>
      </w:pPr>
    </w:p>
    <w:p w14:paraId="207EF073">
      <w:pPr>
        <w:pStyle w:val="11"/>
        <w:rPr>
          <w:rFonts w:hint="eastAsia" w:ascii="宋体" w:hAnsi="宋体" w:cs="宋体"/>
          <w:b/>
          <w:color w:val="000000" w:themeColor="text1"/>
          <w:sz w:val="24"/>
          <w14:textFill>
            <w14:solidFill>
              <w14:schemeClr w14:val="tx1"/>
            </w14:solidFill>
          </w14:textFill>
        </w:rPr>
      </w:pPr>
    </w:p>
    <w:p w14:paraId="40DB2CE4">
      <w:pPr>
        <w:pStyle w:val="4"/>
        <w:rPr>
          <w:rFonts w:hint="eastAsia" w:ascii="宋体" w:hAnsi="宋体" w:eastAsia="宋体" w:cs="宋体"/>
          <w:b/>
          <w:color w:val="000000" w:themeColor="text1"/>
          <w:sz w:val="24"/>
          <w14:textFill>
            <w14:solidFill>
              <w14:schemeClr w14:val="tx1"/>
            </w14:solidFill>
          </w14:textFill>
        </w:rPr>
      </w:pPr>
    </w:p>
    <w:p w14:paraId="3355FAC0">
      <w:pPr>
        <w:rPr>
          <w:rFonts w:hint="eastAsia" w:ascii="宋体" w:hAnsi="宋体" w:eastAsia="宋体" w:cs="宋体"/>
          <w:b/>
          <w:color w:val="000000" w:themeColor="text1"/>
          <w:sz w:val="24"/>
          <w14:textFill>
            <w14:solidFill>
              <w14:schemeClr w14:val="tx1"/>
            </w14:solidFill>
          </w14:textFill>
        </w:rPr>
      </w:pPr>
    </w:p>
    <w:p w14:paraId="04815C03">
      <w:pPr>
        <w:pStyle w:val="11"/>
        <w:rPr>
          <w:rFonts w:hint="eastAsia" w:ascii="宋体" w:hAnsi="宋体" w:cs="宋体"/>
          <w:b/>
          <w:color w:val="000000" w:themeColor="text1"/>
          <w:sz w:val="24"/>
          <w14:textFill>
            <w14:solidFill>
              <w14:schemeClr w14:val="tx1"/>
            </w14:solidFill>
          </w14:textFill>
        </w:rPr>
      </w:pPr>
    </w:p>
    <w:p w14:paraId="71B3A4C5">
      <w:pPr>
        <w:pStyle w:val="4"/>
        <w:rPr>
          <w:rFonts w:hint="eastAsia" w:ascii="宋体" w:hAnsi="宋体" w:eastAsia="宋体" w:cs="宋体"/>
          <w:b/>
          <w:color w:val="000000" w:themeColor="text1"/>
          <w:sz w:val="24"/>
          <w14:textFill>
            <w14:solidFill>
              <w14:schemeClr w14:val="tx1"/>
            </w14:solidFill>
          </w14:textFill>
        </w:rPr>
      </w:pPr>
    </w:p>
    <w:p w14:paraId="13C516ED">
      <w:pPr>
        <w:rPr>
          <w:rFonts w:hint="eastAsia" w:ascii="宋体" w:hAnsi="宋体" w:eastAsia="宋体" w:cs="宋体"/>
          <w:b/>
          <w:color w:val="000000" w:themeColor="text1"/>
          <w:sz w:val="24"/>
          <w14:textFill>
            <w14:solidFill>
              <w14:schemeClr w14:val="tx1"/>
            </w14:solidFill>
          </w14:textFill>
        </w:rPr>
      </w:pPr>
    </w:p>
    <w:p w14:paraId="0B0D313B">
      <w:pPr>
        <w:pStyle w:val="11"/>
        <w:rPr>
          <w:rFonts w:hint="eastAsia" w:ascii="宋体" w:hAnsi="宋体" w:cs="宋体"/>
          <w:b/>
          <w:color w:val="000000" w:themeColor="text1"/>
          <w:sz w:val="24"/>
          <w14:textFill>
            <w14:solidFill>
              <w14:schemeClr w14:val="tx1"/>
            </w14:solidFill>
          </w14:textFill>
        </w:rPr>
      </w:pPr>
    </w:p>
    <w:p w14:paraId="14266194">
      <w:pPr>
        <w:pStyle w:val="4"/>
        <w:rPr>
          <w:rFonts w:hint="eastAsia" w:ascii="宋体" w:hAnsi="宋体" w:eastAsia="宋体" w:cs="宋体"/>
          <w:b/>
          <w:color w:val="000000" w:themeColor="text1"/>
          <w:sz w:val="24"/>
          <w14:textFill>
            <w14:solidFill>
              <w14:schemeClr w14:val="tx1"/>
            </w14:solidFill>
          </w14:textFill>
        </w:rPr>
      </w:pPr>
    </w:p>
    <w:p w14:paraId="1F7A26A3">
      <w:pPr>
        <w:rPr>
          <w:rFonts w:hint="eastAsia" w:ascii="宋体" w:hAnsi="宋体" w:eastAsia="宋体" w:cs="宋体"/>
          <w:b/>
          <w:color w:val="000000" w:themeColor="text1"/>
          <w:sz w:val="24"/>
          <w14:textFill>
            <w14:solidFill>
              <w14:schemeClr w14:val="tx1"/>
            </w14:solidFill>
          </w14:textFill>
        </w:rPr>
      </w:pPr>
    </w:p>
    <w:p w14:paraId="2C28F3B6">
      <w:pPr>
        <w:pStyle w:val="11"/>
        <w:rPr>
          <w:rFonts w:hint="eastAsia" w:ascii="宋体" w:hAnsi="宋体" w:cs="宋体"/>
          <w:b/>
          <w:color w:val="000000" w:themeColor="text1"/>
          <w:sz w:val="24"/>
          <w14:textFill>
            <w14:solidFill>
              <w14:schemeClr w14:val="tx1"/>
            </w14:solidFill>
          </w14:textFill>
        </w:rPr>
      </w:pPr>
    </w:p>
    <w:p w14:paraId="3A1A654F">
      <w:pPr>
        <w:pStyle w:val="4"/>
        <w:rPr>
          <w:rFonts w:hint="eastAsia" w:ascii="宋体" w:hAnsi="宋体" w:eastAsia="宋体" w:cs="宋体"/>
          <w:b/>
          <w:color w:val="000000" w:themeColor="text1"/>
          <w:sz w:val="24"/>
          <w14:textFill>
            <w14:solidFill>
              <w14:schemeClr w14:val="tx1"/>
            </w14:solidFill>
          </w14:textFill>
        </w:rPr>
      </w:pPr>
    </w:p>
    <w:p w14:paraId="21AD5986">
      <w:pPr>
        <w:rPr>
          <w:color w:val="000000" w:themeColor="text1"/>
          <w14:textFill>
            <w14:solidFill>
              <w14:schemeClr w14:val="tx1"/>
            </w14:solidFill>
          </w14:textFill>
        </w:rPr>
      </w:pPr>
    </w:p>
    <w:p w14:paraId="12502AA5">
      <w:pPr>
        <w:spacing w:line="360" w:lineRule="auto"/>
        <w:jc w:val="center"/>
        <w:rPr>
          <w:rFonts w:hint="eastAsia" w:ascii="宋体" w:hAnsi="宋体" w:eastAsia="宋体" w:cs="宋体"/>
          <w:b/>
          <w:color w:val="000000" w:themeColor="text1"/>
          <w:sz w:val="24"/>
          <w14:textFill>
            <w14:solidFill>
              <w14:schemeClr w14:val="tx1"/>
            </w14:solidFill>
          </w14:textFill>
        </w:rPr>
      </w:pPr>
    </w:p>
    <w:p w14:paraId="2880C1ED">
      <w:pPr>
        <w:spacing w:line="360" w:lineRule="auto"/>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格式9</w:t>
      </w:r>
    </w:p>
    <w:p w14:paraId="6E9C6D99">
      <w:pPr>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中小企业声明函（货物）</w:t>
      </w:r>
    </w:p>
    <w:p w14:paraId="022571E2">
      <w:pPr>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本公司（联合体）郑重声明，根据《政府采购促进中小企业发展管理办法》（财库﹝2020﹞46 号）的规定，本公司（联合体）参加</w:t>
      </w:r>
      <w:r>
        <w:rPr>
          <w:rFonts w:hint="eastAsia" w:ascii="宋体" w:hAnsi="宋体" w:eastAsia="宋体" w:cs="宋体"/>
          <w:color w:val="000000" w:themeColor="text1"/>
          <w:sz w:val="24"/>
          <w:szCs w:val="24"/>
          <w:u w:val="single"/>
          <w14:textFill>
            <w14:solidFill>
              <w14:schemeClr w14:val="tx1"/>
            </w14:solidFill>
          </w14:textFill>
        </w:rPr>
        <w:t>（单位名称）</w:t>
      </w:r>
      <w:r>
        <w:rPr>
          <w:rFonts w:hint="eastAsia" w:ascii="宋体" w:hAnsi="宋体" w:eastAsia="宋体" w:cs="宋体"/>
          <w:color w:val="000000" w:themeColor="text1"/>
          <w:sz w:val="24"/>
          <w:szCs w:val="24"/>
          <w14:textFill>
            <w14:solidFill>
              <w14:schemeClr w14:val="tx1"/>
            </w14:solidFill>
          </w14:textFill>
        </w:rPr>
        <w:t>的</w:t>
      </w:r>
      <w:r>
        <w:rPr>
          <w:rFonts w:hint="eastAsia" w:ascii="宋体" w:hAnsi="宋体" w:eastAsia="宋体" w:cs="宋体"/>
          <w:color w:val="000000" w:themeColor="text1"/>
          <w:sz w:val="24"/>
          <w:szCs w:val="24"/>
          <w:u w:val="single"/>
          <w14:textFill>
            <w14:solidFill>
              <w14:schemeClr w14:val="tx1"/>
            </w14:solidFill>
          </w14:textFill>
        </w:rPr>
        <w:t>（项目名称）</w:t>
      </w:r>
      <w:r>
        <w:rPr>
          <w:rFonts w:hint="eastAsia" w:ascii="宋体" w:hAnsi="宋体" w:eastAsia="宋体" w:cs="宋体"/>
          <w:color w:val="000000" w:themeColor="text1"/>
          <w:sz w:val="24"/>
          <w:szCs w:val="24"/>
          <w14:textFill>
            <w14:solidFill>
              <w14:schemeClr w14:val="tx1"/>
            </w14:solidFill>
          </w14:textFill>
        </w:rPr>
        <w:t>采购活动，提</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供的货物全部由符合政策要求的中小企业制造。相关企业（含联合体中的中小企业、签订分包意向协议的中小企业）的具体情况如下：</w:t>
      </w:r>
    </w:p>
    <w:p w14:paraId="718EA2C5">
      <w:pPr>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u w:val="single"/>
          <w14:textFill>
            <w14:solidFill>
              <w14:schemeClr w14:val="tx1"/>
            </w14:solidFill>
          </w14:textFill>
        </w:rPr>
        <w:t>（标的名称）</w:t>
      </w:r>
      <w:r>
        <w:rPr>
          <w:rFonts w:hint="eastAsia" w:ascii="宋体" w:hAnsi="宋体" w:eastAsia="宋体" w:cs="宋体"/>
          <w:color w:val="000000" w:themeColor="text1"/>
          <w:sz w:val="24"/>
          <w:szCs w:val="24"/>
          <w14:textFill>
            <w14:solidFill>
              <w14:schemeClr w14:val="tx1"/>
            </w14:solidFill>
          </w14:textFill>
        </w:rPr>
        <w:t>，属于</w:t>
      </w:r>
      <w:r>
        <w:rPr>
          <w:rFonts w:hint="eastAsia" w:ascii="宋体" w:hAnsi="宋体" w:eastAsia="宋体" w:cs="宋体"/>
          <w:color w:val="000000" w:themeColor="text1"/>
          <w:sz w:val="24"/>
          <w:szCs w:val="24"/>
          <w:u w:val="single"/>
          <w14:textFill>
            <w14:solidFill>
              <w14:schemeClr w14:val="tx1"/>
            </w14:solidFill>
          </w14:textFill>
        </w:rPr>
        <w:t>（采购文件中明确的所属行业）</w:t>
      </w:r>
      <w:r>
        <w:rPr>
          <w:rFonts w:hint="eastAsia" w:ascii="宋体" w:hAnsi="宋体" w:eastAsia="宋体" w:cs="宋体"/>
          <w:color w:val="000000" w:themeColor="text1"/>
          <w:sz w:val="24"/>
          <w:szCs w:val="24"/>
          <w14:textFill>
            <w14:solidFill>
              <w14:schemeClr w14:val="tx1"/>
            </w14:solidFill>
          </w14:textFill>
        </w:rPr>
        <w:t>行业；制造商为</w:t>
      </w:r>
      <w:r>
        <w:rPr>
          <w:rFonts w:hint="eastAsia" w:ascii="宋体" w:hAnsi="宋体" w:eastAsia="宋体" w:cs="宋体"/>
          <w:color w:val="000000" w:themeColor="text1"/>
          <w:sz w:val="24"/>
          <w:szCs w:val="24"/>
          <w:u w:val="single"/>
          <w14:textFill>
            <w14:solidFill>
              <w14:schemeClr w14:val="tx1"/>
            </w14:solidFill>
          </w14:textFill>
        </w:rPr>
        <w:t>（企业名称）</w:t>
      </w:r>
      <w:r>
        <w:rPr>
          <w:rFonts w:hint="eastAsia" w:ascii="宋体" w:hAnsi="宋体" w:eastAsia="宋体" w:cs="宋体"/>
          <w:color w:val="000000" w:themeColor="text1"/>
          <w:sz w:val="24"/>
          <w:szCs w:val="24"/>
          <w14:textFill>
            <w14:solidFill>
              <w14:schemeClr w14:val="tx1"/>
            </w14:solidFill>
          </w14:textFill>
        </w:rPr>
        <w:t>，从业人员</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人，营业收入为</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万元，资产总额为</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万元，属于</w:t>
      </w:r>
      <w:r>
        <w:rPr>
          <w:rFonts w:hint="eastAsia" w:ascii="宋体" w:hAnsi="宋体" w:eastAsia="宋体" w:cs="宋体"/>
          <w:color w:val="000000" w:themeColor="text1"/>
          <w:sz w:val="24"/>
          <w:szCs w:val="24"/>
          <w:u w:val="single"/>
          <w14:textFill>
            <w14:solidFill>
              <w14:schemeClr w14:val="tx1"/>
            </w14:solidFill>
          </w14:textFill>
        </w:rPr>
        <w:t>（中型企业、小型企业、微型企业）</w:t>
      </w:r>
      <w:r>
        <w:rPr>
          <w:rFonts w:hint="eastAsia" w:ascii="宋体" w:hAnsi="宋体" w:eastAsia="宋体" w:cs="宋体"/>
          <w:color w:val="000000" w:themeColor="text1"/>
          <w:sz w:val="24"/>
          <w:szCs w:val="24"/>
          <w14:textFill>
            <w14:solidFill>
              <w14:schemeClr w14:val="tx1"/>
            </w14:solidFill>
          </w14:textFill>
        </w:rPr>
        <w:t xml:space="preserve">； </w:t>
      </w:r>
    </w:p>
    <w:p w14:paraId="08075E34">
      <w:pPr>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u w:val="single"/>
          <w14:textFill>
            <w14:solidFill>
              <w14:schemeClr w14:val="tx1"/>
            </w14:solidFill>
          </w14:textFill>
        </w:rPr>
        <w:t>（标的名称）</w:t>
      </w:r>
      <w:r>
        <w:rPr>
          <w:rFonts w:hint="eastAsia" w:ascii="宋体" w:hAnsi="宋体" w:eastAsia="宋体" w:cs="宋体"/>
          <w:color w:val="000000" w:themeColor="text1"/>
          <w:sz w:val="24"/>
          <w:szCs w:val="24"/>
          <w14:textFill>
            <w14:solidFill>
              <w14:schemeClr w14:val="tx1"/>
            </w14:solidFill>
          </w14:textFill>
        </w:rPr>
        <w:t>，属于</w:t>
      </w:r>
      <w:r>
        <w:rPr>
          <w:rFonts w:hint="eastAsia" w:ascii="宋体" w:hAnsi="宋体" w:eastAsia="宋体" w:cs="宋体"/>
          <w:color w:val="000000" w:themeColor="text1"/>
          <w:sz w:val="24"/>
          <w:szCs w:val="24"/>
          <w:u w:val="single"/>
          <w14:textFill>
            <w14:solidFill>
              <w14:schemeClr w14:val="tx1"/>
            </w14:solidFill>
          </w14:textFill>
        </w:rPr>
        <w:t>（采购文件中明确的所属行业）</w:t>
      </w:r>
      <w:r>
        <w:rPr>
          <w:rFonts w:hint="eastAsia" w:ascii="宋体" w:hAnsi="宋体" w:eastAsia="宋体" w:cs="宋体"/>
          <w:color w:val="000000" w:themeColor="text1"/>
          <w:sz w:val="24"/>
          <w:szCs w:val="24"/>
          <w14:textFill>
            <w14:solidFill>
              <w14:schemeClr w14:val="tx1"/>
            </w14:solidFill>
          </w14:textFill>
        </w:rPr>
        <w:t>行业；制造商为</w:t>
      </w:r>
      <w:r>
        <w:rPr>
          <w:rFonts w:hint="eastAsia" w:ascii="宋体" w:hAnsi="宋体" w:eastAsia="宋体" w:cs="宋体"/>
          <w:color w:val="000000" w:themeColor="text1"/>
          <w:sz w:val="24"/>
          <w:szCs w:val="24"/>
          <w:u w:val="single"/>
          <w14:textFill>
            <w14:solidFill>
              <w14:schemeClr w14:val="tx1"/>
            </w14:solidFill>
          </w14:textFill>
        </w:rPr>
        <w:t>（企业名称）</w:t>
      </w:r>
      <w:r>
        <w:rPr>
          <w:rFonts w:hint="eastAsia" w:ascii="宋体" w:hAnsi="宋体" w:eastAsia="宋体" w:cs="宋体"/>
          <w:color w:val="000000" w:themeColor="text1"/>
          <w:sz w:val="24"/>
          <w:szCs w:val="24"/>
          <w14:textFill>
            <w14:solidFill>
              <w14:schemeClr w14:val="tx1"/>
            </w14:solidFill>
          </w14:textFill>
        </w:rPr>
        <w:t>，从业人员</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人，营业收入为</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万元，资产总额为</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万元，属于</w:t>
      </w:r>
      <w:r>
        <w:rPr>
          <w:rFonts w:hint="eastAsia" w:ascii="宋体" w:hAnsi="宋体" w:eastAsia="宋体" w:cs="宋体"/>
          <w:color w:val="000000" w:themeColor="text1"/>
          <w:sz w:val="24"/>
          <w:szCs w:val="24"/>
          <w:u w:val="single"/>
          <w14:textFill>
            <w14:solidFill>
              <w14:schemeClr w14:val="tx1"/>
            </w14:solidFill>
          </w14:textFill>
        </w:rPr>
        <w:t>（中型企业、小型企业、微型企业）；</w:t>
      </w:r>
      <w:r>
        <w:rPr>
          <w:rFonts w:hint="eastAsia" w:ascii="宋体" w:hAnsi="宋体" w:eastAsia="宋体" w:cs="宋体"/>
          <w:color w:val="000000" w:themeColor="text1"/>
          <w:sz w:val="24"/>
          <w:szCs w:val="24"/>
          <w14:textFill>
            <w14:solidFill>
              <w14:schemeClr w14:val="tx1"/>
            </w14:solidFill>
          </w14:textFill>
        </w:rPr>
        <w:t xml:space="preserve"> </w:t>
      </w:r>
    </w:p>
    <w:p w14:paraId="1DB59409">
      <w:p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p>
    <w:p w14:paraId="59FCD803">
      <w:pPr>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以上企业，不属于大企业的分支机构，不存在控股股东 为大企业的情形，也不存在与大企业的负责人为同一人的情形。</w:t>
      </w:r>
    </w:p>
    <w:p w14:paraId="53F7D483">
      <w:pPr>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本企业对上述声明内容的真实性负责。如有虚假，将依 法承担相应责任。</w:t>
      </w:r>
    </w:p>
    <w:p w14:paraId="65A0953B">
      <w:pPr>
        <w:ind w:firstLine="3840" w:firstLineChars="16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企业名称（盖章）： </w:t>
      </w:r>
    </w:p>
    <w:p w14:paraId="5C89EAFF">
      <w:pPr>
        <w:spacing w:line="360" w:lineRule="auto"/>
        <w:ind w:firstLine="5040" w:firstLineChars="21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日 期：</w:t>
      </w:r>
    </w:p>
    <w:p w14:paraId="32092E6D">
      <w:pPr>
        <w:spacing w:line="360" w:lineRule="auto"/>
        <w:rPr>
          <w:rFonts w:hint="eastAsia" w:ascii="宋体" w:hAnsi="宋体" w:eastAsia="宋体" w:cs="宋体"/>
          <w:color w:val="000000" w:themeColor="text1"/>
          <w:sz w:val="24"/>
          <w14:textFill>
            <w14:solidFill>
              <w14:schemeClr w14:val="tx1"/>
            </w14:solidFill>
          </w14:textFill>
        </w:rPr>
      </w:pPr>
    </w:p>
    <w:p w14:paraId="2546D3C1">
      <w:pPr>
        <w:rPr>
          <w:color w:val="000000" w:themeColor="text1"/>
          <w14:textFill>
            <w14:solidFill>
              <w14:schemeClr w14:val="tx1"/>
            </w14:solidFill>
          </w14:textFill>
        </w:rPr>
      </w:pPr>
    </w:p>
    <w:p w14:paraId="293669E2">
      <w:pPr>
        <w:spacing w:line="360" w:lineRule="auto"/>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注：1.从业人员、营业收入、资产总额填报上一年度数据，无上一年度数据的新成立企业可不填报。</w:t>
      </w:r>
    </w:p>
    <w:p w14:paraId="2788C39E">
      <w:pPr>
        <w:spacing w:line="360" w:lineRule="auto"/>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2.本项目如是只面向中小企业采购的应当必须提供。</w:t>
      </w:r>
    </w:p>
    <w:p w14:paraId="44C546EF">
      <w:pPr>
        <w:spacing w:line="360" w:lineRule="auto"/>
        <w:rPr>
          <w:rFonts w:hint="eastAsia" w:ascii="宋体" w:hAnsi="宋体" w:eastAsia="宋体" w:cs="宋体"/>
          <w:color w:val="000000" w:themeColor="text1"/>
          <w:sz w:val="24"/>
          <w14:textFill>
            <w14:solidFill>
              <w14:schemeClr w14:val="tx1"/>
            </w14:solidFill>
          </w14:textFill>
        </w:rPr>
      </w:pPr>
    </w:p>
    <w:p w14:paraId="5F3F240D">
      <w:pPr>
        <w:spacing w:line="360" w:lineRule="auto"/>
        <w:rPr>
          <w:rFonts w:hint="eastAsia" w:ascii="宋体" w:hAnsi="宋体" w:eastAsia="宋体" w:cs="宋体"/>
          <w:color w:val="000000" w:themeColor="text1"/>
          <w:sz w:val="24"/>
          <w14:textFill>
            <w14:solidFill>
              <w14:schemeClr w14:val="tx1"/>
            </w14:solidFill>
          </w14:textFill>
        </w:rPr>
      </w:pPr>
    </w:p>
    <w:p w14:paraId="1456EFC6">
      <w:pPr>
        <w:pStyle w:val="11"/>
        <w:rPr>
          <w:rFonts w:hint="eastAsia" w:ascii="宋体" w:hAnsi="宋体" w:cs="宋体"/>
          <w:color w:val="000000" w:themeColor="text1"/>
          <w:sz w:val="24"/>
          <w14:textFill>
            <w14:solidFill>
              <w14:schemeClr w14:val="tx1"/>
            </w14:solidFill>
          </w14:textFill>
        </w:rPr>
      </w:pPr>
    </w:p>
    <w:p w14:paraId="66394BBB">
      <w:pPr>
        <w:pStyle w:val="4"/>
        <w:rPr>
          <w:rFonts w:hint="eastAsia" w:ascii="宋体" w:hAnsi="宋体" w:eastAsia="宋体" w:cs="宋体"/>
          <w:color w:val="000000" w:themeColor="text1"/>
          <w:sz w:val="24"/>
          <w14:textFill>
            <w14:solidFill>
              <w14:schemeClr w14:val="tx1"/>
            </w14:solidFill>
          </w14:textFill>
        </w:rPr>
      </w:pPr>
    </w:p>
    <w:p w14:paraId="3F1B25BE">
      <w:pPr>
        <w:rPr>
          <w:rFonts w:hint="eastAsia" w:ascii="宋体" w:hAnsi="宋体" w:eastAsia="宋体" w:cs="宋体"/>
          <w:color w:val="000000" w:themeColor="text1"/>
          <w:sz w:val="24"/>
          <w14:textFill>
            <w14:solidFill>
              <w14:schemeClr w14:val="tx1"/>
            </w14:solidFill>
          </w14:textFill>
        </w:rPr>
      </w:pPr>
    </w:p>
    <w:p w14:paraId="0F83B794">
      <w:pPr>
        <w:pStyle w:val="11"/>
        <w:rPr>
          <w:rFonts w:hint="eastAsia" w:ascii="宋体" w:hAnsi="宋体" w:cs="宋体"/>
          <w:color w:val="000000" w:themeColor="text1"/>
          <w:sz w:val="24"/>
          <w14:textFill>
            <w14:solidFill>
              <w14:schemeClr w14:val="tx1"/>
            </w14:solidFill>
          </w14:textFill>
        </w:rPr>
      </w:pPr>
    </w:p>
    <w:p w14:paraId="4B265C2B">
      <w:pPr>
        <w:pStyle w:val="4"/>
        <w:rPr>
          <w:rFonts w:hint="eastAsia" w:ascii="宋体" w:hAnsi="宋体" w:eastAsia="宋体" w:cs="宋体"/>
          <w:color w:val="000000" w:themeColor="text1"/>
          <w:sz w:val="24"/>
          <w14:textFill>
            <w14:solidFill>
              <w14:schemeClr w14:val="tx1"/>
            </w14:solidFill>
          </w14:textFill>
        </w:rPr>
      </w:pPr>
    </w:p>
    <w:p w14:paraId="19AAA854">
      <w:pPr>
        <w:rPr>
          <w:rFonts w:hint="eastAsia" w:ascii="宋体" w:hAnsi="宋体" w:eastAsia="宋体" w:cs="宋体"/>
          <w:color w:val="000000" w:themeColor="text1"/>
          <w:sz w:val="24"/>
          <w14:textFill>
            <w14:solidFill>
              <w14:schemeClr w14:val="tx1"/>
            </w14:solidFill>
          </w14:textFill>
        </w:rPr>
      </w:pPr>
    </w:p>
    <w:p w14:paraId="430855AA">
      <w:pPr>
        <w:pStyle w:val="2"/>
        <w:ind w:firstLine="240"/>
        <w:rPr>
          <w:rFonts w:hint="eastAsia" w:ascii="宋体" w:hAnsi="宋体" w:eastAsia="宋体" w:cs="宋体"/>
          <w:color w:val="000000" w:themeColor="text1"/>
          <w:sz w:val="24"/>
          <w14:textFill>
            <w14:solidFill>
              <w14:schemeClr w14:val="tx1"/>
            </w14:solidFill>
          </w14:textFill>
        </w:rPr>
      </w:pPr>
    </w:p>
    <w:p w14:paraId="31CB289C">
      <w:pPr>
        <w:pStyle w:val="2"/>
        <w:ind w:firstLine="240"/>
        <w:rPr>
          <w:rFonts w:hint="eastAsia" w:ascii="宋体" w:hAnsi="宋体" w:eastAsia="宋体" w:cs="宋体"/>
          <w:color w:val="000000" w:themeColor="text1"/>
          <w:sz w:val="24"/>
          <w14:textFill>
            <w14:solidFill>
              <w14:schemeClr w14:val="tx1"/>
            </w14:solidFill>
          </w14:textFill>
        </w:rPr>
      </w:pPr>
    </w:p>
    <w:p w14:paraId="59E1B7F2">
      <w:pPr>
        <w:pStyle w:val="2"/>
        <w:ind w:firstLine="240"/>
        <w:rPr>
          <w:rFonts w:hint="eastAsia" w:ascii="宋体" w:hAnsi="宋体" w:eastAsia="宋体" w:cs="宋体"/>
          <w:color w:val="000000" w:themeColor="text1"/>
          <w:sz w:val="24"/>
          <w14:textFill>
            <w14:solidFill>
              <w14:schemeClr w14:val="tx1"/>
            </w14:solidFill>
          </w14:textFill>
        </w:rPr>
      </w:pPr>
    </w:p>
    <w:p w14:paraId="435A9F7F">
      <w:pPr>
        <w:pStyle w:val="2"/>
        <w:ind w:firstLine="240"/>
        <w:rPr>
          <w:rFonts w:hint="eastAsia" w:ascii="宋体" w:hAnsi="宋体" w:eastAsia="宋体" w:cs="宋体"/>
          <w:color w:val="000000" w:themeColor="text1"/>
          <w:sz w:val="24"/>
          <w14:textFill>
            <w14:solidFill>
              <w14:schemeClr w14:val="tx1"/>
            </w14:solidFill>
          </w14:textFill>
        </w:rPr>
      </w:pPr>
    </w:p>
    <w:p w14:paraId="06A5AA26">
      <w:pPr>
        <w:pStyle w:val="2"/>
        <w:ind w:firstLine="240"/>
        <w:rPr>
          <w:rFonts w:hint="eastAsia" w:ascii="宋体" w:hAnsi="宋体" w:eastAsia="宋体" w:cs="宋体"/>
          <w:color w:val="000000" w:themeColor="text1"/>
          <w:sz w:val="24"/>
          <w14:textFill>
            <w14:solidFill>
              <w14:schemeClr w14:val="tx1"/>
            </w14:solidFill>
          </w14:textFill>
        </w:rPr>
      </w:pPr>
    </w:p>
    <w:p w14:paraId="1C7D3392">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w:t>
      </w:r>
      <w:r>
        <w:rPr>
          <w:rFonts w:hint="eastAsia" w:ascii="宋体" w:hAnsi="宋体" w:eastAsia="宋体" w:cs="宋体"/>
          <w:color w:val="000000" w:themeColor="text1"/>
          <w:sz w:val="24"/>
          <w14:textFill>
            <w14:solidFill>
              <w14:schemeClr w14:val="tx1"/>
            </w14:solidFill>
          </w14:textFill>
        </w:rPr>
        <w:t>10</w:t>
      </w:r>
      <w:r>
        <w:rPr>
          <w:rFonts w:ascii="宋体" w:hAnsi="宋体" w:eastAsia="宋体" w:cs="宋体"/>
          <w:color w:val="000000" w:themeColor="text1"/>
          <w:sz w:val="24"/>
          <w14:textFill>
            <w14:solidFill>
              <w14:schemeClr w14:val="tx1"/>
            </w14:solidFill>
          </w14:textFill>
        </w:rPr>
        <w:t xml:space="preserve">  其他资料</w:t>
      </w:r>
    </w:p>
    <w:p w14:paraId="0A30319F">
      <w:pPr>
        <w:ind w:firstLine="240"/>
        <w:jc w:val="left"/>
        <w:rPr>
          <w:rFonts w:hint="eastAsia" w:ascii="宋体" w:hAnsi="宋体" w:eastAsia="宋体" w:cs="宋体"/>
          <w:color w:val="000000" w:themeColor="text1"/>
          <w:sz w:val="24"/>
          <w14:textFill>
            <w14:solidFill>
              <w14:schemeClr w14:val="tx1"/>
            </w14:solidFill>
          </w14:textFill>
        </w:rPr>
      </w:pPr>
    </w:p>
    <w:p w14:paraId="75EC6279">
      <w:pPr>
        <w:ind w:firstLine="321"/>
        <w:jc w:val="center"/>
        <w:rPr>
          <w:rFonts w:hint="eastAsia" w:ascii="宋体" w:hAnsi="宋体" w:eastAsia="宋体" w:cs="宋体"/>
          <w:b/>
          <w:color w:val="000000" w:themeColor="text1"/>
          <w:sz w:val="32"/>
          <w14:textFill>
            <w14:solidFill>
              <w14:schemeClr w14:val="tx1"/>
            </w14:solidFill>
          </w14:textFill>
        </w:rPr>
      </w:pPr>
    </w:p>
    <w:p w14:paraId="088AA144">
      <w:pPr>
        <w:ind w:firstLine="321"/>
        <w:jc w:val="center"/>
        <w:rPr>
          <w:rFonts w:hint="eastAsia" w:ascii="宋体" w:hAnsi="宋体" w:eastAsia="宋体" w:cs="宋体"/>
          <w:b/>
          <w:color w:val="000000" w:themeColor="text1"/>
          <w:sz w:val="32"/>
          <w14:textFill>
            <w14:solidFill>
              <w14:schemeClr w14:val="tx1"/>
            </w14:solidFill>
          </w14:textFill>
        </w:rPr>
      </w:pPr>
    </w:p>
    <w:p w14:paraId="495950FE">
      <w:pPr>
        <w:ind w:firstLine="321"/>
        <w:jc w:val="center"/>
        <w:rPr>
          <w:rFonts w:hint="eastAsia" w:ascii="宋体" w:hAnsi="宋体" w:eastAsia="宋体" w:cs="宋体"/>
          <w:b/>
          <w:color w:val="000000" w:themeColor="text1"/>
          <w:sz w:val="32"/>
          <w14:textFill>
            <w14:solidFill>
              <w14:schemeClr w14:val="tx1"/>
            </w14:solidFill>
          </w14:textFill>
        </w:rPr>
      </w:pPr>
    </w:p>
    <w:p w14:paraId="02850F52">
      <w:pPr>
        <w:ind w:firstLine="321"/>
        <w:jc w:val="center"/>
        <w:rPr>
          <w:rFonts w:hint="eastAsia" w:ascii="宋体" w:hAnsi="宋体" w:eastAsia="宋体" w:cs="宋体"/>
          <w:b/>
          <w:color w:val="000000" w:themeColor="text1"/>
          <w:sz w:val="32"/>
          <w14:textFill>
            <w14:solidFill>
              <w14:schemeClr w14:val="tx1"/>
            </w14:solidFill>
          </w14:textFill>
        </w:rPr>
      </w:pPr>
    </w:p>
    <w:p w14:paraId="45A9779C">
      <w:pPr>
        <w:ind w:firstLine="321"/>
        <w:jc w:val="center"/>
        <w:rPr>
          <w:rFonts w:hint="eastAsia" w:ascii="宋体" w:hAnsi="宋体" w:eastAsia="宋体" w:cs="宋体"/>
          <w:b/>
          <w:color w:val="000000" w:themeColor="text1"/>
          <w:sz w:val="32"/>
          <w14:textFill>
            <w14:solidFill>
              <w14:schemeClr w14:val="tx1"/>
            </w14:solidFill>
          </w14:textFill>
        </w:rPr>
      </w:pPr>
    </w:p>
    <w:p w14:paraId="115E65B5">
      <w:pPr>
        <w:ind w:firstLine="321"/>
        <w:jc w:val="center"/>
        <w:rPr>
          <w:rFonts w:hint="eastAsia" w:ascii="宋体" w:hAnsi="宋体" w:eastAsia="宋体" w:cs="宋体"/>
          <w:b/>
          <w:color w:val="000000" w:themeColor="text1"/>
          <w:sz w:val="32"/>
          <w14:textFill>
            <w14:solidFill>
              <w14:schemeClr w14:val="tx1"/>
            </w14:solidFill>
          </w14:textFill>
        </w:rPr>
      </w:pPr>
    </w:p>
    <w:p w14:paraId="6D70868D">
      <w:pPr>
        <w:ind w:firstLine="321"/>
        <w:jc w:val="center"/>
        <w:rPr>
          <w:rFonts w:hint="eastAsia" w:ascii="宋体" w:hAnsi="宋体" w:eastAsia="宋体" w:cs="宋体"/>
          <w:b/>
          <w:color w:val="000000" w:themeColor="text1"/>
          <w:sz w:val="32"/>
          <w14:textFill>
            <w14:solidFill>
              <w14:schemeClr w14:val="tx1"/>
            </w14:solidFill>
          </w14:textFill>
        </w:rPr>
      </w:pPr>
    </w:p>
    <w:p w14:paraId="10E6B919">
      <w:pPr>
        <w:ind w:firstLine="321"/>
        <w:jc w:val="center"/>
        <w:rPr>
          <w:rFonts w:hint="eastAsia" w:ascii="宋体" w:hAnsi="宋体" w:eastAsia="宋体" w:cs="宋体"/>
          <w:b/>
          <w:color w:val="000000" w:themeColor="text1"/>
          <w:sz w:val="32"/>
          <w14:textFill>
            <w14:solidFill>
              <w14:schemeClr w14:val="tx1"/>
            </w14:solidFill>
          </w14:textFill>
        </w:rPr>
      </w:pPr>
    </w:p>
    <w:p w14:paraId="7E57C0E1">
      <w:pPr>
        <w:ind w:firstLine="321"/>
        <w:jc w:val="center"/>
        <w:rPr>
          <w:rFonts w:hint="eastAsia" w:ascii="宋体" w:hAnsi="宋体" w:eastAsia="宋体" w:cs="宋体"/>
          <w:b/>
          <w:color w:val="000000" w:themeColor="text1"/>
          <w:sz w:val="32"/>
          <w14:textFill>
            <w14:solidFill>
              <w14:schemeClr w14:val="tx1"/>
            </w14:solidFill>
          </w14:textFill>
        </w:rPr>
      </w:pPr>
    </w:p>
    <w:p w14:paraId="078F7EEA">
      <w:pPr>
        <w:ind w:firstLine="321"/>
        <w:jc w:val="center"/>
        <w:rPr>
          <w:rFonts w:hint="eastAsia" w:ascii="宋体" w:hAnsi="宋体" w:eastAsia="宋体" w:cs="宋体"/>
          <w:b/>
          <w:color w:val="000000" w:themeColor="text1"/>
          <w:sz w:val="32"/>
          <w14:textFill>
            <w14:solidFill>
              <w14:schemeClr w14:val="tx1"/>
            </w14:solidFill>
          </w14:textFill>
        </w:rPr>
      </w:pPr>
    </w:p>
    <w:p w14:paraId="27047E32">
      <w:pPr>
        <w:ind w:firstLine="321"/>
        <w:jc w:val="center"/>
        <w:rPr>
          <w:rFonts w:hint="eastAsia" w:ascii="宋体" w:hAnsi="宋体" w:eastAsia="宋体" w:cs="宋体"/>
          <w:b/>
          <w:color w:val="000000" w:themeColor="text1"/>
          <w:sz w:val="32"/>
          <w14:textFill>
            <w14:solidFill>
              <w14:schemeClr w14:val="tx1"/>
            </w14:solidFill>
          </w14:textFill>
        </w:rPr>
      </w:pPr>
    </w:p>
    <w:p w14:paraId="726A1DED">
      <w:pPr>
        <w:jc w:val="left"/>
        <w:rPr>
          <w:rFonts w:hint="eastAsia" w:ascii="宋体" w:hAnsi="宋体" w:eastAsia="宋体" w:cs="宋体"/>
          <w:color w:val="000000" w:themeColor="text1"/>
          <w:sz w:val="24"/>
          <w14:textFill>
            <w14:solidFill>
              <w14:schemeClr w14:val="tx1"/>
            </w14:solidFill>
          </w14:textFill>
        </w:rPr>
      </w:pPr>
    </w:p>
    <w:p w14:paraId="6C0AFE29">
      <w:pPr>
        <w:pStyle w:val="11"/>
        <w:rPr>
          <w:rFonts w:hint="eastAsia" w:ascii="宋体" w:hAnsi="宋体" w:cs="宋体"/>
          <w:color w:val="000000" w:themeColor="text1"/>
          <w:sz w:val="24"/>
          <w14:textFill>
            <w14:solidFill>
              <w14:schemeClr w14:val="tx1"/>
            </w14:solidFill>
          </w14:textFill>
        </w:rPr>
      </w:pPr>
    </w:p>
    <w:p w14:paraId="7CC56ED7">
      <w:pPr>
        <w:pStyle w:val="4"/>
        <w:rPr>
          <w:rFonts w:hint="eastAsia" w:ascii="宋体" w:hAnsi="宋体" w:eastAsia="宋体" w:cs="宋体"/>
          <w:color w:val="000000" w:themeColor="text1"/>
          <w:sz w:val="24"/>
          <w14:textFill>
            <w14:solidFill>
              <w14:schemeClr w14:val="tx1"/>
            </w14:solidFill>
          </w14:textFill>
        </w:rPr>
      </w:pPr>
    </w:p>
    <w:p w14:paraId="3D3A295D">
      <w:pPr>
        <w:rPr>
          <w:rFonts w:hint="eastAsia" w:ascii="宋体" w:hAnsi="宋体" w:eastAsia="宋体" w:cs="宋体"/>
          <w:color w:val="000000" w:themeColor="text1"/>
          <w:sz w:val="24"/>
          <w14:textFill>
            <w14:solidFill>
              <w14:schemeClr w14:val="tx1"/>
            </w14:solidFill>
          </w14:textFill>
        </w:rPr>
      </w:pPr>
    </w:p>
    <w:p w14:paraId="7B51A6FA">
      <w:pPr>
        <w:pStyle w:val="11"/>
        <w:rPr>
          <w:rFonts w:hint="eastAsia" w:ascii="宋体" w:hAnsi="宋体" w:cs="宋体"/>
          <w:color w:val="000000" w:themeColor="text1"/>
          <w:sz w:val="24"/>
          <w14:textFill>
            <w14:solidFill>
              <w14:schemeClr w14:val="tx1"/>
            </w14:solidFill>
          </w14:textFill>
        </w:rPr>
      </w:pPr>
    </w:p>
    <w:p w14:paraId="067FCEFE">
      <w:pPr>
        <w:pStyle w:val="4"/>
        <w:rPr>
          <w:rFonts w:hint="eastAsia" w:ascii="宋体" w:hAnsi="宋体" w:eastAsia="宋体" w:cs="宋体"/>
          <w:color w:val="000000" w:themeColor="text1"/>
          <w:sz w:val="24"/>
          <w14:textFill>
            <w14:solidFill>
              <w14:schemeClr w14:val="tx1"/>
            </w14:solidFill>
          </w14:textFill>
        </w:rPr>
      </w:pPr>
    </w:p>
    <w:p w14:paraId="703497A6">
      <w:pPr>
        <w:rPr>
          <w:rFonts w:hint="eastAsia" w:ascii="宋体" w:hAnsi="宋体" w:eastAsia="宋体" w:cs="宋体"/>
          <w:color w:val="000000" w:themeColor="text1"/>
          <w:sz w:val="24"/>
          <w14:textFill>
            <w14:solidFill>
              <w14:schemeClr w14:val="tx1"/>
            </w14:solidFill>
          </w14:textFill>
        </w:rPr>
      </w:pPr>
    </w:p>
    <w:p w14:paraId="2CAAB00B">
      <w:pPr>
        <w:pStyle w:val="11"/>
        <w:rPr>
          <w:rFonts w:hint="eastAsia" w:ascii="宋体" w:hAnsi="宋体" w:cs="宋体"/>
          <w:color w:val="000000" w:themeColor="text1"/>
          <w:sz w:val="24"/>
          <w14:textFill>
            <w14:solidFill>
              <w14:schemeClr w14:val="tx1"/>
            </w14:solidFill>
          </w14:textFill>
        </w:rPr>
      </w:pPr>
    </w:p>
    <w:p w14:paraId="2B306FD6">
      <w:pPr>
        <w:pStyle w:val="4"/>
        <w:rPr>
          <w:rFonts w:hint="eastAsia" w:ascii="宋体" w:hAnsi="宋体" w:eastAsia="宋体" w:cs="宋体"/>
          <w:color w:val="000000" w:themeColor="text1"/>
          <w:sz w:val="24"/>
          <w14:textFill>
            <w14:solidFill>
              <w14:schemeClr w14:val="tx1"/>
            </w14:solidFill>
          </w14:textFill>
        </w:rPr>
      </w:pPr>
    </w:p>
    <w:p w14:paraId="7C3F3669">
      <w:pPr>
        <w:rPr>
          <w:rFonts w:hint="eastAsia" w:ascii="宋体" w:hAnsi="宋体" w:eastAsia="宋体" w:cs="宋体"/>
          <w:color w:val="000000" w:themeColor="text1"/>
          <w:sz w:val="24"/>
          <w14:textFill>
            <w14:solidFill>
              <w14:schemeClr w14:val="tx1"/>
            </w14:solidFill>
          </w14:textFill>
        </w:rPr>
      </w:pPr>
    </w:p>
    <w:p w14:paraId="201759E6">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w:t>
      </w:r>
    </w:p>
    <w:p w14:paraId="3AE09ADB">
      <w:pPr>
        <w:pStyle w:val="2"/>
        <w:ind w:firstLine="240"/>
        <w:rPr>
          <w:rFonts w:hint="eastAsia" w:ascii="宋体" w:hAnsi="宋体" w:eastAsia="宋体" w:cs="宋体"/>
          <w:color w:val="000000" w:themeColor="text1"/>
          <w:sz w:val="24"/>
          <w14:textFill>
            <w14:solidFill>
              <w14:schemeClr w14:val="tx1"/>
            </w14:solidFill>
          </w14:textFill>
        </w:rPr>
      </w:pPr>
    </w:p>
    <w:p w14:paraId="55A19647">
      <w:pPr>
        <w:pStyle w:val="2"/>
        <w:ind w:firstLine="240"/>
        <w:rPr>
          <w:rFonts w:hint="eastAsia" w:ascii="宋体" w:hAnsi="宋体" w:eastAsia="宋体" w:cs="宋体"/>
          <w:color w:val="000000" w:themeColor="text1"/>
          <w:sz w:val="24"/>
          <w14:textFill>
            <w14:solidFill>
              <w14:schemeClr w14:val="tx1"/>
            </w14:solidFill>
          </w14:textFill>
        </w:rPr>
      </w:pPr>
    </w:p>
    <w:p w14:paraId="330F1003">
      <w:pPr>
        <w:pStyle w:val="2"/>
        <w:ind w:firstLine="240"/>
        <w:rPr>
          <w:rFonts w:hint="eastAsia" w:ascii="宋体" w:hAnsi="宋体" w:eastAsia="宋体" w:cs="宋体"/>
          <w:color w:val="000000" w:themeColor="text1"/>
          <w:sz w:val="24"/>
          <w14:textFill>
            <w14:solidFill>
              <w14:schemeClr w14:val="tx1"/>
            </w14:solidFill>
          </w14:textFill>
        </w:rPr>
      </w:pPr>
    </w:p>
    <w:p w14:paraId="63E62458">
      <w:pPr>
        <w:pStyle w:val="11"/>
        <w:rPr>
          <w:rFonts w:hint="eastAsia" w:ascii="宋体" w:hAnsi="宋体" w:cs="宋体"/>
          <w:color w:val="000000" w:themeColor="text1"/>
          <w:sz w:val="24"/>
          <w14:textFill>
            <w14:solidFill>
              <w14:schemeClr w14:val="tx1"/>
            </w14:solidFill>
          </w14:textFill>
        </w:rPr>
      </w:pPr>
    </w:p>
    <w:p w14:paraId="0F0D3B55">
      <w:pPr>
        <w:pStyle w:val="4"/>
        <w:rPr>
          <w:rFonts w:hint="eastAsia" w:ascii="宋体" w:hAnsi="宋体" w:eastAsia="宋体" w:cs="宋体"/>
          <w:color w:val="000000" w:themeColor="text1"/>
          <w:sz w:val="24"/>
          <w14:textFill>
            <w14:solidFill>
              <w14:schemeClr w14:val="tx1"/>
            </w14:solidFill>
          </w14:textFill>
        </w:rPr>
      </w:pPr>
    </w:p>
    <w:p w14:paraId="09A9ECEC">
      <w:pPr>
        <w:rPr>
          <w:rFonts w:hint="eastAsia" w:ascii="宋体" w:hAnsi="宋体" w:eastAsia="宋体" w:cs="宋体"/>
          <w:color w:val="000000" w:themeColor="text1"/>
          <w:sz w:val="24"/>
          <w14:textFill>
            <w14:solidFill>
              <w14:schemeClr w14:val="tx1"/>
            </w14:solidFill>
          </w14:textFill>
        </w:rPr>
      </w:pPr>
    </w:p>
    <w:p w14:paraId="56F2C052">
      <w:pPr>
        <w:pStyle w:val="11"/>
        <w:rPr>
          <w:color w:val="000000" w:themeColor="text1"/>
          <w14:textFill>
            <w14:solidFill>
              <w14:schemeClr w14:val="tx1"/>
            </w14:solidFill>
          </w14:textFill>
        </w:rPr>
      </w:pPr>
    </w:p>
    <w:p w14:paraId="39C8F889">
      <w:pPr>
        <w:ind w:firstLine="240"/>
        <w:jc w:val="left"/>
        <w:rPr>
          <w:rFonts w:hint="eastAsia" w:ascii="宋体" w:hAnsi="宋体" w:eastAsia="宋体" w:cs="宋体"/>
          <w:color w:val="000000" w:themeColor="text1"/>
          <w:sz w:val="24"/>
          <w14:textFill>
            <w14:solidFill>
              <w14:schemeClr w14:val="tx1"/>
            </w14:solidFill>
          </w14:textFill>
        </w:rPr>
      </w:pPr>
    </w:p>
    <w:p w14:paraId="6DF36513">
      <w:pPr>
        <w:spacing w:line="360" w:lineRule="auto"/>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格式11</w:t>
      </w:r>
    </w:p>
    <w:p w14:paraId="2D798AC8">
      <w:pPr>
        <w:spacing w:line="380" w:lineRule="auto"/>
        <w:jc w:val="cente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政府采购供应商诚信承诺书</w:t>
      </w:r>
    </w:p>
    <w:p w14:paraId="2ACDDE51">
      <w:pPr>
        <w:spacing w:line="380" w:lineRule="auto"/>
        <w:jc w:val="center"/>
        <w:rPr>
          <w:rFonts w:hint="eastAsia" w:ascii="宋体" w:hAnsi="宋体" w:eastAsia="宋体" w:cs="宋体"/>
          <w:b/>
          <w:color w:val="000000" w:themeColor="text1"/>
          <w:szCs w:val="21"/>
          <w14:textFill>
            <w14:solidFill>
              <w14:schemeClr w14:val="tx1"/>
            </w14:solidFill>
          </w14:textFill>
        </w:rPr>
      </w:pPr>
    </w:p>
    <w:p w14:paraId="36D6A417">
      <w:pPr>
        <w:spacing w:line="380" w:lineRule="auto"/>
        <w:ind w:firstLine="72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361D7F3">
      <w:pPr>
        <w:spacing w:line="38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（一）提供虚假材料谋取中标;</w:t>
      </w:r>
    </w:p>
    <w:p w14:paraId="3BA67E10">
      <w:pPr>
        <w:spacing w:line="38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（二）采取不正当手段诋毁、排挤其他供应商;</w:t>
      </w:r>
    </w:p>
    <w:p w14:paraId="7D3EFE28">
      <w:pPr>
        <w:spacing w:line="38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（三）与招标采购单位、其他投标人恶意串通;</w:t>
      </w:r>
    </w:p>
    <w:p w14:paraId="74A93645">
      <w:pPr>
        <w:spacing w:line="38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（四）向招标采购单位或提供其他不正当利益;</w:t>
      </w:r>
    </w:p>
    <w:p w14:paraId="1A93EB15">
      <w:pPr>
        <w:spacing w:line="38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（五）在招标过程中与招标采购单位进行协商谈判、不按照招标文件和投标文件订立合同，或者与采购人另立背离合同实质性内容协议;</w:t>
      </w:r>
    </w:p>
    <w:p w14:paraId="37AE3B67">
      <w:pPr>
        <w:spacing w:line="38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（六）开标后擅自撤销投标，影响招标继续进行的或领取招标文件纳投标保证金后不投标导致废标;</w:t>
      </w:r>
    </w:p>
    <w:p w14:paraId="3229AFCB">
      <w:pPr>
        <w:spacing w:line="38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（七）中标后无正当理由，在规定时间内不与采购单位签订合同;</w:t>
      </w:r>
    </w:p>
    <w:p w14:paraId="0449BC44">
      <w:pPr>
        <w:spacing w:line="38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（八）将中标项目转让给他人或非法分包他人;</w:t>
      </w:r>
    </w:p>
    <w:p w14:paraId="1BC8350D">
      <w:pPr>
        <w:spacing w:line="38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（九）无正当理由，拒绝履行合同义务;</w:t>
      </w:r>
    </w:p>
    <w:p w14:paraId="6AA7FDF9">
      <w:pPr>
        <w:spacing w:line="38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（十）无正当理由放弃中标（成交）项目;</w:t>
      </w:r>
    </w:p>
    <w:p w14:paraId="49C739E2">
      <w:pPr>
        <w:spacing w:line="38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（十ー）撞自或与与采购人串通或接受采购人要求，在履约合同中通过减少货物数量，更换品牌、降低配置、技术要求、质量和服务标准等，却仍按原合同进行虚假验收或终止政府采购合同;</w:t>
      </w:r>
    </w:p>
    <w:p w14:paraId="7B0479AD">
      <w:pPr>
        <w:spacing w:line="38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（十二）与采购人串通，对尚未履约完毕的采购项目出具虚假验收报告；</w:t>
      </w:r>
    </w:p>
    <w:p w14:paraId="75BCD53C">
      <w:pPr>
        <w:spacing w:line="38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（十三）无不可抗力因素，拒绝提供售后服务、售后服务态度恶劣、故意提高维修配件价格（高于市场平均价）；</w:t>
      </w:r>
    </w:p>
    <w:p w14:paraId="684D5482">
      <w:pPr>
        <w:spacing w:line="38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（十四）开标后对招标文件的相关内容再进行质疑；</w:t>
      </w:r>
    </w:p>
    <w:p w14:paraId="79AFE6D9">
      <w:pPr>
        <w:spacing w:line="38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（十五）恶意投诉的行为：投诉经查无实据的、捏造事实或者提供虚假设诉材料；</w:t>
      </w:r>
    </w:p>
    <w:p w14:paraId="6C381B0D">
      <w:pPr>
        <w:spacing w:line="38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（十六）拒绝有关部门监督检查或者提供虚假情况；</w:t>
      </w:r>
    </w:p>
    <w:p w14:paraId="3F72A441">
      <w:pPr>
        <w:spacing w:line="38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（十七）政府采购监管部门认定的其他政府采购活动中的不诚信行为。</w:t>
      </w:r>
    </w:p>
    <w:p w14:paraId="2C14260F">
      <w:pPr>
        <w:spacing w:line="380" w:lineRule="auto"/>
        <w:ind w:firstLine="3360"/>
        <w:rPr>
          <w:rFonts w:hint="eastAsia" w:ascii="宋体" w:hAnsi="宋体" w:eastAsia="宋体" w:cs="宋体"/>
          <w:color w:val="000000" w:themeColor="text1"/>
          <w:szCs w:val="21"/>
          <w14:textFill>
            <w14:solidFill>
              <w14:schemeClr w14:val="tx1"/>
            </w14:solidFill>
          </w14:textFill>
        </w:rPr>
      </w:pPr>
    </w:p>
    <w:p w14:paraId="1C04DC20">
      <w:pPr>
        <w:spacing w:line="380" w:lineRule="auto"/>
        <w:ind w:firstLine="336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供应商名称：（盖章）</w:t>
      </w:r>
    </w:p>
    <w:p w14:paraId="017D86D4">
      <w:pPr>
        <w:spacing w:line="380" w:lineRule="auto"/>
        <w:ind w:firstLine="336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法人代表或授权委托人：（签字）</w:t>
      </w:r>
    </w:p>
    <w:p w14:paraId="47AA2644">
      <w:pPr>
        <w:spacing w:line="380" w:lineRule="auto"/>
        <w:ind w:firstLine="3360"/>
        <w:rPr>
          <w:rFonts w:hint="eastAsia" w:ascii="宋体" w:hAnsi="宋体" w:eastAsia="宋体" w:cs="宋体"/>
          <w:color w:val="000000" w:themeColor="text1"/>
          <w:szCs w:val="21"/>
          <w14:textFill>
            <w14:solidFill>
              <w14:schemeClr w14:val="tx1"/>
            </w14:solidFill>
          </w14:textFill>
        </w:rPr>
      </w:pPr>
    </w:p>
    <w:p w14:paraId="658AE1D5">
      <w:pPr>
        <w:spacing w:line="380" w:lineRule="auto"/>
        <w:ind w:firstLine="3360"/>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日期：年月日</w:t>
      </w:r>
    </w:p>
    <w:p w14:paraId="1C069999">
      <w:pPr>
        <w:spacing w:line="360" w:lineRule="auto"/>
        <w:jc w:val="center"/>
        <w:rPr>
          <w:rFonts w:hint="eastAsia" w:ascii="宋体" w:hAnsi="宋体" w:eastAsia="宋体" w:cs="宋体"/>
          <w:b/>
          <w:color w:val="000000" w:themeColor="text1"/>
          <w:szCs w:val="21"/>
          <w14:textFill>
            <w14:solidFill>
              <w14:schemeClr w14:val="tx1"/>
            </w14:solidFill>
          </w14:textFill>
        </w:rPr>
      </w:pPr>
    </w:p>
    <w:p w14:paraId="443F47AA">
      <w:pPr>
        <w:spacing w:line="360" w:lineRule="auto"/>
        <w:jc w:val="center"/>
        <w:rPr>
          <w:rFonts w:hint="eastAsia" w:ascii="宋体" w:hAnsi="宋体" w:eastAsia="宋体" w:cs="宋体"/>
          <w:b/>
          <w:color w:val="000000" w:themeColor="text1"/>
          <w:szCs w:val="21"/>
          <w14:textFill>
            <w14:solidFill>
              <w14:schemeClr w14:val="tx1"/>
            </w14:solidFill>
          </w14:textFill>
        </w:rPr>
      </w:pPr>
    </w:p>
    <w:p w14:paraId="4AAD30BB">
      <w:pPr>
        <w:ind w:firstLine="420"/>
        <w:jc w:val="left"/>
        <w:rPr>
          <w:rFonts w:hint="eastAsia" w:ascii="宋体" w:hAnsi="宋体" w:eastAsia="宋体" w:cs="宋体"/>
          <w:b/>
          <w:color w:val="000000" w:themeColor="text1"/>
          <w:szCs w:val="21"/>
          <w14:textFill>
            <w14:solidFill>
              <w14:schemeClr w14:val="tx1"/>
            </w14:solidFill>
          </w14:textFill>
        </w:rPr>
      </w:pPr>
    </w:p>
    <w:p w14:paraId="713345F4">
      <w:pPr>
        <w:ind w:firstLine="420"/>
        <w:jc w:val="left"/>
        <w:rPr>
          <w:rFonts w:hint="eastAsia" w:ascii="宋体" w:hAnsi="宋体" w:eastAsia="宋体" w:cs="宋体"/>
          <w:b/>
          <w:color w:val="000000" w:themeColor="text1"/>
          <w:szCs w:val="21"/>
          <w14:textFill>
            <w14:solidFill>
              <w14:schemeClr w14:val="tx1"/>
            </w14:solidFill>
          </w14:textFill>
        </w:rPr>
      </w:pPr>
    </w:p>
    <w:p w14:paraId="570FA18B">
      <w:pPr>
        <w:ind w:firstLine="420"/>
        <w:jc w:val="left"/>
        <w:rPr>
          <w:rFonts w:hint="eastAsia" w:ascii="宋体" w:hAnsi="宋体" w:eastAsia="宋体" w:cs="宋体"/>
          <w:b/>
          <w:color w:val="000000" w:themeColor="text1"/>
          <w:szCs w:val="21"/>
          <w14:textFill>
            <w14:solidFill>
              <w14:schemeClr w14:val="tx1"/>
            </w14:solidFill>
          </w14:textFill>
        </w:rPr>
      </w:pPr>
    </w:p>
    <w:p w14:paraId="0DB52DBC">
      <w:pPr>
        <w:ind w:firstLine="420"/>
        <w:jc w:val="left"/>
        <w:rPr>
          <w:rFonts w:hint="eastAsia" w:ascii="宋体" w:hAnsi="宋体" w:eastAsia="宋体" w:cs="宋体"/>
          <w:b/>
          <w:color w:val="000000" w:themeColor="text1"/>
          <w:szCs w:val="21"/>
          <w14:textFill>
            <w14:solidFill>
              <w14:schemeClr w14:val="tx1"/>
            </w14:solidFill>
          </w14:textFill>
        </w:rPr>
      </w:pPr>
    </w:p>
    <w:p w14:paraId="7AA84FC6">
      <w:pPr>
        <w:ind w:firstLine="420"/>
        <w:jc w:val="left"/>
        <w:rPr>
          <w:rFonts w:hint="eastAsia" w:ascii="宋体" w:hAnsi="宋体" w:eastAsia="宋体" w:cs="宋体"/>
          <w:b/>
          <w:color w:val="000000" w:themeColor="text1"/>
          <w:szCs w:val="21"/>
          <w14:textFill>
            <w14:solidFill>
              <w14:schemeClr w14:val="tx1"/>
            </w14:solidFill>
          </w14:textFill>
        </w:rPr>
      </w:pPr>
    </w:p>
    <w:p w14:paraId="26094DE7">
      <w:pPr>
        <w:pStyle w:val="11"/>
        <w:rPr>
          <w:rFonts w:hint="eastAsia" w:ascii="宋体" w:hAnsi="宋体" w:cs="宋体"/>
          <w:b/>
          <w:color w:val="000000" w:themeColor="text1"/>
          <w:szCs w:val="21"/>
          <w14:textFill>
            <w14:solidFill>
              <w14:schemeClr w14:val="tx1"/>
            </w14:solidFill>
          </w14:textFill>
        </w:rPr>
      </w:pPr>
    </w:p>
    <w:p w14:paraId="4DFE4AD8">
      <w:pPr>
        <w:pStyle w:val="4"/>
        <w:rPr>
          <w:rFonts w:hint="eastAsia" w:ascii="宋体" w:hAnsi="宋体" w:eastAsia="宋体" w:cs="宋体"/>
          <w:b/>
          <w:color w:val="000000" w:themeColor="text1"/>
          <w:sz w:val="21"/>
          <w:szCs w:val="21"/>
          <w14:textFill>
            <w14:solidFill>
              <w14:schemeClr w14:val="tx1"/>
            </w14:solidFill>
          </w14:textFill>
        </w:rPr>
      </w:pPr>
    </w:p>
    <w:p w14:paraId="2F8A1597">
      <w:pPr>
        <w:rPr>
          <w:rFonts w:hint="eastAsia" w:ascii="宋体" w:hAnsi="宋体" w:eastAsia="宋体" w:cs="宋体"/>
          <w:b/>
          <w:color w:val="000000" w:themeColor="text1"/>
          <w:szCs w:val="21"/>
          <w14:textFill>
            <w14:solidFill>
              <w14:schemeClr w14:val="tx1"/>
            </w14:solidFill>
          </w14:textFill>
        </w:rPr>
      </w:pPr>
    </w:p>
    <w:p w14:paraId="5F6B0284">
      <w:pPr>
        <w:pStyle w:val="11"/>
        <w:rPr>
          <w:rFonts w:hint="eastAsia" w:ascii="宋体" w:hAnsi="宋体" w:cs="宋体"/>
          <w:b/>
          <w:color w:val="000000" w:themeColor="text1"/>
          <w:szCs w:val="21"/>
          <w14:textFill>
            <w14:solidFill>
              <w14:schemeClr w14:val="tx1"/>
            </w14:solidFill>
          </w14:textFill>
        </w:rPr>
      </w:pPr>
    </w:p>
    <w:p w14:paraId="274C78CB">
      <w:pPr>
        <w:pStyle w:val="4"/>
        <w:rPr>
          <w:color w:val="000000" w:themeColor="text1"/>
          <w14:textFill>
            <w14:solidFill>
              <w14:schemeClr w14:val="tx1"/>
            </w14:solidFill>
          </w14:textFill>
        </w:rPr>
      </w:pPr>
    </w:p>
    <w:p w14:paraId="3BC2BA5F">
      <w:pPr>
        <w:rPr>
          <w:color w:val="000000" w:themeColor="text1"/>
          <w14:textFill>
            <w14:solidFill>
              <w14:schemeClr w14:val="tx1"/>
            </w14:solidFill>
          </w14:textFill>
        </w:rPr>
      </w:pPr>
    </w:p>
    <w:p w14:paraId="387491F3">
      <w:pPr>
        <w:pStyle w:val="2"/>
        <w:ind w:firstLine="210"/>
        <w:rPr>
          <w:color w:val="000000" w:themeColor="text1"/>
          <w14:textFill>
            <w14:solidFill>
              <w14:schemeClr w14:val="tx1"/>
            </w14:solidFill>
          </w14:textFill>
        </w:rPr>
      </w:pPr>
    </w:p>
    <w:p w14:paraId="6B0FDD09">
      <w:pPr>
        <w:pStyle w:val="2"/>
        <w:ind w:firstLine="210"/>
        <w:rPr>
          <w:color w:val="000000" w:themeColor="text1"/>
          <w14:textFill>
            <w14:solidFill>
              <w14:schemeClr w14:val="tx1"/>
            </w14:solidFill>
          </w14:textFill>
        </w:rPr>
      </w:pPr>
    </w:p>
    <w:p w14:paraId="5A9F803A">
      <w:pPr>
        <w:pStyle w:val="2"/>
        <w:ind w:firstLine="210"/>
        <w:rPr>
          <w:color w:val="000000" w:themeColor="text1"/>
          <w14:textFill>
            <w14:solidFill>
              <w14:schemeClr w14:val="tx1"/>
            </w14:solidFill>
          </w14:textFill>
        </w:rPr>
      </w:pPr>
    </w:p>
    <w:p w14:paraId="340728E2">
      <w:pPr>
        <w:pStyle w:val="2"/>
        <w:ind w:firstLine="210"/>
        <w:rPr>
          <w:color w:val="000000" w:themeColor="text1"/>
          <w14:textFill>
            <w14:solidFill>
              <w14:schemeClr w14:val="tx1"/>
            </w14:solidFill>
          </w14:textFill>
        </w:rPr>
      </w:pPr>
    </w:p>
    <w:p w14:paraId="11B82A97">
      <w:pPr>
        <w:pStyle w:val="2"/>
        <w:ind w:firstLine="210"/>
        <w:rPr>
          <w:color w:val="000000" w:themeColor="text1"/>
          <w14:textFill>
            <w14:solidFill>
              <w14:schemeClr w14:val="tx1"/>
            </w14:solidFill>
          </w14:textFill>
        </w:rPr>
      </w:pPr>
    </w:p>
    <w:p w14:paraId="61469714">
      <w:pPr>
        <w:pStyle w:val="2"/>
        <w:ind w:firstLine="210"/>
        <w:rPr>
          <w:color w:val="000000" w:themeColor="text1"/>
          <w14:textFill>
            <w14:solidFill>
              <w14:schemeClr w14:val="tx1"/>
            </w14:solidFill>
          </w14:textFill>
        </w:rPr>
      </w:pPr>
    </w:p>
    <w:p w14:paraId="6C1ECB41">
      <w:pPr>
        <w:pStyle w:val="2"/>
        <w:ind w:firstLine="210"/>
        <w:rPr>
          <w:color w:val="000000" w:themeColor="text1"/>
          <w14:textFill>
            <w14:solidFill>
              <w14:schemeClr w14:val="tx1"/>
            </w14:solidFill>
          </w14:textFill>
        </w:rPr>
      </w:pPr>
    </w:p>
    <w:p w14:paraId="74687984">
      <w:pPr>
        <w:pStyle w:val="2"/>
        <w:ind w:firstLine="210"/>
        <w:rPr>
          <w:color w:val="000000" w:themeColor="text1"/>
          <w14:textFill>
            <w14:solidFill>
              <w14:schemeClr w14:val="tx1"/>
            </w14:solidFill>
          </w14:textFill>
        </w:rPr>
      </w:pPr>
    </w:p>
    <w:p w14:paraId="670AB55C">
      <w:pPr>
        <w:pStyle w:val="2"/>
        <w:ind w:firstLine="210"/>
        <w:rPr>
          <w:color w:val="000000" w:themeColor="text1"/>
          <w14:textFill>
            <w14:solidFill>
              <w14:schemeClr w14:val="tx1"/>
            </w14:solidFill>
          </w14:textFill>
        </w:rPr>
      </w:pPr>
    </w:p>
    <w:p w14:paraId="20DC86BB">
      <w:pPr>
        <w:pStyle w:val="4"/>
        <w:rPr>
          <w:rFonts w:hint="eastAsia" w:ascii="宋体" w:hAnsi="宋体" w:eastAsia="宋体" w:cs="宋体"/>
          <w:b/>
          <w:color w:val="000000" w:themeColor="text1"/>
          <w:sz w:val="21"/>
          <w:szCs w:val="21"/>
          <w14:textFill>
            <w14:solidFill>
              <w14:schemeClr w14:val="tx1"/>
            </w14:solidFill>
          </w14:textFill>
        </w:rPr>
      </w:pPr>
    </w:p>
    <w:p w14:paraId="47297486">
      <w:pPr>
        <w:rPr>
          <w:rFonts w:hint="eastAsia" w:ascii="宋体" w:hAnsi="宋体" w:eastAsia="宋体" w:cs="宋体"/>
          <w:b/>
          <w:color w:val="000000" w:themeColor="text1"/>
          <w:szCs w:val="21"/>
          <w14:textFill>
            <w14:solidFill>
              <w14:schemeClr w14:val="tx1"/>
            </w14:solidFill>
          </w14:textFill>
        </w:rPr>
      </w:pPr>
    </w:p>
    <w:p w14:paraId="1C680230">
      <w:pPr>
        <w:pStyle w:val="11"/>
        <w:rPr>
          <w:rFonts w:hint="eastAsia" w:ascii="宋体" w:hAnsi="宋体" w:cs="宋体"/>
          <w:b/>
          <w:color w:val="000000" w:themeColor="text1"/>
          <w:szCs w:val="21"/>
          <w14:textFill>
            <w14:solidFill>
              <w14:schemeClr w14:val="tx1"/>
            </w14:solidFill>
          </w14:textFill>
        </w:rPr>
      </w:pPr>
    </w:p>
    <w:p w14:paraId="5D28A62E">
      <w:pPr>
        <w:pStyle w:val="4"/>
        <w:rPr>
          <w:rFonts w:hint="eastAsia" w:ascii="宋体" w:hAnsi="宋体" w:eastAsia="宋体" w:cs="宋体"/>
          <w:color w:val="000000" w:themeColor="text1"/>
          <w:sz w:val="21"/>
          <w:szCs w:val="21"/>
          <w14:textFill>
            <w14:solidFill>
              <w14:schemeClr w14:val="tx1"/>
            </w14:solidFill>
          </w14:textFill>
        </w:rPr>
      </w:pPr>
    </w:p>
    <w:p w14:paraId="7B7C1C22">
      <w:pPr>
        <w:ind w:firstLine="420"/>
        <w:jc w:val="left"/>
        <w:rPr>
          <w:rFonts w:hint="eastAsia" w:ascii="宋体" w:hAnsi="宋体" w:eastAsia="宋体" w:cs="宋体"/>
          <w:b/>
          <w:color w:val="000000" w:themeColor="text1"/>
          <w:szCs w:val="21"/>
          <w14:textFill>
            <w14:solidFill>
              <w14:schemeClr w14:val="tx1"/>
            </w14:solidFill>
          </w14:textFill>
        </w:rPr>
      </w:pPr>
    </w:p>
    <w:p w14:paraId="635033FE">
      <w:pPr>
        <w:ind w:firstLine="420"/>
        <w:jc w:val="left"/>
        <w:rPr>
          <w:rFonts w:hint="eastAsia" w:ascii="宋体" w:hAnsi="宋体" w:eastAsia="宋体" w:cs="宋体"/>
          <w:b/>
          <w:color w:val="000000" w:themeColor="text1"/>
          <w:szCs w:val="21"/>
          <w14:textFill>
            <w14:solidFill>
              <w14:schemeClr w14:val="tx1"/>
            </w14:solidFill>
          </w14:textFill>
        </w:rPr>
      </w:pPr>
    </w:p>
    <w:p w14:paraId="16E789FE">
      <w:pPr>
        <w:ind w:firstLine="420"/>
        <w:jc w:val="left"/>
        <w:rPr>
          <w:rFonts w:hint="eastAsia" w:ascii="宋体" w:hAnsi="宋体" w:eastAsia="宋体" w:cs="宋体"/>
          <w:b/>
          <w:color w:val="000000" w:themeColor="text1"/>
          <w:szCs w:val="21"/>
          <w14:textFill>
            <w14:solidFill>
              <w14:schemeClr w14:val="tx1"/>
            </w14:solidFill>
          </w14:textFill>
        </w:rPr>
      </w:pPr>
    </w:p>
    <w:p w14:paraId="4BA58C45">
      <w:pPr>
        <w:ind w:firstLine="420"/>
        <w:jc w:val="left"/>
        <w:rPr>
          <w:rFonts w:hint="eastAsia" w:ascii="宋体" w:hAnsi="宋体" w:eastAsia="宋体" w:cs="宋体"/>
          <w:b/>
          <w:color w:val="000000" w:themeColor="text1"/>
          <w:szCs w:val="21"/>
          <w14:textFill>
            <w14:solidFill>
              <w14:schemeClr w14:val="tx1"/>
            </w14:solidFill>
          </w14:textFill>
        </w:rPr>
      </w:pPr>
    </w:p>
    <w:p w14:paraId="29031958">
      <w:pPr>
        <w:ind w:firstLine="321"/>
        <w:jc w:val="cente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周口市政府采购合同融资政策告知函</w:t>
      </w:r>
    </w:p>
    <w:p w14:paraId="76F01C7B">
      <w:pPr>
        <w:ind w:firstLine="240"/>
        <w:jc w:val="left"/>
        <w:rPr>
          <w:rFonts w:hint="eastAsia" w:ascii="宋体" w:hAnsi="宋体" w:eastAsia="宋体" w:cs="宋体"/>
          <w:color w:val="000000" w:themeColor="text1"/>
          <w:szCs w:val="21"/>
          <w14:textFill>
            <w14:solidFill>
              <w14:schemeClr w14:val="tx1"/>
            </w14:solidFill>
          </w14:textFill>
        </w:rPr>
      </w:pPr>
    </w:p>
    <w:p w14:paraId="7481A0E1">
      <w:pPr>
        <w:ind w:firstLine="240"/>
        <w:jc w:val="left"/>
        <w:rPr>
          <w:rFonts w:hint="eastAsia" w:ascii="宋体" w:hAnsi="宋体" w:eastAsia="宋体" w:cs="宋体"/>
          <w:color w:val="000000" w:themeColor="text1"/>
          <w:szCs w:val="21"/>
          <w14:textFill>
            <w14:solidFill>
              <w14:schemeClr w14:val="tx1"/>
            </w14:solidFill>
          </w14:textFill>
        </w:rPr>
      </w:pPr>
    </w:p>
    <w:p w14:paraId="2C05BDDE">
      <w:pPr>
        <w:ind w:firstLine="240"/>
        <w:jc w:val="left"/>
        <w:rPr>
          <w:rFonts w:hint="eastAsia" w:ascii="宋体" w:hAnsi="宋体" w:eastAsia="宋体" w:cs="宋体"/>
          <w:color w:val="000000" w:themeColor="text1"/>
          <w:szCs w:val="21"/>
          <w14:textFill>
            <w14:solidFill>
              <w14:schemeClr w14:val="tx1"/>
            </w14:solidFill>
          </w14:textFill>
        </w:rPr>
      </w:pPr>
    </w:p>
    <w:p w14:paraId="7351B74D">
      <w:pPr>
        <w:ind w:firstLine="240"/>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各供应商：</w:t>
      </w:r>
    </w:p>
    <w:p w14:paraId="20F1F405">
      <w:pPr>
        <w:ind w:firstLine="240"/>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欢迎贵公司参与周口市政府采购活动！</w:t>
      </w:r>
    </w:p>
    <w:p w14:paraId="7D2B1EC8">
      <w:pPr>
        <w:ind w:firstLine="240"/>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A48DCFB">
      <w:pPr>
        <w:ind w:firstLine="240"/>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贷款渠道和提供贷款的金融机构，可在河南省政府采购网“河南省政府采购合同融资平台”查询联系。</w:t>
      </w:r>
    </w:p>
    <w:p w14:paraId="585292FA">
      <w:pPr>
        <w:ind w:firstLine="420"/>
        <w:jc w:val="left"/>
        <w:rPr>
          <w:rFonts w:hint="eastAsia" w:ascii="宋体" w:hAnsi="宋体" w:eastAsia="宋体" w:cs="宋体"/>
          <w:b/>
          <w:color w:val="000000" w:themeColor="text1"/>
          <w:szCs w:val="21"/>
          <w14:textFill>
            <w14:solidFill>
              <w14:schemeClr w14:val="tx1"/>
            </w14:solidFill>
          </w14:textFill>
        </w:rPr>
      </w:pPr>
    </w:p>
    <w:p w14:paraId="72DD5C28">
      <w:pPr>
        <w:pStyle w:val="11"/>
        <w:rPr>
          <w:rFonts w:hint="eastAsia" w:ascii="宋体" w:hAnsi="宋体" w:cs="宋体"/>
          <w:b/>
          <w:color w:val="000000" w:themeColor="text1"/>
          <w:szCs w:val="21"/>
          <w14:textFill>
            <w14:solidFill>
              <w14:schemeClr w14:val="tx1"/>
            </w14:solidFill>
          </w14:textFill>
        </w:rPr>
      </w:pPr>
    </w:p>
    <w:p w14:paraId="3125547B">
      <w:pPr>
        <w:pStyle w:val="4"/>
        <w:rPr>
          <w:rFonts w:hint="eastAsia" w:ascii="宋体" w:hAnsi="宋体" w:eastAsia="宋体" w:cs="宋体"/>
          <w:b/>
          <w:color w:val="000000" w:themeColor="text1"/>
          <w:sz w:val="28"/>
          <w14:textFill>
            <w14:solidFill>
              <w14:schemeClr w14:val="tx1"/>
            </w14:solidFill>
          </w14:textFill>
        </w:rPr>
      </w:pPr>
    </w:p>
    <w:p w14:paraId="0026C688">
      <w:pPr>
        <w:rPr>
          <w:rFonts w:hint="eastAsia" w:ascii="宋体" w:hAnsi="宋体" w:eastAsia="宋体" w:cs="宋体"/>
          <w:b/>
          <w:color w:val="000000" w:themeColor="text1"/>
          <w:sz w:val="28"/>
          <w14:textFill>
            <w14:solidFill>
              <w14:schemeClr w14:val="tx1"/>
            </w14:solidFill>
          </w14:textFill>
        </w:rPr>
      </w:pPr>
    </w:p>
    <w:p w14:paraId="6A9B0CB2">
      <w:pPr>
        <w:pStyle w:val="11"/>
        <w:rPr>
          <w:rFonts w:hint="eastAsia" w:ascii="宋体" w:hAnsi="宋体" w:cs="宋体"/>
          <w:b/>
          <w:color w:val="000000" w:themeColor="text1"/>
          <w:sz w:val="28"/>
          <w14:textFill>
            <w14:solidFill>
              <w14:schemeClr w14:val="tx1"/>
            </w14:solidFill>
          </w14:textFill>
        </w:rPr>
      </w:pPr>
    </w:p>
    <w:p w14:paraId="5942F8D5">
      <w:pPr>
        <w:pStyle w:val="4"/>
        <w:rPr>
          <w:rFonts w:hint="eastAsia" w:ascii="宋体" w:hAnsi="宋体" w:eastAsia="宋体" w:cs="宋体"/>
          <w:b/>
          <w:color w:val="000000" w:themeColor="text1"/>
          <w:sz w:val="28"/>
          <w14:textFill>
            <w14:solidFill>
              <w14:schemeClr w14:val="tx1"/>
            </w14:solidFill>
          </w14:textFill>
        </w:rPr>
      </w:pPr>
    </w:p>
    <w:p w14:paraId="7950E861">
      <w:pPr>
        <w:rPr>
          <w:rFonts w:hint="eastAsia" w:ascii="宋体" w:hAnsi="宋体" w:eastAsia="宋体" w:cs="宋体"/>
          <w:b/>
          <w:color w:val="000000" w:themeColor="text1"/>
          <w:sz w:val="28"/>
          <w14:textFill>
            <w14:solidFill>
              <w14:schemeClr w14:val="tx1"/>
            </w14:solidFill>
          </w14:textFill>
        </w:rPr>
      </w:pPr>
    </w:p>
    <w:p w14:paraId="2FEFCBBF">
      <w:pPr>
        <w:pStyle w:val="11"/>
        <w:rPr>
          <w:rFonts w:hint="eastAsia" w:ascii="宋体" w:hAnsi="宋体" w:cs="宋体"/>
          <w:b/>
          <w:color w:val="000000" w:themeColor="text1"/>
          <w:sz w:val="28"/>
          <w14:textFill>
            <w14:solidFill>
              <w14:schemeClr w14:val="tx1"/>
            </w14:solidFill>
          </w14:textFill>
        </w:rPr>
      </w:pPr>
    </w:p>
    <w:p w14:paraId="1D6837A1">
      <w:pPr>
        <w:pStyle w:val="4"/>
        <w:rPr>
          <w:rFonts w:hint="eastAsia" w:ascii="宋体" w:hAnsi="宋体" w:eastAsia="宋体" w:cs="宋体"/>
          <w:b/>
          <w:color w:val="000000" w:themeColor="text1"/>
          <w:sz w:val="28"/>
          <w14:textFill>
            <w14:solidFill>
              <w14:schemeClr w14:val="tx1"/>
            </w14:solidFill>
          </w14:textFill>
        </w:rPr>
      </w:pPr>
    </w:p>
    <w:p w14:paraId="422ADBC7">
      <w:pPr>
        <w:rPr>
          <w:rFonts w:hint="eastAsia" w:ascii="宋体" w:hAnsi="宋体" w:eastAsia="宋体" w:cs="宋体"/>
          <w:b/>
          <w:color w:val="000000" w:themeColor="text1"/>
          <w:sz w:val="28"/>
          <w14:textFill>
            <w14:solidFill>
              <w14:schemeClr w14:val="tx1"/>
            </w14:solidFill>
          </w14:textFill>
        </w:rPr>
      </w:pPr>
    </w:p>
    <w:p w14:paraId="013E354B">
      <w:pPr>
        <w:pStyle w:val="11"/>
        <w:rPr>
          <w:rFonts w:hint="eastAsia" w:ascii="宋体" w:hAnsi="宋体" w:cs="宋体"/>
          <w:b/>
          <w:color w:val="000000" w:themeColor="text1"/>
          <w:sz w:val="28"/>
          <w14:textFill>
            <w14:solidFill>
              <w14:schemeClr w14:val="tx1"/>
            </w14:solidFill>
          </w14:textFill>
        </w:rPr>
      </w:pPr>
    </w:p>
    <w:p w14:paraId="4A8F231C">
      <w:pPr>
        <w:pStyle w:val="4"/>
        <w:rPr>
          <w:rFonts w:hint="eastAsia" w:ascii="宋体" w:hAnsi="宋体" w:eastAsia="宋体" w:cs="宋体"/>
          <w:b/>
          <w:color w:val="000000" w:themeColor="text1"/>
          <w:sz w:val="28"/>
          <w14:textFill>
            <w14:solidFill>
              <w14:schemeClr w14:val="tx1"/>
            </w14:solidFill>
          </w14:textFill>
        </w:rPr>
      </w:pPr>
    </w:p>
    <w:p w14:paraId="7042D119">
      <w:pPr>
        <w:rPr>
          <w:rFonts w:hint="eastAsia" w:ascii="宋体" w:hAnsi="宋体" w:eastAsia="宋体" w:cs="宋体"/>
          <w:b/>
          <w:color w:val="000000" w:themeColor="text1"/>
          <w:sz w:val="28"/>
          <w14:textFill>
            <w14:solidFill>
              <w14:schemeClr w14:val="tx1"/>
            </w14:solidFill>
          </w14:textFill>
        </w:rPr>
      </w:pPr>
    </w:p>
    <w:p w14:paraId="4E5C8EE9">
      <w:pPr>
        <w:pStyle w:val="11"/>
        <w:rPr>
          <w:rFonts w:hint="eastAsia" w:ascii="宋体" w:hAnsi="宋体" w:cs="宋体"/>
          <w:b/>
          <w:color w:val="000000" w:themeColor="text1"/>
          <w:sz w:val="28"/>
          <w14:textFill>
            <w14:solidFill>
              <w14:schemeClr w14:val="tx1"/>
            </w14:solidFill>
          </w14:textFill>
        </w:rPr>
      </w:pPr>
    </w:p>
    <w:p w14:paraId="4FE370F6">
      <w:pPr>
        <w:pStyle w:val="4"/>
        <w:rPr>
          <w:rFonts w:hint="eastAsia" w:ascii="宋体" w:hAnsi="宋体" w:eastAsia="宋体" w:cs="宋体"/>
          <w:b/>
          <w:color w:val="000000" w:themeColor="text1"/>
          <w:sz w:val="28"/>
          <w14:textFill>
            <w14:solidFill>
              <w14:schemeClr w14:val="tx1"/>
            </w14:solidFill>
          </w14:textFill>
        </w:rPr>
      </w:pPr>
    </w:p>
    <w:p w14:paraId="637171EB">
      <w:pPr>
        <w:rPr>
          <w:rFonts w:hint="eastAsia" w:ascii="宋体" w:hAnsi="宋体" w:eastAsia="宋体" w:cs="宋体"/>
          <w:b/>
          <w:color w:val="000000" w:themeColor="text1"/>
          <w:sz w:val="28"/>
          <w14:textFill>
            <w14:solidFill>
              <w14:schemeClr w14:val="tx1"/>
            </w14:solidFill>
          </w14:textFill>
        </w:rPr>
      </w:pPr>
    </w:p>
    <w:p w14:paraId="122C3B6F">
      <w:pPr>
        <w:pStyle w:val="11"/>
        <w:rPr>
          <w:color w:val="000000" w:themeColor="text1"/>
          <w14:textFill>
            <w14:solidFill>
              <w14:schemeClr w14:val="tx1"/>
            </w14:solidFill>
          </w14:textFill>
        </w:rPr>
      </w:pPr>
    </w:p>
    <w:p w14:paraId="45F0DCDA">
      <w:pPr>
        <w:pStyle w:val="11"/>
        <w:rPr>
          <w:rFonts w:hint="eastAsia" w:ascii="宋体" w:hAnsi="宋体" w:cs="宋体"/>
          <w:b/>
          <w:color w:val="000000" w:themeColor="text1"/>
          <w:sz w:val="28"/>
          <w14:textFill>
            <w14:solidFill>
              <w14:schemeClr w14:val="tx1"/>
            </w14:solidFill>
          </w14:textFill>
        </w:rPr>
      </w:pPr>
    </w:p>
    <w:p w14:paraId="445574A2">
      <w:pPr>
        <w:pStyle w:val="11"/>
        <w:rPr>
          <w:rFonts w:hint="eastAsia" w:ascii="宋体" w:hAnsi="宋体" w:cs="宋体"/>
          <w:b/>
          <w:color w:val="000000" w:themeColor="text1"/>
          <w:sz w:val="28"/>
          <w14:textFill>
            <w14:solidFill>
              <w14:schemeClr w14:val="tx1"/>
            </w14:solidFill>
          </w14:textFill>
        </w:rPr>
      </w:pPr>
    </w:p>
    <w:p w14:paraId="1D6831BC">
      <w:pPr>
        <w:pStyle w:val="11"/>
        <w:rPr>
          <w:rFonts w:hint="eastAsia" w:ascii="宋体" w:hAnsi="宋体" w:cs="宋体"/>
          <w:b/>
          <w:color w:val="000000" w:themeColor="text1"/>
          <w:sz w:val="28"/>
          <w14:textFill>
            <w14:solidFill>
              <w14:schemeClr w14:val="tx1"/>
            </w14:solidFill>
          </w14:textFill>
        </w:rPr>
      </w:pPr>
    </w:p>
    <w:p w14:paraId="4148CCB1">
      <w:pPr>
        <w:pStyle w:val="11"/>
        <w:rPr>
          <w:rFonts w:hint="eastAsia" w:ascii="宋体" w:hAnsi="宋体" w:cs="宋体"/>
          <w:b/>
          <w:color w:val="000000" w:themeColor="text1"/>
          <w:sz w:val="28"/>
          <w14:textFill>
            <w14:solidFill>
              <w14:schemeClr w14:val="tx1"/>
            </w14:solidFill>
          </w14:textFill>
        </w:rPr>
      </w:pPr>
      <w:r>
        <w:rPr>
          <w:rFonts w:ascii="宋体" w:hAnsi="宋体" w:cs="宋体"/>
          <w:b/>
          <w:color w:val="000000" w:themeColor="text1"/>
          <w:sz w:val="28"/>
          <w14:textFill>
            <w14:solidFill>
              <w14:schemeClr w14:val="tx1"/>
            </w14:solidFill>
          </w14:textFill>
        </w:rPr>
        <w:t xml:space="preserve"> </w:t>
      </w:r>
    </w:p>
    <w:p w14:paraId="20E18283">
      <w:pPr>
        <w:spacing w:line="500" w:lineRule="auto"/>
        <w:jc w:val="center"/>
        <w:rPr>
          <w:rFonts w:hint="eastAsia" w:ascii="方正小标宋简体" w:hAnsi="方正小标宋简体" w:eastAsia="方正小标宋简体" w:cs="方正小标宋简体"/>
          <w:color w:val="000000" w:themeColor="text1"/>
          <w:sz w:val="28"/>
          <w14:textFill>
            <w14:solidFill>
              <w14:schemeClr w14:val="tx1"/>
            </w14:solidFill>
          </w14:textFill>
        </w:rPr>
      </w:pPr>
      <w:r>
        <w:rPr>
          <w:rFonts w:ascii="宋体" w:hAnsi="宋体" w:eastAsia="宋体" w:cs="宋体"/>
          <w:color w:val="000000" w:themeColor="text1"/>
          <w:sz w:val="28"/>
          <w14:textFill>
            <w14:solidFill>
              <w14:schemeClr w14:val="tx1"/>
            </w14:solidFill>
          </w14:textFill>
        </w:rPr>
        <w:t>周口市政府采购合同（货物类）标准文本</w:t>
      </w:r>
    </w:p>
    <w:p w14:paraId="065897C3">
      <w:pPr>
        <w:rPr>
          <w:rFonts w:hint="eastAsia" w:ascii="黑体" w:hAnsi="黑体" w:eastAsia="黑体" w:cs="黑体"/>
          <w:color w:val="000000" w:themeColor="text1"/>
          <w:sz w:val="32"/>
          <w14:textFill>
            <w14:solidFill>
              <w14:schemeClr w14:val="tx1"/>
            </w14:solidFill>
          </w14:textFill>
        </w:rPr>
      </w:pPr>
    </w:p>
    <w:p w14:paraId="0FC2C1D9">
      <w:pPr>
        <w:spacing w:line="300" w:lineRule="auto"/>
        <w:rPr>
          <w:rFonts w:hint="eastAsia" w:ascii="黑体" w:hAnsi="黑体" w:eastAsia="黑体" w:cs="黑体"/>
          <w:color w:val="000000" w:themeColor="text1"/>
          <w:sz w:val="30"/>
          <w14:textFill>
            <w14:solidFill>
              <w14:schemeClr w14:val="tx1"/>
            </w14:solidFill>
          </w14:textFill>
        </w:rPr>
      </w:pPr>
    </w:p>
    <w:p w14:paraId="3D93698A">
      <w:pPr>
        <w:spacing w:line="300" w:lineRule="auto"/>
        <w:rPr>
          <w:rFonts w:hint="eastAsia" w:ascii="黑体" w:hAnsi="黑体" w:eastAsia="黑体" w:cs="黑体"/>
          <w:color w:val="000000" w:themeColor="text1"/>
          <w:sz w:val="30"/>
          <w14:textFill>
            <w14:solidFill>
              <w14:schemeClr w14:val="tx1"/>
            </w14:solidFill>
          </w14:textFill>
        </w:rPr>
      </w:pPr>
    </w:p>
    <w:p w14:paraId="5B44A674">
      <w:pPr>
        <w:spacing w:line="300" w:lineRule="auto"/>
        <w:rPr>
          <w:rFonts w:hint="eastAsia" w:ascii="黑体" w:hAnsi="黑体" w:eastAsia="黑体" w:cs="黑体"/>
          <w:color w:val="000000" w:themeColor="text1"/>
          <w:sz w:val="30"/>
          <w14:textFill>
            <w14:solidFill>
              <w14:schemeClr w14:val="tx1"/>
            </w14:solidFill>
          </w14:textFill>
        </w:rPr>
      </w:pPr>
    </w:p>
    <w:p w14:paraId="73B28961">
      <w:pPr>
        <w:spacing w:line="300" w:lineRule="auto"/>
        <w:rPr>
          <w:rFonts w:hint="eastAsia" w:ascii="黑体" w:hAnsi="黑体" w:eastAsia="黑体" w:cs="黑体"/>
          <w:color w:val="000000" w:themeColor="text1"/>
          <w:sz w:val="30"/>
          <w14:textFill>
            <w14:solidFill>
              <w14:schemeClr w14:val="tx1"/>
            </w14:solidFill>
          </w14:textFill>
        </w:rPr>
      </w:pPr>
    </w:p>
    <w:p w14:paraId="234D34E4">
      <w:pPr>
        <w:spacing w:line="300" w:lineRule="auto"/>
        <w:rPr>
          <w:rFonts w:hint="eastAsia" w:ascii="黑体" w:hAnsi="黑体" w:eastAsia="黑体" w:cs="黑体"/>
          <w:color w:val="000000" w:themeColor="text1"/>
          <w:sz w:val="30"/>
          <w14:textFill>
            <w14:solidFill>
              <w14:schemeClr w14:val="tx1"/>
            </w14:solidFill>
          </w14:textFill>
        </w:rPr>
      </w:pPr>
    </w:p>
    <w:p w14:paraId="63F2E2F9">
      <w:pPr>
        <w:spacing w:line="300" w:lineRule="auto"/>
        <w:rPr>
          <w:rFonts w:hint="eastAsia" w:ascii="黑体" w:hAnsi="黑体" w:eastAsia="黑体" w:cs="黑体"/>
          <w:color w:val="000000" w:themeColor="text1"/>
          <w:sz w:val="30"/>
          <w14:textFill>
            <w14:solidFill>
              <w14:schemeClr w14:val="tx1"/>
            </w14:solidFill>
          </w14:textFill>
        </w:rPr>
      </w:pPr>
    </w:p>
    <w:p w14:paraId="77FA439E">
      <w:pPr>
        <w:spacing w:line="300" w:lineRule="auto"/>
        <w:rPr>
          <w:rFonts w:hint="eastAsia" w:ascii="黑体" w:hAnsi="黑体" w:eastAsia="黑体" w:cs="黑体"/>
          <w:color w:val="000000" w:themeColor="text1"/>
          <w:sz w:val="30"/>
          <w14:textFill>
            <w14:solidFill>
              <w14:schemeClr w14:val="tx1"/>
            </w14:solidFill>
          </w14:textFill>
        </w:rPr>
      </w:pPr>
      <w:r>
        <w:rPr>
          <w:rFonts w:ascii="黑体" w:hAnsi="黑体" w:eastAsia="黑体" w:cs="黑体"/>
          <w:color w:val="000000" w:themeColor="text1"/>
          <w:sz w:val="30"/>
          <w14:textFill>
            <w14:solidFill>
              <w14:schemeClr w14:val="tx1"/>
            </w14:solidFill>
          </w14:textFill>
        </w:rPr>
        <w:t>政府采购项目名称：</w:t>
      </w:r>
    </w:p>
    <w:p w14:paraId="57010A72">
      <w:pPr>
        <w:spacing w:line="300" w:lineRule="auto"/>
        <w:rPr>
          <w:rFonts w:hint="eastAsia" w:ascii="黑体" w:hAnsi="黑体" w:eastAsia="黑体" w:cs="黑体"/>
          <w:color w:val="000000" w:themeColor="text1"/>
          <w:sz w:val="30"/>
          <w14:textFill>
            <w14:solidFill>
              <w14:schemeClr w14:val="tx1"/>
            </w14:solidFill>
          </w14:textFill>
        </w:rPr>
      </w:pPr>
      <w:r>
        <w:rPr>
          <w:rFonts w:ascii="黑体" w:hAnsi="黑体" w:eastAsia="黑体" w:cs="黑体"/>
          <w:color w:val="000000" w:themeColor="text1"/>
          <w:sz w:val="30"/>
          <w14:textFill>
            <w14:solidFill>
              <w14:schemeClr w14:val="tx1"/>
            </w14:solidFill>
          </w14:textFill>
        </w:rPr>
        <w:t>政府采购项目编号：</w:t>
      </w:r>
    </w:p>
    <w:p w14:paraId="5DFA8F9A">
      <w:pPr>
        <w:spacing w:line="300" w:lineRule="auto"/>
        <w:rPr>
          <w:rFonts w:hint="eastAsia" w:ascii="黑体" w:hAnsi="黑体" w:eastAsia="黑体" w:cs="黑体"/>
          <w:color w:val="000000" w:themeColor="text1"/>
          <w:sz w:val="30"/>
          <w14:textFill>
            <w14:solidFill>
              <w14:schemeClr w14:val="tx1"/>
            </w14:solidFill>
          </w14:textFill>
        </w:rPr>
      </w:pPr>
      <w:r>
        <w:rPr>
          <w:rFonts w:ascii="黑体" w:hAnsi="黑体" w:eastAsia="黑体" w:cs="黑体"/>
          <w:color w:val="000000" w:themeColor="text1"/>
          <w:sz w:val="30"/>
          <w14:textFill>
            <w14:solidFill>
              <w14:schemeClr w14:val="tx1"/>
            </w14:solidFill>
          </w14:textFill>
        </w:rPr>
        <w:t>采      购    人：</w:t>
      </w:r>
    </w:p>
    <w:p w14:paraId="7063FF21">
      <w:pPr>
        <w:spacing w:line="300" w:lineRule="auto"/>
        <w:rPr>
          <w:rFonts w:hint="eastAsia" w:ascii="黑体" w:hAnsi="黑体" w:eastAsia="黑体" w:cs="黑体"/>
          <w:color w:val="000000" w:themeColor="text1"/>
          <w:sz w:val="30"/>
          <w14:textFill>
            <w14:solidFill>
              <w14:schemeClr w14:val="tx1"/>
            </w14:solidFill>
          </w14:textFill>
        </w:rPr>
      </w:pPr>
      <w:r>
        <w:rPr>
          <w:rFonts w:ascii="黑体" w:hAnsi="黑体" w:eastAsia="黑体" w:cs="黑体"/>
          <w:color w:val="000000" w:themeColor="text1"/>
          <w:sz w:val="30"/>
          <w14:textFill>
            <w14:solidFill>
              <w14:schemeClr w14:val="tx1"/>
            </w14:solidFill>
          </w14:textFill>
        </w:rPr>
        <w:t>供      应    商：</w:t>
      </w:r>
    </w:p>
    <w:p w14:paraId="473F7C50">
      <w:pPr>
        <w:spacing w:line="300" w:lineRule="auto"/>
        <w:rPr>
          <w:rFonts w:hint="eastAsia" w:ascii="黑体" w:hAnsi="黑体" w:eastAsia="黑体" w:cs="黑体"/>
          <w:color w:val="000000" w:themeColor="text1"/>
          <w:sz w:val="30"/>
          <w14:textFill>
            <w14:solidFill>
              <w14:schemeClr w14:val="tx1"/>
            </w14:solidFill>
          </w14:textFill>
        </w:rPr>
      </w:pPr>
      <w:r>
        <w:rPr>
          <w:rFonts w:ascii="黑体" w:hAnsi="黑体" w:eastAsia="黑体" w:cs="黑体"/>
          <w:color w:val="000000" w:themeColor="text1"/>
          <w:sz w:val="30"/>
          <w14:textFill>
            <w14:solidFill>
              <w14:schemeClr w14:val="tx1"/>
            </w14:solidFill>
          </w14:textFill>
        </w:rPr>
        <w:t>合  同  签 订 地：</w:t>
      </w:r>
    </w:p>
    <w:p w14:paraId="6990F57B">
      <w:pPr>
        <w:spacing w:line="300" w:lineRule="auto"/>
        <w:rPr>
          <w:rFonts w:hint="eastAsia" w:ascii="黑体" w:hAnsi="黑体" w:eastAsia="黑体" w:cs="黑体"/>
          <w:color w:val="000000" w:themeColor="text1"/>
          <w:sz w:val="30"/>
          <w14:textFill>
            <w14:solidFill>
              <w14:schemeClr w14:val="tx1"/>
            </w14:solidFill>
          </w14:textFill>
        </w:rPr>
      </w:pPr>
      <w:r>
        <w:rPr>
          <w:rFonts w:ascii="黑体" w:hAnsi="黑体" w:eastAsia="黑体" w:cs="黑体"/>
          <w:color w:val="000000" w:themeColor="text1"/>
          <w:sz w:val="30"/>
          <w14:textFill>
            <w14:solidFill>
              <w14:schemeClr w14:val="tx1"/>
            </w14:solidFill>
          </w14:textFill>
        </w:rPr>
        <w:t>合 同 签订 时 间：</w:t>
      </w:r>
    </w:p>
    <w:p w14:paraId="79266984">
      <w:pPr>
        <w:spacing w:line="300" w:lineRule="auto"/>
        <w:rPr>
          <w:rFonts w:hint="eastAsia" w:ascii="黑体" w:hAnsi="黑体" w:eastAsia="黑体" w:cs="黑体"/>
          <w:color w:val="000000" w:themeColor="text1"/>
          <w:sz w:val="30"/>
          <w14:textFill>
            <w14:solidFill>
              <w14:schemeClr w14:val="tx1"/>
            </w14:solidFill>
          </w14:textFill>
        </w:rPr>
      </w:pPr>
    </w:p>
    <w:p w14:paraId="51AAD421">
      <w:pPr>
        <w:spacing w:line="300" w:lineRule="auto"/>
        <w:rPr>
          <w:rFonts w:hint="eastAsia" w:ascii="黑体" w:hAnsi="黑体" w:eastAsia="黑体" w:cs="黑体"/>
          <w:color w:val="000000" w:themeColor="text1"/>
          <w:sz w:val="30"/>
          <w14:textFill>
            <w14:solidFill>
              <w14:schemeClr w14:val="tx1"/>
            </w14:solidFill>
          </w14:textFill>
        </w:rPr>
      </w:pPr>
    </w:p>
    <w:p w14:paraId="2198D47A">
      <w:pPr>
        <w:spacing w:line="300" w:lineRule="auto"/>
        <w:rPr>
          <w:rFonts w:hint="eastAsia" w:ascii="黑体" w:hAnsi="黑体" w:eastAsia="黑体" w:cs="黑体"/>
          <w:color w:val="000000" w:themeColor="text1"/>
          <w:sz w:val="30"/>
          <w14:textFill>
            <w14:solidFill>
              <w14:schemeClr w14:val="tx1"/>
            </w14:solidFill>
          </w14:textFill>
        </w:rPr>
      </w:pPr>
    </w:p>
    <w:p w14:paraId="7F1C01AA">
      <w:pPr>
        <w:spacing w:line="300" w:lineRule="auto"/>
        <w:jc w:val="center"/>
        <w:rPr>
          <w:rFonts w:hint="eastAsia" w:ascii="方正小标宋简体" w:hAnsi="方正小标宋简体" w:eastAsia="方正小标宋简体" w:cs="方正小标宋简体"/>
          <w:color w:val="000000" w:themeColor="text1"/>
          <w:sz w:val="32"/>
          <w14:textFill>
            <w14:solidFill>
              <w14:schemeClr w14:val="tx1"/>
            </w14:solidFill>
          </w14:textFill>
        </w:rPr>
      </w:pPr>
    </w:p>
    <w:p w14:paraId="7078E38C">
      <w:pPr>
        <w:spacing w:line="460" w:lineRule="auto"/>
        <w:jc w:val="center"/>
        <w:rPr>
          <w:rFonts w:hint="eastAsia" w:ascii="方正小标宋简体" w:hAnsi="方正小标宋简体" w:eastAsia="方正小标宋简体" w:cs="方正小标宋简体"/>
          <w:color w:val="000000" w:themeColor="text1"/>
          <w:sz w:val="32"/>
          <w14:textFill>
            <w14:solidFill>
              <w14:schemeClr w14:val="tx1"/>
            </w14:solidFill>
          </w14:textFill>
        </w:rPr>
      </w:pPr>
      <w:r>
        <w:rPr>
          <w:rFonts w:ascii="宋体" w:hAnsi="宋体" w:eastAsia="宋体" w:cs="宋体"/>
          <w:color w:val="000000" w:themeColor="text1"/>
          <w:sz w:val="32"/>
          <w14:textFill>
            <w14:solidFill>
              <w14:schemeClr w14:val="tx1"/>
            </w14:solidFill>
          </w14:textFill>
        </w:rPr>
        <w:t>合同签订指引</w:t>
      </w:r>
    </w:p>
    <w:p w14:paraId="68BE5763">
      <w:pPr>
        <w:spacing w:line="460" w:lineRule="auto"/>
        <w:ind w:firstLine="420"/>
        <w:rPr>
          <w:rFonts w:ascii="Times New Roman" w:hAnsi="Times New Roman" w:eastAsia="Times New Roman" w:cs="Times New Roman"/>
          <w:color w:val="000000" w:themeColor="text1"/>
          <w14:textFill>
            <w14:solidFill>
              <w14:schemeClr w14:val="tx1"/>
            </w14:solidFill>
          </w14:textFill>
        </w:rPr>
      </w:pPr>
    </w:p>
    <w:p w14:paraId="692B4F99">
      <w:pPr>
        <w:spacing w:line="4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一、采购人在签订合同时应提供的资料：</w:t>
      </w:r>
    </w:p>
    <w:p w14:paraId="3D998A3B">
      <w:pPr>
        <w:spacing w:line="4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、该政府采购项目的招标采购文件（以网上发布内容为准）；</w:t>
      </w:r>
    </w:p>
    <w:p w14:paraId="4658D79E">
      <w:pPr>
        <w:spacing w:line="4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、该政府采购项目招标文件的澄清和修改内容（公告内容）；</w:t>
      </w:r>
    </w:p>
    <w:p w14:paraId="5954AE99">
      <w:pPr>
        <w:spacing w:line="4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3</w:t>
      </w:r>
      <w:r>
        <w:rPr>
          <w:rFonts w:ascii="宋体" w:hAnsi="宋体" w:eastAsia="宋体" w:cs="宋体"/>
          <w:color w:val="000000" w:themeColor="text1"/>
          <w14:textFill>
            <w14:solidFill>
              <w14:schemeClr w14:val="tx1"/>
            </w14:solidFill>
          </w14:textFill>
        </w:rPr>
        <w:t>、该政府采购项目评审报告；</w:t>
      </w:r>
    </w:p>
    <w:p w14:paraId="20BB1A7F">
      <w:pPr>
        <w:spacing w:line="4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4</w:t>
      </w:r>
      <w:r>
        <w:rPr>
          <w:rFonts w:ascii="宋体" w:hAnsi="宋体" w:eastAsia="宋体" w:cs="宋体"/>
          <w:color w:val="000000" w:themeColor="text1"/>
          <w14:textFill>
            <w14:solidFill>
              <w14:schemeClr w14:val="tx1"/>
            </w14:solidFill>
          </w14:textFill>
        </w:rPr>
        <w:t>、采购单位法人授权委托书（法人到场并签字的除外）；</w:t>
      </w:r>
    </w:p>
    <w:p w14:paraId="44F437BA">
      <w:pPr>
        <w:spacing w:line="4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5</w:t>
      </w:r>
      <w:r>
        <w:rPr>
          <w:rFonts w:ascii="宋体" w:hAnsi="宋体" w:eastAsia="宋体" w:cs="宋体"/>
          <w:color w:val="000000" w:themeColor="text1"/>
          <w14:textFill>
            <w14:solidFill>
              <w14:schemeClr w14:val="tx1"/>
            </w14:solidFill>
          </w14:textFill>
        </w:rPr>
        <w:t>、采购单位被授权人身份证件（法人到场并签字的除外）；</w:t>
      </w:r>
    </w:p>
    <w:p w14:paraId="680AC03F">
      <w:pPr>
        <w:spacing w:line="4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6</w:t>
      </w:r>
      <w:r>
        <w:rPr>
          <w:rFonts w:ascii="宋体" w:hAnsi="宋体" w:eastAsia="宋体" w:cs="宋体"/>
          <w:color w:val="000000" w:themeColor="text1"/>
          <w14:textFill>
            <w14:solidFill>
              <w14:schemeClr w14:val="tx1"/>
            </w14:solidFill>
          </w14:textFill>
        </w:rPr>
        <w:t>、采购人和中标供应商约定的其它内容（不得超出招标采购文件实质性内容）。</w:t>
      </w:r>
    </w:p>
    <w:p w14:paraId="7F7E1D61">
      <w:pPr>
        <w:spacing w:line="4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二、供应商在签订合同时应提供的资料：</w:t>
      </w:r>
    </w:p>
    <w:p w14:paraId="243A130B">
      <w:pPr>
        <w:spacing w:line="4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、该政府采购项目的投标文件（纸质或</w:t>
      </w:r>
      <w:r>
        <w:rPr>
          <w:rFonts w:ascii="Times New Roman" w:hAnsi="Times New Roman" w:eastAsia="Times New Roman" w:cs="Times New Roman"/>
          <w:color w:val="000000" w:themeColor="text1"/>
          <w14:textFill>
            <w14:solidFill>
              <w14:schemeClr w14:val="tx1"/>
            </w14:solidFill>
          </w14:textFill>
        </w:rPr>
        <w:t>DPF</w:t>
      </w:r>
      <w:r>
        <w:rPr>
          <w:rFonts w:ascii="宋体" w:hAnsi="宋体" w:eastAsia="宋体" w:cs="宋体"/>
          <w:color w:val="000000" w:themeColor="text1"/>
          <w14:textFill>
            <w14:solidFill>
              <w14:schemeClr w14:val="tx1"/>
            </w14:solidFill>
          </w14:textFill>
        </w:rPr>
        <w:t>格式的电子投标文件）；</w:t>
      </w:r>
    </w:p>
    <w:p w14:paraId="62F949C3">
      <w:pPr>
        <w:spacing w:line="4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、针对该项目评审时评审委员会提出的质询答复（纸质并签章）；</w:t>
      </w:r>
    </w:p>
    <w:p w14:paraId="108FA398">
      <w:pPr>
        <w:spacing w:line="4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3</w:t>
      </w:r>
      <w:r>
        <w:rPr>
          <w:rFonts w:ascii="宋体" w:hAnsi="宋体" w:eastAsia="宋体" w:cs="宋体"/>
          <w:color w:val="000000" w:themeColor="text1"/>
          <w14:textFill>
            <w14:solidFill>
              <w14:schemeClr w14:val="tx1"/>
            </w14:solidFill>
          </w14:textFill>
        </w:rPr>
        <w:t>、该政府采购项目中标通知书；</w:t>
      </w:r>
    </w:p>
    <w:p w14:paraId="7183CB51">
      <w:pPr>
        <w:spacing w:line="4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4</w:t>
      </w:r>
      <w:r>
        <w:rPr>
          <w:rFonts w:ascii="宋体" w:hAnsi="宋体" w:eastAsia="宋体" w:cs="宋体"/>
          <w:color w:val="000000" w:themeColor="text1"/>
          <w14:textFill>
            <w14:solidFill>
              <w14:schemeClr w14:val="tx1"/>
            </w14:solidFill>
          </w14:textFill>
        </w:rPr>
        <w:t>、供应商法人授权委托书（法人到场并签字的除外）；</w:t>
      </w:r>
    </w:p>
    <w:p w14:paraId="681BDF1B">
      <w:pPr>
        <w:spacing w:line="4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5</w:t>
      </w:r>
      <w:r>
        <w:rPr>
          <w:rFonts w:ascii="宋体" w:hAnsi="宋体" w:eastAsia="宋体" w:cs="宋体"/>
          <w:color w:val="000000" w:themeColor="text1"/>
          <w14:textFill>
            <w14:solidFill>
              <w14:schemeClr w14:val="tx1"/>
            </w14:solidFill>
          </w14:textFill>
        </w:rPr>
        <w:t>、供应商被授权人身份证件（法人到场并签字的除外）；</w:t>
      </w:r>
    </w:p>
    <w:p w14:paraId="104AF23E">
      <w:pPr>
        <w:spacing w:line="4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6</w:t>
      </w:r>
      <w:r>
        <w:rPr>
          <w:rFonts w:ascii="宋体" w:hAnsi="宋体" w:eastAsia="宋体" w:cs="宋体"/>
          <w:color w:val="000000" w:themeColor="text1"/>
          <w14:textFill>
            <w14:solidFill>
              <w14:schemeClr w14:val="tx1"/>
            </w14:solidFill>
          </w14:textFill>
        </w:rPr>
        <w:t>、供应商和采购人约定的其它内容（不得超出招标采购文件实质性内容）。</w:t>
      </w:r>
    </w:p>
    <w:p w14:paraId="263BE96D">
      <w:pPr>
        <w:spacing w:line="460" w:lineRule="auto"/>
        <w:ind w:firstLine="420"/>
        <w:rPr>
          <w:rFonts w:ascii="Times New Roman" w:hAnsi="Times New Roman" w:eastAsia="Times New Roman" w:cs="Times New Roman"/>
          <w:color w:val="000000" w:themeColor="text1"/>
          <w:sz w:val="30"/>
          <w14:textFill>
            <w14:solidFill>
              <w14:schemeClr w14:val="tx1"/>
            </w14:solidFill>
          </w14:textFill>
        </w:rPr>
      </w:pPr>
      <w:r>
        <w:rPr>
          <w:rFonts w:ascii="宋体" w:hAnsi="宋体" w:eastAsia="宋体" w:cs="宋体"/>
          <w:color w:val="000000" w:themeColor="text1"/>
          <w14:textFill>
            <w14:solidFill>
              <w14:schemeClr w14:val="tx1"/>
            </w14:solidFill>
          </w14:textFill>
        </w:rPr>
        <w:t>三、本合同签订后二个工作日内有采购人在“周口市政府采购网”上进行合同公示。</w:t>
      </w:r>
    </w:p>
    <w:p w14:paraId="6376B736">
      <w:pPr>
        <w:spacing w:line="460" w:lineRule="auto"/>
        <w:ind w:firstLine="640"/>
        <w:jc w:val="center"/>
        <w:rPr>
          <w:rFonts w:hint="eastAsia" w:ascii="方正小标宋简体" w:hAnsi="方正小标宋简体" w:eastAsia="方正小标宋简体" w:cs="方正小标宋简体"/>
          <w:color w:val="000000" w:themeColor="text1"/>
          <w:sz w:val="32"/>
          <w14:textFill>
            <w14:solidFill>
              <w14:schemeClr w14:val="tx1"/>
            </w14:solidFill>
          </w14:textFill>
        </w:rPr>
      </w:pPr>
    </w:p>
    <w:p w14:paraId="5C5F90CC">
      <w:pPr>
        <w:spacing w:line="460" w:lineRule="auto"/>
        <w:ind w:firstLine="640"/>
        <w:jc w:val="center"/>
        <w:rPr>
          <w:rFonts w:hint="eastAsia" w:ascii="方正小标宋简体" w:hAnsi="方正小标宋简体" w:eastAsia="方正小标宋简体" w:cs="方正小标宋简体"/>
          <w:color w:val="000000" w:themeColor="text1"/>
          <w:sz w:val="32"/>
          <w14:textFill>
            <w14:solidFill>
              <w14:schemeClr w14:val="tx1"/>
            </w14:solidFill>
          </w14:textFill>
        </w:rPr>
      </w:pPr>
      <w:r>
        <w:rPr>
          <w:rFonts w:ascii="宋体" w:hAnsi="宋体" w:eastAsia="宋体" w:cs="宋体"/>
          <w:color w:val="000000" w:themeColor="text1"/>
          <w:sz w:val="32"/>
          <w14:textFill>
            <w14:solidFill>
              <w14:schemeClr w14:val="tx1"/>
            </w14:solidFill>
          </w14:textFill>
        </w:rPr>
        <w:t>供应商履约验收指引</w:t>
      </w:r>
    </w:p>
    <w:p w14:paraId="5942B774">
      <w:pPr>
        <w:numPr>
          <w:ilvl w:val="0"/>
          <w:numId w:val="27"/>
        </w:numPr>
        <w:spacing w:line="4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供应商不得擅自变更合同标的物内容；</w:t>
      </w:r>
    </w:p>
    <w:p w14:paraId="6F84B2B5">
      <w:pPr>
        <w:spacing w:line="460" w:lineRule="auto"/>
        <w:ind w:firstLine="420"/>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2、不得以次充好、高投低配，确因在合同执行中不可抗力因素造成的，应提供相关依据；</w:t>
      </w:r>
    </w:p>
    <w:p w14:paraId="50C8B43A">
      <w:pPr>
        <w:spacing w:line="460" w:lineRule="auto"/>
        <w:ind w:firstLine="420"/>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3、对因客观上采购人采购需求发生变化造成的，应提供采、供双方的纸质备忘录材料；</w:t>
      </w:r>
    </w:p>
    <w:p w14:paraId="3EB6F341">
      <w:pPr>
        <w:spacing w:line="4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4</w:t>
      </w:r>
      <w:r>
        <w:rPr>
          <w:rFonts w:ascii="宋体" w:hAnsi="宋体" w:eastAsia="宋体" w:cs="宋体"/>
          <w:color w:val="000000" w:themeColor="text1"/>
          <w14:textFill>
            <w14:solidFill>
              <w14:schemeClr w14:val="tx1"/>
            </w14:solidFill>
          </w14:textFill>
        </w:rPr>
        <w:t>、在满足验收条件</w:t>
      </w:r>
      <w:r>
        <w:rPr>
          <w:rFonts w:ascii="Times New Roman" w:hAnsi="Times New Roman" w:eastAsia="Times New Roman" w:cs="Times New Roman"/>
          <w:color w:val="000000" w:themeColor="text1"/>
          <w14:textFill>
            <w14:solidFill>
              <w14:schemeClr w14:val="tx1"/>
            </w14:solidFill>
          </w14:textFill>
        </w:rPr>
        <w:t>5</w:t>
      </w:r>
      <w:r>
        <w:rPr>
          <w:rFonts w:ascii="宋体" w:hAnsi="宋体" w:eastAsia="宋体" w:cs="宋体"/>
          <w:color w:val="000000" w:themeColor="text1"/>
          <w14:textFill>
            <w14:solidFill>
              <w14:schemeClr w14:val="tx1"/>
            </w14:solidFill>
          </w14:textFill>
        </w:rPr>
        <w:t>个工作日内通知采购人组织验收；</w:t>
      </w:r>
    </w:p>
    <w:p w14:paraId="0B9EEAD2">
      <w:pPr>
        <w:spacing w:line="460" w:lineRule="auto"/>
        <w:ind w:firstLine="420"/>
        <w:rPr>
          <w:rFonts w:hint="eastAsia" w:ascii="宋体" w:hAnsi="宋体" w:eastAsia="宋体" w:cs="宋体"/>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5</w:t>
      </w:r>
      <w:r>
        <w:rPr>
          <w:rFonts w:ascii="宋体" w:hAnsi="宋体" w:eastAsia="宋体" w:cs="宋体"/>
          <w:color w:val="000000" w:themeColor="text1"/>
          <w14:textFill>
            <w14:solidFill>
              <w14:schemeClr w14:val="tx1"/>
            </w14:solidFill>
          </w14:textFill>
        </w:rPr>
        <w:t>、供应商应提供需验收物品的清单、参数、使用手册、人员培训情况等资料；</w:t>
      </w:r>
    </w:p>
    <w:p w14:paraId="6AA32479">
      <w:pPr>
        <w:spacing w:line="460" w:lineRule="auto"/>
        <w:ind w:firstLine="420"/>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6、采、供双方约定的验收机构及相关人员组成情况。</w:t>
      </w:r>
    </w:p>
    <w:p w14:paraId="0FBB19EA">
      <w:pPr>
        <w:spacing w:line="4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7、督促采购人在项目验收结束并达到相关要求后一个工作日内，在“周口市政府采购网”上进行“履约验收”公示。</w:t>
      </w:r>
    </w:p>
    <w:p w14:paraId="17DDE553">
      <w:pPr>
        <w:spacing w:line="520" w:lineRule="auto"/>
        <w:jc w:val="center"/>
        <w:rPr>
          <w:rFonts w:hint="eastAsia" w:ascii="方正小标宋简体" w:hAnsi="方正小标宋简体" w:eastAsia="方正小标宋简体" w:cs="方正小标宋简体"/>
          <w:color w:val="000000" w:themeColor="text1"/>
          <w:sz w:val="28"/>
          <w14:textFill>
            <w14:solidFill>
              <w14:schemeClr w14:val="tx1"/>
            </w14:solidFill>
          </w14:textFill>
        </w:rPr>
      </w:pPr>
      <w:r>
        <w:rPr>
          <w:rFonts w:ascii="宋体" w:hAnsi="宋体" w:eastAsia="宋体" w:cs="宋体"/>
          <w:color w:val="000000" w:themeColor="text1"/>
          <w:sz w:val="28"/>
          <w14:textFill>
            <w14:solidFill>
              <w14:schemeClr w14:val="tx1"/>
            </w14:solidFill>
          </w14:textFill>
        </w:rPr>
        <w:t>采购合同内容</w:t>
      </w:r>
    </w:p>
    <w:p w14:paraId="36B36749">
      <w:pPr>
        <w:spacing w:line="520" w:lineRule="auto"/>
        <w:ind w:firstLine="420"/>
        <w:rPr>
          <w:rFonts w:ascii="Times New Roman" w:hAnsi="Times New Roman" w:eastAsia="Times New Roman" w:cs="Times New Roman"/>
          <w:color w:val="000000" w:themeColor="text1"/>
          <w14:textFill>
            <w14:solidFill>
              <w14:schemeClr w14:val="tx1"/>
            </w14:solidFill>
          </w14:textFill>
        </w:rPr>
      </w:pPr>
    </w:p>
    <w:p w14:paraId="1B8E35F6">
      <w:pPr>
        <w:spacing w:line="360" w:lineRule="auto"/>
        <w:ind w:firstLine="420"/>
        <w:rPr>
          <w:rFonts w:ascii="Times New Roman" w:hAnsi="Times New Roman" w:eastAsia="Times New Roman" w:cs="Times New Roman"/>
          <w:color w:val="000000" w:themeColor="text1"/>
          <w:u w:val="single"/>
          <w14:textFill>
            <w14:solidFill>
              <w14:schemeClr w14:val="tx1"/>
            </w14:solidFill>
          </w14:textFill>
        </w:rPr>
      </w:pPr>
      <w:r>
        <w:rPr>
          <w:rFonts w:ascii="宋体" w:hAnsi="宋体" w:eastAsia="宋体" w:cs="宋体"/>
          <w:color w:val="000000" w:themeColor="text1"/>
          <w14:textFill>
            <w14:solidFill>
              <w14:schemeClr w14:val="tx1"/>
            </w14:solidFill>
          </w14:textFill>
        </w:rPr>
        <w:t>采购人（甲方）：</w:t>
      </w:r>
      <w:r>
        <w:rPr>
          <w:rFonts w:ascii="Times New Roman" w:hAnsi="Times New Roman" w:eastAsia="Times New Roman" w:cs="Times New Roman"/>
          <w:color w:val="000000" w:themeColor="text1"/>
          <w14:textFill>
            <w14:solidFill>
              <w14:schemeClr w14:val="tx1"/>
            </w14:solidFill>
          </w14:textFill>
        </w:rPr>
        <w:t xml:space="preserve"> </w:t>
      </w:r>
    </w:p>
    <w:p w14:paraId="39B8DB0F">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供应商（乙方）：</w:t>
      </w:r>
    </w:p>
    <w:p w14:paraId="03B8AD3D">
      <w:pPr>
        <w:spacing w:line="360" w:lineRule="auto"/>
        <w:ind w:firstLine="420"/>
        <w:rPr>
          <w:rFonts w:ascii="Times New Roman" w:hAnsi="Times New Roman" w:eastAsia="Times New Roman" w:cs="Times New Roman"/>
          <w:color w:val="000000" w:themeColor="text1"/>
          <w:u w:val="single"/>
          <w14:textFill>
            <w14:solidFill>
              <w14:schemeClr w14:val="tx1"/>
            </w14:solidFill>
          </w14:textFill>
        </w:rPr>
      </w:pPr>
      <w:r>
        <w:rPr>
          <w:rFonts w:ascii="宋体" w:hAnsi="宋体" w:eastAsia="宋体" w:cs="宋体"/>
          <w:color w:val="000000" w:themeColor="text1"/>
          <w14:textFill>
            <w14:solidFill>
              <w14:schemeClr w14:val="tx1"/>
            </w14:solidFill>
          </w14:textFill>
        </w:rPr>
        <w:t>签订地点：</w:t>
      </w:r>
    </w:p>
    <w:p w14:paraId="5EDAA805">
      <w:pPr>
        <w:spacing w:line="360" w:lineRule="auto"/>
        <w:ind w:firstLine="420"/>
        <w:rPr>
          <w:rFonts w:ascii="Times New Roman" w:hAnsi="Times New Roman" w:eastAsia="Times New Roman" w:cs="Times New Roman"/>
          <w:color w:val="000000" w:themeColor="text1"/>
          <w:u w:val="single"/>
          <w14:textFill>
            <w14:solidFill>
              <w14:schemeClr w14:val="tx1"/>
            </w14:solidFill>
          </w14:textFill>
        </w:rPr>
      </w:pPr>
      <w:r>
        <w:rPr>
          <w:rFonts w:ascii="宋体" w:hAnsi="宋体" w:eastAsia="宋体" w:cs="宋体"/>
          <w:color w:val="000000" w:themeColor="text1"/>
          <w14:textFill>
            <w14:solidFill>
              <w14:schemeClr w14:val="tx1"/>
            </w14:solidFill>
          </w14:textFill>
        </w:rPr>
        <w:t>项目名称：</w:t>
      </w:r>
    </w:p>
    <w:p w14:paraId="056C9DC3">
      <w:pPr>
        <w:spacing w:line="360" w:lineRule="auto"/>
        <w:ind w:firstLine="420"/>
        <w:rPr>
          <w:rFonts w:ascii="Times New Roman" w:hAnsi="Times New Roman" w:eastAsia="Times New Roman" w:cs="Times New Roman"/>
          <w:color w:val="000000" w:themeColor="text1"/>
          <w:u w:val="single"/>
          <w14:textFill>
            <w14:solidFill>
              <w14:schemeClr w14:val="tx1"/>
            </w14:solidFill>
          </w14:textFill>
        </w:rPr>
      </w:pPr>
      <w:r>
        <w:rPr>
          <w:rFonts w:ascii="宋体" w:hAnsi="宋体" w:eastAsia="宋体" w:cs="宋体"/>
          <w:color w:val="000000" w:themeColor="text1"/>
          <w14:textFill>
            <w14:solidFill>
              <w14:schemeClr w14:val="tx1"/>
            </w14:solidFill>
          </w14:textFill>
        </w:rPr>
        <w:t>项目编号：</w:t>
      </w:r>
    </w:p>
    <w:p w14:paraId="32ED026E">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财政委托号：</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Times New Roman" w:hAnsi="Times New Roman" w:eastAsia="Times New Roman" w:cs="Times New Roman"/>
          <w:color w:val="000000" w:themeColor="text1"/>
          <w14:textFill>
            <w14:solidFill>
              <w14:schemeClr w14:val="tx1"/>
            </w14:solidFill>
          </w14:textFill>
        </w:rPr>
        <w:t>(</w:t>
      </w:r>
      <w:r>
        <w:rPr>
          <w:rFonts w:ascii="宋体" w:hAnsi="宋体" w:eastAsia="宋体" w:cs="宋体"/>
          <w:color w:val="000000" w:themeColor="text1"/>
          <w14:textFill>
            <w14:solidFill>
              <w14:schemeClr w14:val="tx1"/>
            </w14:solidFill>
          </w14:textFill>
        </w:rPr>
        <w:t>财政资金项目必须填写</w:t>
      </w:r>
      <w:r>
        <w:rPr>
          <w:rFonts w:ascii="Times New Roman" w:hAnsi="Times New Roman" w:eastAsia="Times New Roman" w:cs="Times New Roman"/>
          <w:color w:val="000000" w:themeColor="text1"/>
          <w14:textFill>
            <w14:solidFill>
              <w14:schemeClr w14:val="tx1"/>
            </w14:solidFill>
          </w14:textFill>
        </w:rPr>
        <w:t>)</w:t>
      </w:r>
    </w:p>
    <w:p w14:paraId="4982FF77">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本项目经批准采用</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418F5956">
      <w:pPr>
        <w:spacing w:line="360" w:lineRule="auto"/>
        <w:ind w:firstLine="422"/>
        <w:rPr>
          <w:rFonts w:ascii="Times New Roman" w:hAnsi="Times New Roman" w:eastAsia="Times New Roman" w:cs="Times New Roman"/>
          <w:color w:val="000000" w:themeColor="text1"/>
          <w:u w:val="single"/>
          <w14:textFill>
            <w14:solidFill>
              <w14:schemeClr w14:val="tx1"/>
            </w14:solidFill>
          </w14:textFill>
        </w:rPr>
      </w:pPr>
      <w:r>
        <w:rPr>
          <w:rFonts w:ascii="宋体" w:hAnsi="宋体" w:eastAsia="宋体" w:cs="宋体"/>
          <w:b/>
          <w:color w:val="000000" w:themeColor="text1"/>
          <w14:textFill>
            <w14:solidFill>
              <w14:schemeClr w14:val="tx1"/>
            </w14:solidFill>
          </w14:textFill>
        </w:rPr>
        <w:t>第一条</w:t>
      </w:r>
      <w:r>
        <w:rPr>
          <w:rFonts w:ascii="宋体" w:hAnsi="宋体" w:eastAsia="宋体" w:cs="宋体"/>
          <w:color w:val="000000" w:themeColor="text1"/>
          <w14:textFill>
            <w14:solidFill>
              <w14:schemeClr w14:val="tx1"/>
            </w14:solidFill>
          </w14:textFill>
        </w:rPr>
        <w:t> </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产品的名称、品种、规格、数量和价格：（若产品过多则见附表，如有附表则必须加盖印章）</w:t>
      </w:r>
    </w:p>
    <w:tbl>
      <w:tblPr>
        <w:tblStyle w:val="8"/>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0E827B82">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36321AB">
            <w:pPr>
              <w:spacing w:line="360" w:lineRule="auto"/>
              <w:ind w:firstLine="420"/>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0F6666">
            <w:pPr>
              <w:spacing w:line="360" w:lineRule="auto"/>
              <w:ind w:firstLine="420"/>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2D8499F">
            <w:pPr>
              <w:spacing w:line="360" w:lineRule="auto"/>
              <w:ind w:firstLine="420"/>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E8D2843">
            <w:pPr>
              <w:spacing w:line="360" w:lineRule="auto"/>
              <w:ind w:firstLine="420"/>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84E6178">
            <w:pPr>
              <w:spacing w:line="360" w:lineRule="auto"/>
              <w:ind w:firstLine="420"/>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1FDE4E1">
            <w:pPr>
              <w:spacing w:line="360" w:lineRule="auto"/>
              <w:ind w:firstLine="420"/>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4424CA0">
            <w:pPr>
              <w:spacing w:line="360" w:lineRule="auto"/>
              <w:ind w:firstLine="420"/>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备注</w:t>
            </w:r>
          </w:p>
        </w:tc>
      </w:tr>
      <w:tr w14:paraId="1A4FB381">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C8D47D">
            <w:pPr>
              <w:spacing w:line="360" w:lineRule="auto"/>
              <w:ind w:firstLine="420"/>
              <w:rPr>
                <w:rFonts w:hint="eastAsia" w:ascii="宋体" w:hAnsi="宋体" w:eastAsia="宋体" w:cs="宋体"/>
                <w:color w:val="000000" w:themeColor="text1"/>
                <w:sz w:val="22"/>
                <w14:textFill>
                  <w14:solidFill>
                    <w14:schemeClr w14:val="tx1"/>
                  </w14:solidFill>
                </w14:textFill>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98C83F8">
            <w:pPr>
              <w:spacing w:line="360" w:lineRule="auto"/>
              <w:ind w:firstLine="420"/>
              <w:rPr>
                <w:rFonts w:hint="eastAsia" w:ascii="宋体" w:hAnsi="宋体" w:eastAsia="宋体" w:cs="宋体"/>
                <w:color w:val="000000" w:themeColor="text1"/>
                <w:sz w:val="22"/>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AFA2A6">
            <w:pPr>
              <w:spacing w:line="360" w:lineRule="auto"/>
              <w:ind w:firstLine="420"/>
              <w:rPr>
                <w:rFonts w:hint="eastAsia" w:ascii="宋体" w:hAnsi="宋体" w:eastAsia="宋体" w:cs="宋体"/>
                <w:color w:val="000000" w:themeColor="text1"/>
                <w:sz w:val="22"/>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2FFA72E">
            <w:pPr>
              <w:spacing w:line="360" w:lineRule="auto"/>
              <w:ind w:firstLine="420"/>
              <w:rPr>
                <w:rFonts w:hint="eastAsia"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BD4043">
            <w:pPr>
              <w:spacing w:line="360" w:lineRule="auto"/>
              <w:ind w:firstLine="420"/>
              <w:rPr>
                <w:rFonts w:hint="eastAsia" w:ascii="宋体" w:hAnsi="宋体" w:eastAsia="宋体" w:cs="宋体"/>
                <w:color w:val="000000" w:themeColor="text1"/>
                <w:sz w:val="22"/>
                <w14:textFill>
                  <w14:solidFill>
                    <w14:schemeClr w14:val="tx1"/>
                  </w14:solidFill>
                </w14:textFill>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B573F28">
            <w:pPr>
              <w:spacing w:line="360" w:lineRule="auto"/>
              <w:ind w:firstLine="420"/>
              <w:rPr>
                <w:rFonts w:hint="eastAsia" w:ascii="宋体" w:hAnsi="宋体" w:eastAsia="宋体" w:cs="宋体"/>
                <w:color w:val="000000" w:themeColor="text1"/>
                <w:sz w:val="22"/>
                <w14:textFill>
                  <w14:solidFill>
                    <w14:schemeClr w14:val="tx1"/>
                  </w14:solidFill>
                </w14:textFill>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1E9BE6">
            <w:pPr>
              <w:spacing w:line="360" w:lineRule="auto"/>
              <w:ind w:firstLine="420"/>
              <w:rPr>
                <w:rFonts w:hint="eastAsia" w:ascii="宋体" w:hAnsi="宋体" w:eastAsia="宋体" w:cs="宋体"/>
                <w:color w:val="000000" w:themeColor="text1"/>
                <w:sz w:val="22"/>
                <w14:textFill>
                  <w14:solidFill>
                    <w14:schemeClr w14:val="tx1"/>
                  </w14:solidFill>
                </w14:textFill>
              </w:rPr>
            </w:pPr>
          </w:p>
        </w:tc>
      </w:tr>
      <w:tr w14:paraId="014C0BF2">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EA61388">
            <w:pPr>
              <w:spacing w:line="360" w:lineRule="auto"/>
              <w:ind w:firstLine="420"/>
              <w:rPr>
                <w:rFonts w:hint="eastAsia" w:ascii="宋体" w:hAnsi="宋体" w:eastAsia="宋体" w:cs="宋体"/>
                <w:color w:val="000000" w:themeColor="text1"/>
                <w:sz w:val="22"/>
                <w14:textFill>
                  <w14:solidFill>
                    <w14:schemeClr w14:val="tx1"/>
                  </w14:solidFill>
                </w14:textFill>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4484709">
            <w:pPr>
              <w:spacing w:line="360" w:lineRule="auto"/>
              <w:ind w:firstLine="420"/>
              <w:rPr>
                <w:rFonts w:hint="eastAsia" w:ascii="宋体" w:hAnsi="宋体" w:eastAsia="宋体" w:cs="宋体"/>
                <w:color w:val="000000" w:themeColor="text1"/>
                <w:sz w:val="22"/>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3D9FD36">
            <w:pPr>
              <w:spacing w:line="360" w:lineRule="auto"/>
              <w:ind w:firstLine="420"/>
              <w:rPr>
                <w:rFonts w:hint="eastAsia" w:ascii="宋体" w:hAnsi="宋体" w:eastAsia="宋体" w:cs="宋体"/>
                <w:color w:val="000000" w:themeColor="text1"/>
                <w:sz w:val="22"/>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CD3CB64">
            <w:pPr>
              <w:spacing w:line="360" w:lineRule="auto"/>
              <w:ind w:firstLine="420"/>
              <w:rPr>
                <w:rFonts w:hint="eastAsia"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42EC62B">
            <w:pPr>
              <w:spacing w:line="360" w:lineRule="auto"/>
              <w:ind w:firstLine="420"/>
              <w:rPr>
                <w:rFonts w:hint="eastAsia" w:ascii="宋体" w:hAnsi="宋体" w:eastAsia="宋体" w:cs="宋体"/>
                <w:color w:val="000000" w:themeColor="text1"/>
                <w:sz w:val="22"/>
                <w14:textFill>
                  <w14:solidFill>
                    <w14:schemeClr w14:val="tx1"/>
                  </w14:solidFill>
                </w14:textFill>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1754FC9">
            <w:pPr>
              <w:spacing w:line="360" w:lineRule="auto"/>
              <w:ind w:firstLine="420"/>
              <w:rPr>
                <w:rFonts w:hint="eastAsia" w:ascii="宋体" w:hAnsi="宋体" w:eastAsia="宋体" w:cs="宋体"/>
                <w:color w:val="000000" w:themeColor="text1"/>
                <w:sz w:val="22"/>
                <w14:textFill>
                  <w14:solidFill>
                    <w14:schemeClr w14:val="tx1"/>
                  </w14:solidFill>
                </w14:textFill>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C82CF00">
            <w:pPr>
              <w:spacing w:line="360" w:lineRule="auto"/>
              <w:ind w:firstLine="420"/>
              <w:rPr>
                <w:rFonts w:hint="eastAsia" w:ascii="宋体" w:hAnsi="宋体" w:eastAsia="宋体" w:cs="宋体"/>
                <w:color w:val="000000" w:themeColor="text1"/>
                <w:sz w:val="22"/>
                <w14:textFill>
                  <w14:solidFill>
                    <w14:schemeClr w14:val="tx1"/>
                  </w14:solidFill>
                </w14:textFill>
              </w:rPr>
            </w:pPr>
          </w:p>
        </w:tc>
      </w:tr>
      <w:tr w14:paraId="0A3676C1">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D72E754">
            <w:pPr>
              <w:spacing w:line="360" w:lineRule="auto"/>
              <w:ind w:firstLine="420"/>
              <w:rPr>
                <w:rFonts w:hint="eastAsia" w:ascii="宋体" w:hAnsi="宋体" w:eastAsia="宋体" w:cs="宋体"/>
                <w:color w:val="000000" w:themeColor="text1"/>
                <w:sz w:val="22"/>
                <w14:textFill>
                  <w14:solidFill>
                    <w14:schemeClr w14:val="tx1"/>
                  </w14:solidFill>
                </w14:textFill>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C216600">
            <w:pPr>
              <w:spacing w:line="360" w:lineRule="auto"/>
              <w:ind w:firstLine="420"/>
              <w:rPr>
                <w:rFonts w:hint="eastAsia" w:ascii="宋体" w:hAnsi="宋体" w:eastAsia="宋体" w:cs="宋体"/>
                <w:color w:val="000000" w:themeColor="text1"/>
                <w:sz w:val="22"/>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852BCD4">
            <w:pPr>
              <w:spacing w:line="360" w:lineRule="auto"/>
              <w:ind w:firstLine="420"/>
              <w:rPr>
                <w:rFonts w:hint="eastAsia" w:ascii="宋体" w:hAnsi="宋体" w:eastAsia="宋体" w:cs="宋体"/>
                <w:color w:val="000000" w:themeColor="text1"/>
                <w:sz w:val="22"/>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922FF03">
            <w:pPr>
              <w:spacing w:line="360" w:lineRule="auto"/>
              <w:ind w:firstLine="420"/>
              <w:rPr>
                <w:rFonts w:hint="eastAsia"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9DE271">
            <w:pPr>
              <w:spacing w:line="360" w:lineRule="auto"/>
              <w:ind w:firstLine="420"/>
              <w:rPr>
                <w:rFonts w:hint="eastAsia" w:ascii="宋体" w:hAnsi="宋体" w:eastAsia="宋体" w:cs="宋体"/>
                <w:color w:val="000000" w:themeColor="text1"/>
                <w:sz w:val="22"/>
                <w14:textFill>
                  <w14:solidFill>
                    <w14:schemeClr w14:val="tx1"/>
                  </w14:solidFill>
                </w14:textFill>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A04E669">
            <w:pPr>
              <w:spacing w:line="360" w:lineRule="auto"/>
              <w:ind w:firstLine="420"/>
              <w:rPr>
                <w:rFonts w:hint="eastAsia" w:ascii="宋体" w:hAnsi="宋体" w:eastAsia="宋体" w:cs="宋体"/>
                <w:color w:val="000000" w:themeColor="text1"/>
                <w:sz w:val="22"/>
                <w14:textFill>
                  <w14:solidFill>
                    <w14:schemeClr w14:val="tx1"/>
                  </w14:solidFill>
                </w14:textFill>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908306C">
            <w:pPr>
              <w:spacing w:line="360" w:lineRule="auto"/>
              <w:ind w:firstLine="420"/>
              <w:rPr>
                <w:rFonts w:hint="eastAsia" w:ascii="宋体" w:hAnsi="宋体" w:eastAsia="宋体" w:cs="宋体"/>
                <w:color w:val="000000" w:themeColor="text1"/>
                <w:sz w:val="22"/>
                <w14:textFill>
                  <w14:solidFill>
                    <w14:schemeClr w14:val="tx1"/>
                  </w14:solidFill>
                </w14:textFill>
              </w:rPr>
            </w:pPr>
          </w:p>
        </w:tc>
      </w:tr>
      <w:tr w14:paraId="603FBAAF">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768395">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合同总价款（大小写）：</w:t>
            </w:r>
          </w:p>
          <w:p w14:paraId="6BA2D12E">
            <w:pPr>
              <w:spacing w:line="360" w:lineRule="auto"/>
              <w:ind w:firstLine="420"/>
              <w:rPr>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备注：上述产品报价含产品生产、运输</w:t>
            </w:r>
            <w:r>
              <w:rPr>
                <w:rFonts w:ascii="Times New Roman" w:hAnsi="Times New Roman" w:eastAsia="Times New Roman" w:cs="Times New Roman"/>
                <w:color w:val="000000" w:themeColor="text1"/>
                <w14:textFill>
                  <w14:solidFill>
                    <w14:schemeClr w14:val="tx1"/>
                  </w14:solidFill>
                </w14:textFill>
              </w:rPr>
              <w:t>&lt;</w:t>
            </w:r>
            <w:r>
              <w:rPr>
                <w:rFonts w:ascii="宋体" w:hAnsi="宋体" w:eastAsia="宋体" w:cs="宋体"/>
                <w:color w:val="000000" w:themeColor="text1"/>
                <w14:textFill>
                  <w14:solidFill>
                    <w14:schemeClr w14:val="tx1"/>
                  </w14:solidFill>
                </w14:textFill>
              </w:rPr>
              <w:t>送达至甲方指定地点并下货</w:t>
            </w:r>
            <w:r>
              <w:rPr>
                <w:rFonts w:ascii="Times New Roman" w:hAnsi="Times New Roman" w:eastAsia="Times New Roman" w:cs="Times New Roman"/>
                <w:color w:val="000000" w:themeColor="text1"/>
                <w14:textFill>
                  <w14:solidFill>
                    <w14:schemeClr w14:val="tx1"/>
                  </w14:solidFill>
                </w14:textFill>
              </w:rPr>
              <w:t>&gt;</w:t>
            </w:r>
            <w:r>
              <w:rPr>
                <w:rFonts w:ascii="宋体" w:hAnsi="宋体" w:eastAsia="宋体" w:cs="宋体"/>
                <w:color w:val="000000" w:themeColor="text1"/>
                <w14:textFill>
                  <w14:solidFill>
                    <w14:schemeClr w14:val="tx1"/>
                  </w14:solidFill>
                </w14:textFill>
              </w:rPr>
              <w:t>、安装、调试、检验及售后服务、税金、劳保基金、人员培训等费用。</w:t>
            </w:r>
          </w:p>
        </w:tc>
      </w:tr>
    </w:tbl>
    <w:p w14:paraId="07E9B7D9">
      <w:pPr>
        <w:spacing w:line="360" w:lineRule="auto"/>
        <w:ind w:firstLine="422"/>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第二条</w:t>
      </w:r>
      <w:r>
        <w:rPr>
          <w:rFonts w:ascii="Times New Roman" w:hAnsi="Times New Roman" w:eastAsia="Times New Roman" w:cs="Times New Roman"/>
          <w:b/>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产品的技术标准（包括质量要求），按下列第（</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）项执行：</w:t>
      </w:r>
    </w:p>
    <w:p w14:paraId="2C3EC55E">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①按国家标准执行；②按部颁标准执行；③若无以上标准，则应不低于同行业质量标准；④有特殊要求的，按甲乙双方在合同中商定的技术条件、样品或补充的技术要求执行；</w:t>
      </w:r>
    </w:p>
    <w:p w14:paraId="7F267033">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乙方提供和交付的货物技术标准应与招标采购文件规定的技术标准相一致。若技术标准中无相应规定，所投货物应符合相应的国际标准或原产地国家有关部门最新颁布的相应的正式标准。</w:t>
      </w:r>
    </w:p>
    <w:p w14:paraId="00AB588E">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进口产品的质量标准为</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w:t>
      </w:r>
    </w:p>
    <w:p w14:paraId="4870F529">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3079FADE">
      <w:pPr>
        <w:spacing w:after="120" w:line="360" w:lineRule="auto"/>
        <w:ind w:firstLine="482"/>
        <w:rPr>
          <w:rFonts w:hint="eastAsia" w:ascii="宋体" w:hAnsi="宋体" w:eastAsia="宋体" w:cs="宋体"/>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第三条</w:t>
      </w:r>
      <w:r>
        <w:rPr>
          <w:rFonts w:ascii="宋体" w:hAnsi="宋体" w:eastAsia="宋体" w:cs="宋体"/>
          <w:color w:val="000000" w:themeColor="text1"/>
          <w:sz w:val="24"/>
          <w14:textFill>
            <w14:solidFill>
              <w14:schemeClr w14:val="tx1"/>
            </w14:solidFill>
          </w14:textFill>
        </w:rPr>
        <w:t>产品的包装标准和包装物的供应与回收</w:t>
      </w:r>
      <w:r>
        <w:rPr>
          <w:rFonts w:ascii="宋体" w:hAnsi="宋体" w:eastAsia="宋体" w:cs="宋体"/>
          <w:color w:val="000000" w:themeColor="text1"/>
          <w:sz w:val="24"/>
          <w:u w:val="single"/>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w:t>
      </w:r>
    </w:p>
    <w:p w14:paraId="5299D4D7">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（国家或行业主管部门有技术规定的，按技术规定执行；国家与行业主管部门无技术规定的，由甲乙双方商定。）</w:t>
      </w:r>
    </w:p>
    <w:p w14:paraId="72870CCD">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【注：合同中约定的包装标准应与乙方在投标文件中承诺的一致，且投标文件应作为合同附件与合同具有同等法律效力。】</w:t>
      </w:r>
    </w:p>
    <w:p w14:paraId="4203065D">
      <w:pPr>
        <w:spacing w:line="360" w:lineRule="auto"/>
        <w:ind w:firstLine="422"/>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第四条</w:t>
      </w:r>
      <w:r>
        <w:rPr>
          <w:rFonts w:ascii="Times New Roman" w:hAnsi="Times New Roman" w:eastAsia="Times New Roman" w:cs="Times New Roman"/>
          <w:b/>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产品的交货方法、到货地点和交货期限</w:t>
      </w:r>
    </w:p>
    <w:p w14:paraId="0917FB39">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交货方法，按下列第（</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）项执行：</w:t>
      </w:r>
    </w:p>
    <w:p w14:paraId="780D8096">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①乙方送货上门；②乙方代运；③甲方自提自运。</w:t>
      </w:r>
    </w:p>
    <w:p w14:paraId="390AF440">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到货地点：</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甲方指定的任何地点，安装并调试</w:t>
      </w:r>
      <w:r>
        <w:rPr>
          <w:rFonts w:ascii="Times New Roman" w:hAnsi="Times New Roman" w:eastAsia="Times New Roman" w:cs="Times New Roman"/>
          <w:color w:val="000000" w:themeColor="text1"/>
          <w14:textFill>
            <w14:solidFill>
              <w14:schemeClr w14:val="tx1"/>
            </w14:solidFill>
          </w14:textFill>
        </w:rPr>
        <w:t>.)</w:t>
      </w:r>
    </w:p>
    <w:p w14:paraId="74491B88">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3.</w:t>
      </w:r>
      <w:r>
        <w:rPr>
          <w:rFonts w:ascii="宋体" w:hAnsi="宋体" w:eastAsia="宋体" w:cs="宋体"/>
          <w:color w:val="000000" w:themeColor="text1"/>
          <w14:textFill>
            <w14:solidFill>
              <w14:schemeClr w14:val="tx1"/>
            </w14:solidFill>
          </w14:textFill>
        </w:rPr>
        <w:t>产品的交货期限</w:t>
      </w:r>
      <w:r>
        <w:rPr>
          <w:rFonts w:ascii="宋体" w:hAnsi="宋体" w:eastAsia="宋体" w:cs="宋体"/>
          <w:color w:val="000000" w:themeColor="text1"/>
          <w:u w:val="single"/>
          <w14:textFill>
            <w14:solidFill>
              <w14:schemeClr w14:val="tx1"/>
            </w14:solidFill>
          </w14:textFill>
        </w:rPr>
        <w:t>                         </w:t>
      </w:r>
      <w:r>
        <w:rPr>
          <w:rFonts w:ascii="宋体" w:hAnsi="宋体" w:eastAsia="宋体" w:cs="宋体"/>
          <w:color w:val="000000" w:themeColor="text1"/>
          <w14:textFill>
            <w14:solidFill>
              <w14:schemeClr w14:val="tx1"/>
            </w14:solidFill>
          </w14:textFill>
        </w:rPr>
        <w:t>。</w:t>
      </w:r>
    </w:p>
    <w:p w14:paraId="33B219E8">
      <w:pPr>
        <w:spacing w:line="360" w:lineRule="auto"/>
        <w:ind w:firstLine="422"/>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第五条</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合同总价款</w:t>
      </w:r>
    </w:p>
    <w:p w14:paraId="5298A987">
      <w:pPr>
        <w:spacing w:line="360" w:lineRule="auto"/>
        <w:ind w:firstLine="420"/>
        <w:rPr>
          <w:rFonts w:ascii="Times New Roman" w:hAnsi="Times New Roman" w:eastAsia="Times New Roman" w:cs="Times New Roman"/>
          <w:color w:val="000000" w:themeColor="text1"/>
          <w:u w:val="single"/>
          <w14:textFill>
            <w14:solidFill>
              <w14:schemeClr w14:val="tx1"/>
            </w14:solidFill>
          </w14:textFill>
        </w:rPr>
      </w:pPr>
      <w:r>
        <w:rPr>
          <w:rFonts w:ascii="宋体" w:hAnsi="宋体" w:eastAsia="宋体" w:cs="宋体"/>
          <w:color w:val="000000" w:themeColor="text1"/>
          <w14:textFill>
            <w14:solidFill>
              <w14:schemeClr w14:val="tx1"/>
            </w14:solidFill>
          </w14:textFill>
        </w:rPr>
        <w:t>合同总价款（大小写）：</w:t>
      </w:r>
      <w:r>
        <w:rPr>
          <w:rFonts w:ascii="Times New Roman" w:hAnsi="Times New Roman" w:eastAsia="Times New Roman" w:cs="Times New Roman"/>
          <w:color w:val="000000" w:themeColor="text1"/>
          <w:u w:val="single"/>
          <w14:textFill>
            <w14:solidFill>
              <w14:schemeClr w14:val="tx1"/>
            </w14:solidFill>
          </w14:textFill>
        </w:rPr>
        <w:t xml:space="preserve">                        </w:t>
      </w:r>
    </w:p>
    <w:p w14:paraId="45AC8E7D">
      <w:pPr>
        <w:numPr>
          <w:ilvl w:val="0"/>
          <w:numId w:val="28"/>
        </w:numPr>
        <w:tabs>
          <w:tab w:val="left" w:pos="1125"/>
        </w:tabs>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付款条件</w:t>
      </w:r>
      <w:r>
        <w:rPr>
          <w:rFonts w:ascii="Times New Roman" w:hAnsi="Times New Roman" w:eastAsia="Times New Roman" w:cs="Times New Roman"/>
          <w:color w:val="000000" w:themeColor="text1"/>
          <w14:textFill>
            <w14:solidFill>
              <w14:schemeClr w14:val="tx1"/>
            </w14:solidFill>
          </w14:textFill>
        </w:rPr>
        <w:t xml:space="preserve">                  </w:t>
      </w:r>
    </w:p>
    <w:p w14:paraId="07E32136">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本合同以人民币付款。</w:t>
      </w:r>
    </w:p>
    <w:p w14:paraId="2F7DD941">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该项目是否实行预付款：</w:t>
      </w:r>
    </w:p>
    <w:p w14:paraId="0A0454C7">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实行预付款的条件和比例：</w:t>
      </w:r>
    </w:p>
    <w:p w14:paraId="633518AD">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合同款项结算方式和支付比例：</w:t>
      </w:r>
      <w:r>
        <w:rPr>
          <w:rFonts w:ascii="Times New Roman" w:hAnsi="Times New Roman" w:eastAsia="Times New Roman" w:cs="Times New Roman"/>
          <w:color w:val="000000" w:themeColor="text1"/>
          <w14:textFill>
            <w14:solidFill>
              <w14:schemeClr w14:val="tx1"/>
            </w14:solidFill>
          </w14:textFill>
        </w:rPr>
        <w:t xml:space="preserve">   </w:t>
      </w:r>
    </w:p>
    <w:p w14:paraId="0700A282">
      <w:pPr>
        <w:spacing w:line="360" w:lineRule="auto"/>
        <w:ind w:firstLine="420"/>
        <w:rPr>
          <w:rFonts w:ascii="Times New Roman" w:hAnsi="Times New Roman" w:eastAsia="Times New Roman" w:cs="Times New Roman"/>
          <w:b/>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w:t>
      </w:r>
      <w:r>
        <w:rPr>
          <w:rFonts w:ascii="宋体" w:hAnsi="宋体" w:eastAsia="宋体" w:cs="宋体"/>
          <w:color w:val="000000" w:themeColor="text1"/>
          <w14:textFill>
            <w14:solidFill>
              <w14:schemeClr w14:val="tx1"/>
            </w14:solidFill>
          </w14:textFill>
        </w:rPr>
        <w:t>具体付款方式</w:t>
      </w:r>
      <w:r>
        <w:rPr>
          <w:rFonts w:ascii="宋体" w:hAnsi="宋体" w:eastAsia="宋体" w:cs="宋体"/>
          <w:color w:val="000000" w:themeColor="text1"/>
          <w:u w:val="single"/>
          <w14:textFill>
            <w14:solidFill>
              <w14:schemeClr w14:val="tx1"/>
            </w14:solidFill>
          </w14:textFill>
        </w:rPr>
        <w:t>按投标人须知前附表以及采、购双方的具体约定</w:t>
      </w:r>
    </w:p>
    <w:p w14:paraId="3E66F9CB">
      <w:pPr>
        <w:numPr>
          <w:ilvl w:val="0"/>
          <w:numId w:val="29"/>
        </w:numPr>
        <w:tabs>
          <w:tab w:val="left" w:pos="1125"/>
        </w:tabs>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验收方法</w:t>
      </w:r>
    </w:p>
    <w:p w14:paraId="0F89ACCD">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乙方安装调试后，在</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天内通知甲方组织验收，采购代理机构保留受托参与本项目验收的权利。验收不合格的，乙方应负责重新提供达到本合同约定的质量要求的产品。</w:t>
      </w:r>
    </w:p>
    <w:p w14:paraId="2FB6F5F6">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甲、乙双方应严格履行合同有关条款，如果验收过程中发现乙方在没有征得采购人同意的情况下擅自变更合同标的物，将拒绝通过验收，由此引起的一切后果及损失由乙方承担。</w:t>
      </w:r>
    </w:p>
    <w:p w14:paraId="1906AEC5">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3.</w:t>
      </w:r>
      <w:r>
        <w:rPr>
          <w:rFonts w:ascii="宋体" w:hAnsi="宋体" w:eastAsia="宋体" w:cs="宋体"/>
          <w:color w:val="000000" w:themeColor="text1"/>
          <w14:textFill>
            <w14:solidFill>
              <w14:schemeClr w14:val="tx1"/>
            </w14:solidFill>
          </w14:textFill>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06B6B39">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4</w:t>
      </w:r>
      <w:r>
        <w:rPr>
          <w:rFonts w:ascii="宋体" w:hAnsi="宋体" w:eastAsia="宋体" w:cs="宋体"/>
          <w:color w:val="000000" w:themeColor="text1"/>
          <w14:textFill>
            <w14:solidFill>
              <w14:schemeClr w14:val="tx1"/>
            </w14:solidFill>
          </w14:textFill>
        </w:rPr>
        <w:t>、甲方视情况可以邀请参加本项目的其他投标人或者第三方机构参与验收，参与验收的投标人或者第三方机构的意见作为验收书的参考资料一并存档。</w:t>
      </w:r>
    </w:p>
    <w:p w14:paraId="23FD3144">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涉及安全、消防、环保等其他需要由质检或行业主管部门进行验收的项目，必须邀请相关部门或相关专家参与验收。</w:t>
      </w:r>
    </w:p>
    <w:p w14:paraId="4357C316">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检测、验收费用承担方式：</w:t>
      </w:r>
    </w:p>
    <w:p w14:paraId="18E4047A">
      <w:pPr>
        <w:spacing w:line="360" w:lineRule="auto"/>
        <w:ind w:firstLine="422"/>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第八条 </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对产品提出异议的时间和办法</w:t>
      </w:r>
    </w:p>
    <w:p w14:paraId="7E8C7BDB">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甲方在验收中，如果发现产品不符合合同约定的，应一面妥为保管，一面在</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工作日内向乙方书面提出异议，并抄送采购代理机构，具体说明产品不符合规定的内容并附相关验收材料，同时提出不符合规定产品的处理意见。</w:t>
      </w:r>
    </w:p>
    <w:p w14:paraId="6E7881F5">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甲方因使用、保管、保养不善等造成产品质量下降的，不得提出异议。</w:t>
      </w:r>
    </w:p>
    <w:p w14:paraId="201E8885">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3.</w:t>
      </w:r>
      <w:r>
        <w:rPr>
          <w:rFonts w:ascii="宋体" w:hAnsi="宋体" w:eastAsia="宋体" w:cs="宋体"/>
          <w:color w:val="000000" w:themeColor="text1"/>
          <w14:textFill>
            <w14:solidFill>
              <w14:schemeClr w14:val="tx1"/>
            </w14:solidFill>
          </w14:textFill>
        </w:rPr>
        <w:t>乙方在接到甲方异议后，应在</w:t>
      </w:r>
      <w:r>
        <w:rPr>
          <w:rFonts w:ascii="Times New Roman" w:hAnsi="Times New Roman" w:eastAsia="Times New Roman" w:cs="Times New Roman"/>
          <w:color w:val="000000" w:themeColor="text1"/>
          <w14:textFill>
            <w14:solidFill>
              <w14:schemeClr w14:val="tx1"/>
            </w14:solidFill>
          </w14:textFill>
        </w:rPr>
        <w:t xml:space="preserve">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工作日内负责处理，否则，即视为默认甲方提出的异议和处理意见。</w:t>
      </w:r>
    </w:p>
    <w:p w14:paraId="4E681B2D">
      <w:pPr>
        <w:spacing w:line="360" w:lineRule="auto"/>
        <w:ind w:firstLine="422"/>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第九条</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乙方应提供完善周到的技术支持和售后服务，否则甲方视情节轻重从乙方的质量保证金中扣除部分或全部补偿甲方。</w:t>
      </w:r>
    </w:p>
    <w:p w14:paraId="0AE7646B">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保修</w:t>
      </w:r>
    </w:p>
    <w:p w14:paraId="6A0412E4">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乙方对其所提供的货物免费保修</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年，保修期从</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开始。乙方应在接到报修通知后</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天内上门维修，负责更换有瑕疵的货物、部件或提供相应的质量保证期内的服务。由此造成的损失，甲方保留索赔的权利。</w:t>
      </w:r>
    </w:p>
    <w:p w14:paraId="3955B39C">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如果乙方在收到报修通知后</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天内没有弥补缺陷，甲方可采取必要的补救措施，但费用和风险由乙方承担。</w:t>
      </w:r>
    </w:p>
    <w:p w14:paraId="27D82809">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维修</w:t>
      </w:r>
    </w:p>
    <w:p w14:paraId="2A84BC3C">
      <w:pPr>
        <w:spacing w:after="120"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保修期届满后，乙方应对其提供的货物负有维修义务，但所涉及的费用由甲方承担。</w:t>
      </w:r>
    </w:p>
    <w:p w14:paraId="413610E7">
      <w:pPr>
        <w:spacing w:line="360" w:lineRule="auto"/>
        <w:ind w:firstLine="422"/>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第十条</w:t>
      </w:r>
      <w:r>
        <w:rPr>
          <w:rFonts w:ascii="宋体" w:hAnsi="宋体" w:eastAsia="宋体" w:cs="宋体"/>
          <w:color w:val="000000" w:themeColor="text1"/>
          <w14:textFill>
            <w14:solidFill>
              <w14:schemeClr w14:val="tx1"/>
            </w14:solidFill>
          </w14:textFill>
        </w:rPr>
        <w:t> </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乙方的违约责任</w:t>
      </w:r>
    </w:p>
    <w:p w14:paraId="52335638">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乙方不能交货的，应向甲方偿付不能交货部分货款的</w:t>
      </w:r>
      <w:r>
        <w:rPr>
          <w:rFonts w:ascii="宋体" w:hAnsi="宋体" w:eastAsia="宋体" w:cs="宋体"/>
          <w:color w:val="000000" w:themeColor="text1"/>
          <w:u w:val="single"/>
          <w14:textFill>
            <w14:solidFill>
              <w14:schemeClr w14:val="tx1"/>
            </w14:solidFill>
          </w14:textFill>
        </w:rPr>
        <w:t>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（通用产品的幅度为</w:t>
      </w: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w:t>
      </w:r>
      <w:r>
        <w:rPr>
          <w:rFonts w:ascii="Times New Roman" w:hAnsi="Times New Roman" w:eastAsia="Times New Roman" w:cs="Times New Roman"/>
          <w:color w:val="000000" w:themeColor="text1"/>
          <w14:textFill>
            <w14:solidFill>
              <w14:schemeClr w14:val="tx1"/>
            </w14:solidFill>
          </w14:textFill>
        </w:rPr>
        <w:t>5%</w:t>
      </w:r>
      <w:r>
        <w:rPr>
          <w:rFonts w:ascii="宋体" w:hAnsi="宋体" w:eastAsia="宋体" w:cs="宋体"/>
          <w:color w:val="000000" w:themeColor="text1"/>
          <w14:textFill>
            <w14:solidFill>
              <w14:schemeClr w14:val="tx1"/>
            </w14:solidFill>
          </w14:textFill>
        </w:rPr>
        <w:t>，专用产品的幅度为</w:t>
      </w:r>
      <w:r>
        <w:rPr>
          <w:rFonts w:ascii="Times New Roman" w:hAnsi="Times New Roman" w:eastAsia="Times New Roman" w:cs="Times New Roman"/>
          <w:color w:val="000000" w:themeColor="text1"/>
          <w14:textFill>
            <w14:solidFill>
              <w14:schemeClr w14:val="tx1"/>
            </w14:solidFill>
          </w14:textFill>
        </w:rPr>
        <w:t>10%</w:t>
      </w:r>
      <w:r>
        <w:rPr>
          <w:rFonts w:ascii="宋体" w:hAnsi="宋体" w:eastAsia="宋体" w:cs="宋体"/>
          <w:color w:val="000000" w:themeColor="text1"/>
          <w14:textFill>
            <w14:solidFill>
              <w14:schemeClr w14:val="tx1"/>
            </w14:solidFill>
          </w14:textFill>
        </w:rPr>
        <w:t>－</w:t>
      </w:r>
      <w:r>
        <w:rPr>
          <w:rFonts w:ascii="Times New Roman" w:hAnsi="Times New Roman" w:eastAsia="Times New Roman" w:cs="Times New Roman"/>
          <w:color w:val="000000" w:themeColor="text1"/>
          <w14:textFill>
            <w14:solidFill>
              <w14:schemeClr w14:val="tx1"/>
            </w14:solidFill>
          </w14:textFill>
        </w:rPr>
        <w:t>30%</w:t>
      </w:r>
      <w:r>
        <w:rPr>
          <w:rFonts w:ascii="宋体" w:hAnsi="宋体" w:eastAsia="宋体" w:cs="宋体"/>
          <w:color w:val="000000" w:themeColor="text1"/>
          <w14:textFill>
            <w14:solidFill>
              <w14:schemeClr w14:val="tx1"/>
            </w14:solidFill>
          </w14:textFill>
        </w:rPr>
        <w:t>）的违约金。</w:t>
      </w:r>
    </w:p>
    <w:p w14:paraId="167F7631">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000000" w:themeColor="text1"/>
          <w14:textFill>
            <w14:solidFill>
              <w14:schemeClr w14:val="tx1"/>
            </w14:solidFill>
          </w14:textFill>
        </w:rPr>
        <w:t>,</w:t>
      </w:r>
      <w:r>
        <w:rPr>
          <w:rFonts w:ascii="宋体" w:hAnsi="宋体" w:eastAsia="宋体" w:cs="宋体"/>
          <w:color w:val="000000" w:themeColor="text1"/>
          <w14:textFill>
            <w14:solidFill>
              <w14:schemeClr w14:val="tx1"/>
            </w14:solidFill>
          </w14:textFill>
        </w:rPr>
        <w:t>同时，乙方应按规定，对更换件相应延长质量保证期，并赔偿甲方相应的损失。乙方不能修理或者不能调换的，按不能交货处理。</w:t>
      </w:r>
    </w:p>
    <w:p w14:paraId="32E5F318">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3.</w:t>
      </w:r>
      <w:r>
        <w:rPr>
          <w:rFonts w:ascii="宋体" w:hAnsi="宋体" w:eastAsia="宋体" w:cs="宋体"/>
          <w:color w:val="000000" w:themeColor="text1"/>
          <w14:textFill>
            <w14:solidFill>
              <w14:schemeClr w14:val="tx1"/>
            </w14:solidFill>
          </w14:textFill>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3AABA986">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4.</w:t>
      </w:r>
      <w:r>
        <w:rPr>
          <w:rFonts w:ascii="宋体" w:hAnsi="宋体" w:eastAsia="宋体" w:cs="宋体"/>
          <w:color w:val="000000" w:themeColor="text1"/>
          <w14:textFill>
            <w14:solidFill>
              <w14:schemeClr w14:val="tx1"/>
            </w14:solidFill>
          </w14:textFill>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000000" w:themeColor="text1"/>
          <w14:textFill>
            <w14:solidFill>
              <w14:schemeClr w14:val="tx1"/>
            </w14:solidFill>
          </w14:textFill>
        </w:rPr>
        <w:t>0.5%</w:t>
      </w:r>
      <w:r>
        <w:rPr>
          <w:rFonts w:ascii="宋体" w:hAnsi="宋体" w:eastAsia="宋体" w:cs="宋体"/>
          <w:color w:val="000000" w:themeColor="text1"/>
          <w14:textFill>
            <w14:solidFill>
              <w14:schemeClr w14:val="tx1"/>
            </w14:solidFill>
          </w14:textFill>
        </w:rPr>
        <w:t>计收。但违约金的最高限额为迟交货物或提供服务合同价的</w:t>
      </w:r>
      <w:r>
        <w:rPr>
          <w:rFonts w:ascii="Times New Roman" w:hAnsi="Times New Roman" w:eastAsia="Times New Roman" w:cs="Times New Roman"/>
          <w:color w:val="000000" w:themeColor="text1"/>
          <w14:textFill>
            <w14:solidFill>
              <w14:schemeClr w14:val="tx1"/>
            </w14:solidFill>
          </w14:textFill>
        </w:rPr>
        <w:t>5%</w:t>
      </w:r>
      <w:r>
        <w:rPr>
          <w:rFonts w:ascii="宋体" w:hAnsi="宋体" w:eastAsia="宋体" w:cs="宋体"/>
          <w:color w:val="000000" w:themeColor="text1"/>
          <w14:textFill>
            <w14:solidFill>
              <w14:schemeClr w14:val="tx1"/>
            </w14:solidFill>
          </w14:textFill>
        </w:rPr>
        <w:t>。一周按</w:t>
      </w:r>
      <w:r>
        <w:rPr>
          <w:rFonts w:ascii="Times New Roman" w:hAnsi="Times New Roman" w:eastAsia="Times New Roman" w:cs="Times New Roman"/>
          <w:color w:val="000000" w:themeColor="text1"/>
          <w14:textFill>
            <w14:solidFill>
              <w14:schemeClr w14:val="tx1"/>
            </w14:solidFill>
          </w14:textFill>
        </w:rPr>
        <w:t>7</w:t>
      </w:r>
      <w:r>
        <w:rPr>
          <w:rFonts w:ascii="宋体" w:hAnsi="宋体" w:eastAsia="宋体" w:cs="宋体"/>
          <w:color w:val="000000" w:themeColor="text1"/>
          <w14:textFill>
            <w14:solidFill>
              <w14:schemeClr w14:val="tx1"/>
            </w14:solidFill>
          </w14:textFill>
        </w:rPr>
        <w:t>天计算，不足</w:t>
      </w:r>
      <w:r>
        <w:rPr>
          <w:rFonts w:ascii="Times New Roman" w:hAnsi="Times New Roman" w:eastAsia="Times New Roman" w:cs="Times New Roman"/>
          <w:color w:val="000000" w:themeColor="text1"/>
          <w14:textFill>
            <w14:solidFill>
              <w14:schemeClr w14:val="tx1"/>
            </w14:solidFill>
          </w14:textFill>
        </w:rPr>
        <w:t>7</w:t>
      </w:r>
      <w:r>
        <w:rPr>
          <w:rFonts w:ascii="宋体" w:hAnsi="宋体" w:eastAsia="宋体" w:cs="宋体"/>
          <w:color w:val="000000" w:themeColor="text1"/>
          <w14:textFill>
            <w14:solidFill>
              <w14:schemeClr w14:val="tx1"/>
            </w14:solidFill>
          </w14:textFill>
        </w:rPr>
        <w:t>天按一周计算。如果达到最高限额，甲方应考虑终止合同，由此给甲方造成的损失由乙方承担。</w:t>
      </w:r>
    </w:p>
    <w:p w14:paraId="6693504B">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5.</w:t>
      </w:r>
      <w:r>
        <w:rPr>
          <w:rFonts w:ascii="宋体" w:hAnsi="宋体" w:eastAsia="宋体" w:cs="宋体"/>
          <w:color w:val="000000" w:themeColor="text1"/>
          <w14:textFill>
            <w14:solidFill>
              <w14:schemeClr w14:val="tx1"/>
            </w14:solidFill>
          </w14:textFill>
        </w:rPr>
        <w:t>乙方提前交货的产品、多交的产品和不符合合同规定的产品，甲方在代保管期内实际支付的保管、保养等费用以及非因甲方保管不善而发生的损失，应当由乙方承担。</w:t>
      </w:r>
    </w:p>
    <w:p w14:paraId="3C7C4C8D">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6.</w:t>
      </w:r>
      <w:r>
        <w:rPr>
          <w:rFonts w:ascii="宋体" w:hAnsi="宋体" w:eastAsia="宋体" w:cs="宋体"/>
          <w:color w:val="000000" w:themeColor="text1"/>
          <w14:textFill>
            <w14:solidFill>
              <w14:schemeClr w14:val="tx1"/>
            </w14:solidFill>
          </w14:textFill>
        </w:rPr>
        <w:t>乙方应对其所提供的货物承担所有权担保责任，并应保证甲方在中华人民共和国内使用该货物时不侵犯第三人的知识产权。否则乙方应承担由此引起的一切法律责任及费用。</w:t>
      </w:r>
    </w:p>
    <w:p w14:paraId="07918801">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7.</w:t>
      </w:r>
      <w:r>
        <w:rPr>
          <w:rFonts w:ascii="宋体" w:hAnsi="宋体" w:eastAsia="宋体" w:cs="宋体"/>
          <w:color w:val="000000" w:themeColor="text1"/>
          <w14:textFill>
            <w14:solidFill>
              <w14:schemeClr w14:val="tx1"/>
            </w14:solidFill>
          </w14:textFill>
        </w:rPr>
        <w:t>任何一方未经对方同意而单方面终止合同的，应向对方赔偿相当于本合同总价款</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违约金。</w:t>
      </w:r>
    </w:p>
    <w:p w14:paraId="751B4C7A">
      <w:pPr>
        <w:spacing w:line="360" w:lineRule="auto"/>
        <w:ind w:firstLine="422"/>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第十一条</w:t>
      </w:r>
      <w:r>
        <w:rPr>
          <w:rFonts w:ascii="宋体" w:hAnsi="宋体" w:eastAsia="宋体" w:cs="宋体"/>
          <w:color w:val="000000" w:themeColor="text1"/>
          <w14:textFill>
            <w14:solidFill>
              <w14:schemeClr w14:val="tx1"/>
            </w14:solidFill>
          </w14:textFill>
        </w:rPr>
        <w:t> </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甲方的违约责任</w:t>
      </w:r>
    </w:p>
    <w:p w14:paraId="3351D46A">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甲方中途退货，应向乙方偿付退货部分货款</w:t>
      </w:r>
      <w:r>
        <w:rPr>
          <w:rFonts w:ascii="宋体" w:hAnsi="宋体" w:eastAsia="宋体" w:cs="宋体"/>
          <w:color w:val="000000" w:themeColor="text1"/>
          <w:u w:val="single"/>
          <w14:textFill>
            <w14:solidFill>
              <w14:schemeClr w14:val="tx1"/>
            </w14:solidFill>
          </w14:textFill>
        </w:rPr>
        <w:t>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Times New Roman" w:hAnsi="Times New Roman" w:eastAsia="Times New Roman" w:cs="Times New Roman"/>
          <w:color w:val="000000" w:themeColor="text1"/>
          <w14:textFill>
            <w14:solidFill>
              <w14:schemeClr w14:val="tx1"/>
            </w14:solidFill>
          </w14:textFill>
        </w:rPr>
        <w:t>%</w:t>
      </w:r>
      <w:r>
        <w:rPr>
          <w:rFonts w:ascii="宋体" w:hAnsi="宋体" w:eastAsia="宋体" w:cs="宋体"/>
          <w:color w:val="000000" w:themeColor="text1"/>
          <w14:textFill>
            <w14:solidFill>
              <w14:schemeClr w14:val="tx1"/>
            </w14:solidFill>
          </w14:textFill>
        </w:rPr>
        <w:t>（通用产品的幅度为</w:t>
      </w:r>
      <w:r>
        <w:rPr>
          <w:rFonts w:ascii="Times New Roman" w:hAnsi="Times New Roman" w:eastAsia="Times New Roman" w:cs="Times New Roman"/>
          <w:color w:val="000000" w:themeColor="text1"/>
          <w14:textFill>
            <w14:solidFill>
              <w14:schemeClr w14:val="tx1"/>
            </w14:solidFill>
          </w14:textFill>
        </w:rPr>
        <w:t>1%~5%</w:t>
      </w:r>
      <w:r>
        <w:rPr>
          <w:rFonts w:ascii="宋体" w:hAnsi="宋体" w:eastAsia="宋体" w:cs="宋体"/>
          <w:color w:val="000000" w:themeColor="text1"/>
          <w14:textFill>
            <w14:solidFill>
              <w14:schemeClr w14:val="tx1"/>
            </w14:solidFill>
          </w14:textFill>
        </w:rPr>
        <w:t>专用产品的幅度为</w:t>
      </w:r>
      <w:r>
        <w:rPr>
          <w:rFonts w:ascii="Times New Roman" w:hAnsi="Times New Roman" w:eastAsia="Times New Roman" w:cs="Times New Roman"/>
          <w:color w:val="000000" w:themeColor="text1"/>
          <w14:textFill>
            <w14:solidFill>
              <w14:schemeClr w14:val="tx1"/>
            </w14:solidFill>
          </w14:textFill>
        </w:rPr>
        <w:t>15%-30%</w:t>
      </w:r>
      <w:r>
        <w:rPr>
          <w:rFonts w:ascii="宋体" w:hAnsi="宋体" w:eastAsia="宋体" w:cs="宋体"/>
          <w:color w:val="000000" w:themeColor="text1"/>
          <w14:textFill>
            <w14:solidFill>
              <w14:schemeClr w14:val="tx1"/>
            </w14:solidFill>
          </w14:textFill>
        </w:rPr>
        <w:t>）的违约金。</w:t>
      </w:r>
    </w:p>
    <w:p w14:paraId="654EB628">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甲方违反合同规定拒绝接货的，应当承担由此造成的损失。</w:t>
      </w:r>
    </w:p>
    <w:p w14:paraId="17AEF998">
      <w:pPr>
        <w:spacing w:line="360" w:lineRule="auto"/>
        <w:ind w:firstLine="420"/>
        <w:rPr>
          <w:rFonts w:ascii="Times New Roman" w:hAnsi="Times New Roman" w:eastAsia="Times New Roman" w:cs="Times New Roman"/>
          <w:color w:val="000000" w:themeColor="text1"/>
          <w:u w:val="single"/>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 xml:space="preserve">3. </w:t>
      </w:r>
      <w:r>
        <w:rPr>
          <w:rFonts w:ascii="宋体" w:hAnsi="宋体" w:eastAsia="宋体" w:cs="宋体"/>
          <w:color w:val="000000" w:themeColor="text1"/>
          <w14:textFill>
            <w14:solidFill>
              <w14:schemeClr w14:val="tx1"/>
            </w14:solidFill>
          </w14:textFill>
        </w:rPr>
        <w:t>甲方未按照合同约定支付货款，应向乙方违约金</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元。</w:t>
      </w:r>
    </w:p>
    <w:p w14:paraId="2EAA06A0">
      <w:pPr>
        <w:spacing w:line="360" w:lineRule="auto"/>
        <w:ind w:firstLine="422"/>
        <w:rPr>
          <w:rFonts w:ascii="Times New Roman" w:hAnsi="Times New Roman" w:eastAsia="Times New Roman" w:cs="Times New Roman"/>
          <w:b/>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第十二条 </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不可抗力</w:t>
      </w:r>
    </w:p>
    <w:p w14:paraId="4BCCE9C3">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F30BC2E">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BAFD81F">
      <w:pPr>
        <w:spacing w:line="360" w:lineRule="auto"/>
        <w:ind w:firstLine="422"/>
        <w:rPr>
          <w:rFonts w:ascii="Times New Roman" w:hAnsi="Times New Roman" w:eastAsia="Times New Roman" w:cs="Times New Roman"/>
          <w:b/>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第十三条</w:t>
      </w:r>
      <w:r>
        <w:rPr>
          <w:rFonts w:ascii="Times New Roman" w:hAnsi="Times New Roman" w:eastAsia="Times New Roman" w:cs="Times New Roman"/>
          <w:b/>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履约（或质量）保证金</w:t>
      </w:r>
    </w:p>
    <w:p w14:paraId="04030BEF">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本项目不收取履约保证金。确需收取履约保证金的，甲方不得要求乙方以现款的形式提供。乙方提供的履约保证金按规定格式以银行保函形式提供，与此有关的费用由卖方承担。</w:t>
      </w:r>
    </w:p>
    <w:p w14:paraId="03ED8E2B">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若确需质量保证金的，质量保证金不得超过合同总价款的</w:t>
      </w:r>
      <w:r>
        <w:rPr>
          <w:rFonts w:ascii="Times New Roman" w:hAnsi="Times New Roman" w:eastAsia="Times New Roman" w:cs="Times New Roman"/>
          <w:color w:val="000000" w:themeColor="text1"/>
          <w14:textFill>
            <w14:solidFill>
              <w14:schemeClr w14:val="tx1"/>
            </w14:solidFill>
          </w14:textFill>
        </w:rPr>
        <w:t>5%</w:t>
      </w:r>
      <w:r>
        <w:rPr>
          <w:rFonts w:ascii="宋体" w:hAnsi="宋体" w:eastAsia="宋体" w:cs="宋体"/>
          <w:color w:val="000000" w:themeColor="text1"/>
          <w14:textFill>
            <w14:solidFill>
              <w14:schemeClr w14:val="tx1"/>
            </w14:solidFill>
          </w14:textFill>
        </w:rPr>
        <w:t>。</w:t>
      </w:r>
    </w:p>
    <w:p w14:paraId="4B73BFE4">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3.</w:t>
      </w:r>
      <w:r>
        <w:rPr>
          <w:rFonts w:ascii="宋体" w:hAnsi="宋体" w:eastAsia="宋体" w:cs="宋体"/>
          <w:color w:val="000000" w:themeColor="text1"/>
          <w14:textFill>
            <w14:solidFill>
              <w14:schemeClr w14:val="tx1"/>
            </w14:solidFill>
          </w14:textFill>
        </w:rPr>
        <w:t>如乙方未能履行其合同规定的任何义务，甲方有权从履约保证金中取得补偿。</w:t>
      </w:r>
    </w:p>
    <w:p w14:paraId="3295777A">
      <w:pPr>
        <w:spacing w:line="360" w:lineRule="auto"/>
        <w:ind w:firstLine="422"/>
        <w:rPr>
          <w:rFonts w:ascii="Times New Roman" w:hAnsi="Times New Roman" w:eastAsia="Times New Roman" w:cs="Times New Roman"/>
          <w:b/>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第十四条</w:t>
      </w:r>
      <w:r>
        <w:rPr>
          <w:rFonts w:ascii="Times New Roman" w:hAnsi="Times New Roman" w:eastAsia="Times New Roman" w:cs="Times New Roman"/>
          <w:b/>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转让与分包</w:t>
      </w:r>
    </w:p>
    <w:p w14:paraId="2B156182">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除甲方事先书面同意外，乙方不得部分转让或全部转让其应履行的合同义务。</w:t>
      </w:r>
    </w:p>
    <w:p w14:paraId="6E4A7810">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乙方应在投标文件中或以其他书面形式对甲方确认本合同项下所授予的所有分包合同。但该确认不解除乙方承担的本合同下的任何责任或义务。意即在本合同项下，乙方对甲方负总责。</w:t>
      </w:r>
    </w:p>
    <w:p w14:paraId="39ECF4B9">
      <w:pPr>
        <w:spacing w:line="360" w:lineRule="auto"/>
        <w:ind w:firstLine="422"/>
        <w:rPr>
          <w:rFonts w:ascii="Times New Roman" w:hAnsi="Times New Roman" w:eastAsia="Times New Roman" w:cs="Times New Roman"/>
          <w:b/>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第十五条</w:t>
      </w:r>
      <w:r>
        <w:rPr>
          <w:rFonts w:ascii="Times New Roman" w:hAnsi="Times New Roman" w:eastAsia="Times New Roman" w:cs="Times New Roman"/>
          <w:b/>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合同文件及资料的使用</w:t>
      </w:r>
    </w:p>
    <w:p w14:paraId="5275413C">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乙方在未经甲方同意的情况下，不得将合同、合同中的规定、有关计划、图纸、样本或甲方为上述内容向乙方提供的资料透露给任何人。</w:t>
      </w:r>
    </w:p>
    <w:p w14:paraId="77548771">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除非执行合同需要，在事先未得到甲方同意的情况下，乙方不得使用前款所列的任何文件和资料。</w:t>
      </w:r>
    </w:p>
    <w:p w14:paraId="00DCE26E">
      <w:pPr>
        <w:spacing w:line="360" w:lineRule="auto"/>
        <w:ind w:firstLine="422"/>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第十六条 </w:t>
      </w:r>
      <w:r>
        <w:rPr>
          <w:rFonts w:ascii="宋体" w:hAnsi="宋体" w:eastAsia="宋体" w:cs="宋体"/>
          <w:color w:val="000000" w:themeColor="text1"/>
          <w14:textFill>
            <w14:solidFill>
              <w14:schemeClr w14:val="tx1"/>
            </w14:solidFill>
          </w14:textFill>
        </w:rPr>
        <w:t>合同纠纷调处</w:t>
      </w:r>
    </w:p>
    <w:p w14:paraId="34E74A7D">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按本合同规定应该偿付的违约金、赔偿金、保管保养费和各种经济损失，应当在明确责任后</w:t>
      </w:r>
      <w:r>
        <w:rPr>
          <w:rFonts w:ascii="Times New Roman" w:hAnsi="Times New Roman" w:eastAsia="Times New Roman" w:cs="Times New Roman"/>
          <w:color w:val="000000" w:themeColor="text1"/>
          <w14:textFill>
            <w14:solidFill>
              <w14:schemeClr w14:val="tx1"/>
            </w14:solidFill>
          </w14:textFill>
        </w:rPr>
        <w:t>10</w:t>
      </w:r>
      <w:r>
        <w:rPr>
          <w:rFonts w:ascii="宋体" w:hAnsi="宋体" w:eastAsia="宋体" w:cs="宋体"/>
          <w:color w:val="000000" w:themeColor="text1"/>
          <w14:textFill>
            <w14:solidFill>
              <w14:schemeClr w14:val="tx1"/>
            </w14:solidFill>
          </w14:textFill>
        </w:rPr>
        <w:t>天内，按银行规定的结算办法付清，否则按逾期付款处理。但任何一方不得自行扣发货物或扣付货款来充抵。</w:t>
      </w:r>
    </w:p>
    <w:p w14:paraId="28215D8D">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）项方式处理：①根据《中华人民共和国仲裁法》的规定向</w:t>
      </w:r>
      <w:r>
        <w:rPr>
          <w:rFonts w:ascii="宋体" w:hAnsi="宋体" w:eastAsia="宋体" w:cs="宋体"/>
          <w:b/>
          <w:color w:val="000000" w:themeColor="text1"/>
          <w:u w:val="single"/>
          <w14:textFill>
            <w14:solidFill>
              <w14:schemeClr w14:val="tx1"/>
            </w14:solidFill>
          </w14:textFill>
        </w:rPr>
        <w:t>周口仲裁委员会</w:t>
      </w:r>
      <w:r>
        <w:rPr>
          <w:rFonts w:ascii="宋体" w:hAnsi="宋体" w:eastAsia="宋体" w:cs="宋体"/>
          <w:color w:val="000000" w:themeColor="text1"/>
          <w14:textFill>
            <w14:solidFill>
              <w14:schemeClr w14:val="tx1"/>
            </w14:solidFill>
          </w14:textFill>
        </w:rPr>
        <w:t>申请仲裁。②向合同签订地有级别管辖权的人民法院起诉。</w:t>
      </w:r>
    </w:p>
    <w:p w14:paraId="230EBBC9">
      <w:pPr>
        <w:spacing w:line="30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3</w:t>
      </w:r>
      <w:r>
        <w:rPr>
          <w:rFonts w:ascii="宋体" w:hAnsi="宋体" w:eastAsia="宋体" w:cs="宋体"/>
          <w:color w:val="000000" w:themeColor="text1"/>
          <w14:textFill>
            <w14:solidFill>
              <w14:schemeClr w14:val="tx1"/>
            </w14:solidFill>
          </w14:textFill>
        </w:rPr>
        <w:t>、甲、乙双方均有权利向本项目具有监管职能的政府采购监督管理部门举报反映对方在合同履约中的违法违纪行为。</w:t>
      </w:r>
    </w:p>
    <w:p w14:paraId="0746C9C7">
      <w:pPr>
        <w:spacing w:line="360" w:lineRule="auto"/>
        <w:ind w:firstLine="422"/>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第十七条</w:t>
      </w:r>
      <w:r>
        <w:rPr>
          <w:rFonts w:ascii="Times New Roman" w:hAnsi="Times New Roman" w:eastAsia="Times New Roman" w:cs="Times New Roman"/>
          <w:b/>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下列关于周口市公共资源交易中心政府采购代理机构名称</w:t>
      </w:r>
      <w:r>
        <w:rPr>
          <w:rFonts w:ascii="宋体" w:hAnsi="宋体" w:eastAsia="宋体" w:cs="宋体"/>
          <w:color w:val="000000" w:themeColor="text1"/>
          <w:u w:val="single"/>
          <w14:textFill>
            <w14:solidFill>
              <w14:schemeClr w14:val="tx1"/>
            </w14:solidFill>
          </w14:textFill>
        </w:rPr>
        <w:t>某项目（项目编号：某编号）</w:t>
      </w:r>
      <w:r>
        <w:rPr>
          <w:rFonts w:ascii="宋体" w:hAnsi="宋体" w:eastAsia="宋体" w:cs="宋体"/>
          <w:color w:val="000000" w:themeColor="text1"/>
          <w14:textFill>
            <w14:solidFill>
              <w14:schemeClr w14:val="tx1"/>
            </w14:solidFill>
          </w14:textFill>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1B79885">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本合同一式</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份，甲乙双方各执</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份，自双方当事人签字盖章之日起生效。</w:t>
      </w:r>
    </w:p>
    <w:p w14:paraId="3B62F182">
      <w:pPr>
        <w:spacing w:line="360" w:lineRule="auto"/>
        <w:ind w:firstLine="420"/>
        <w:rPr>
          <w:rFonts w:ascii="Times New Roman" w:hAnsi="Times New Roman" w:eastAsia="Times New Roman" w:cs="Times New Roman"/>
          <w:color w:val="000000" w:themeColor="text1"/>
          <w14:textFill>
            <w14:solidFill>
              <w14:schemeClr w14:val="tx1"/>
            </w14:solidFill>
          </w14:textFill>
        </w:rPr>
      </w:pPr>
    </w:p>
    <w:p w14:paraId="5DD7D973">
      <w:pPr>
        <w:spacing w:line="360" w:lineRule="auto"/>
        <w:ind w:firstLine="420"/>
        <w:rPr>
          <w:rFonts w:ascii="Times New Roman" w:hAnsi="Times New Roman" w:eastAsia="Times New Roman" w:cs="Times New Roman"/>
          <w:color w:val="000000" w:themeColor="text1"/>
          <w14:textFill>
            <w14:solidFill>
              <w14:schemeClr w14:val="tx1"/>
            </w14:solidFill>
          </w14:textFill>
        </w:rPr>
      </w:pPr>
    </w:p>
    <w:p w14:paraId="3CBDE6B8">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采购人（甲方）：</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（公章）</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供货人（乙方）：</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（公章）</w:t>
      </w:r>
      <w:r>
        <w:rPr>
          <w:rFonts w:ascii="Times New Roman" w:hAnsi="Times New Roman" w:eastAsia="Times New Roman" w:cs="Times New Roman"/>
          <w:color w:val="000000" w:themeColor="text1"/>
          <w14:textFill>
            <w14:solidFill>
              <w14:schemeClr w14:val="tx1"/>
            </w14:solidFill>
          </w14:textFill>
        </w:rPr>
        <w:t xml:space="preserve">  </w:t>
      </w:r>
    </w:p>
    <w:p w14:paraId="5C4907CB">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地址：</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地址：</w:t>
      </w:r>
    </w:p>
    <w:p w14:paraId="78BCE69C">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法定代表人：</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法定代表人：</w:t>
      </w:r>
    </w:p>
    <w:p w14:paraId="01E7F625">
      <w:pPr>
        <w:spacing w:line="360" w:lineRule="auto"/>
        <w:ind w:firstLine="420"/>
        <w:rPr>
          <w:rFonts w:ascii="Times New Roman" w:hAnsi="Times New Roman" w:eastAsia="Times New Roman" w:cs="Times New Roman"/>
          <w:color w:val="000000" w:themeColor="text1"/>
          <w:u w:val="single"/>
          <w14:textFill>
            <w14:solidFill>
              <w14:schemeClr w14:val="tx1"/>
            </w14:solidFill>
          </w14:textFill>
        </w:rPr>
      </w:pPr>
      <w:r>
        <w:rPr>
          <w:rFonts w:ascii="宋体" w:hAnsi="宋体" w:eastAsia="宋体" w:cs="宋体"/>
          <w:color w:val="000000" w:themeColor="text1"/>
          <w14:textFill>
            <w14:solidFill>
              <w14:schemeClr w14:val="tx1"/>
            </w14:solidFill>
          </w14:textFill>
        </w:rPr>
        <w:t>委托代理人：</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委托代理人：</w:t>
      </w:r>
    </w:p>
    <w:p w14:paraId="3ADAAC81">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电话：</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电话：</w:t>
      </w:r>
    </w:p>
    <w:p w14:paraId="72189A25">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开户银行：</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开户银行：</w:t>
      </w:r>
    </w:p>
    <w:p w14:paraId="34DE60A6">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账号：</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账号：</w:t>
      </w:r>
    </w:p>
    <w:p w14:paraId="522E86A9">
      <w:pPr>
        <w:spacing w:line="640" w:lineRule="auto"/>
        <w:ind w:firstLine="1575"/>
        <w:rPr>
          <w:rFonts w:ascii="Times New Roman" w:hAnsi="Times New Roman" w:eastAsia="Times New Roman" w:cs="Times New Roman"/>
          <w:color w:val="000000" w:themeColor="text1"/>
          <w:u w:val="single"/>
          <w14:textFill>
            <w14:solidFill>
              <w14:schemeClr w14:val="tx1"/>
            </w14:solidFill>
          </w14:textFill>
        </w:rPr>
      </w:pPr>
    </w:p>
    <w:p w14:paraId="5DF0F0BD">
      <w:pPr>
        <w:spacing w:line="500" w:lineRule="auto"/>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u w:val="single"/>
          <w14:textFill>
            <w14:solidFill>
              <w14:schemeClr w14:val="tx1"/>
            </w14:solidFill>
          </w14:textFill>
        </w:rPr>
        <w:t>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年</w:t>
      </w:r>
      <w:r>
        <w:rPr>
          <w:rFonts w:ascii="宋体" w:hAnsi="宋体" w:eastAsia="宋体" w:cs="宋体"/>
          <w:color w:val="000000" w:themeColor="text1"/>
          <w:u w:val="single"/>
          <w14:textFill>
            <w14:solidFill>
              <w14:schemeClr w14:val="tx1"/>
            </w14:solidFill>
          </w14:textFill>
        </w:rPr>
        <w:t>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月</w:t>
      </w:r>
      <w:r>
        <w:rPr>
          <w:rFonts w:ascii="宋体" w:hAnsi="宋体" w:eastAsia="宋体" w:cs="宋体"/>
          <w:color w:val="000000" w:themeColor="text1"/>
          <w:u w:val="single"/>
          <w14:textFill>
            <w14:solidFill>
              <w14:schemeClr w14:val="tx1"/>
            </w14:solidFill>
          </w14:textFill>
        </w:rPr>
        <w:t>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日</w:t>
      </w:r>
      <w:r>
        <w:rPr>
          <w:rFonts w:ascii="Times New Roman" w:hAnsi="Times New Roman" w:eastAsia="Times New Roman" w:cs="Times New Roman"/>
          <w:color w:val="000000" w:themeColor="text1"/>
          <w14:textFill>
            <w14:solidFill>
              <w14:schemeClr w14:val="tx1"/>
            </w14:solidFill>
          </w14:textFill>
        </w:rPr>
        <w:t xml:space="preserve">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年</w:t>
      </w:r>
      <w:r>
        <w:rPr>
          <w:rFonts w:ascii="宋体" w:hAnsi="宋体" w:eastAsia="宋体" w:cs="宋体"/>
          <w:color w:val="000000" w:themeColor="text1"/>
          <w:u w:val="single"/>
          <w14:textFill>
            <w14:solidFill>
              <w14:schemeClr w14:val="tx1"/>
            </w14:solidFill>
          </w14:textFill>
        </w:rPr>
        <w:t>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月</w:t>
      </w:r>
      <w:r>
        <w:rPr>
          <w:rFonts w:ascii="宋体" w:hAnsi="宋体" w:eastAsia="宋体" w:cs="宋体"/>
          <w:color w:val="000000" w:themeColor="text1"/>
          <w:u w:val="single"/>
          <w14:textFill>
            <w14:solidFill>
              <w14:schemeClr w14:val="tx1"/>
            </w14:solidFill>
          </w14:textFill>
        </w:rPr>
        <w:t>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日</w:t>
      </w:r>
    </w:p>
    <w:p w14:paraId="7F505959">
      <w:pPr>
        <w:ind w:firstLine="321"/>
        <w:jc w:val="center"/>
        <w:rPr>
          <w:rFonts w:ascii="Times New Roman" w:hAnsi="Times New Roman" w:eastAsia="Times New Roman" w:cs="Times New Roman"/>
          <w:b/>
          <w:color w:val="000000" w:themeColor="text1"/>
          <w:sz w:val="32"/>
          <w14:textFill>
            <w14:solidFill>
              <w14:schemeClr w14:val="tx1"/>
            </w14:solidFill>
          </w14:textFill>
        </w:rPr>
      </w:pPr>
    </w:p>
    <w:p w14:paraId="4880B19A">
      <w:pPr>
        <w:ind w:firstLine="420"/>
        <w:jc w:val="left"/>
        <w:rPr>
          <w:rFonts w:ascii="Times New Roman" w:hAnsi="Times New Roman" w:eastAsia="Times New Roman" w:cs="Times New Roman"/>
          <w:color w:val="000000" w:themeColor="text1"/>
          <w:sz w:val="22"/>
          <w14:textFill>
            <w14:solidFill>
              <w14:schemeClr w14:val="tx1"/>
            </w14:solidFill>
          </w14:textFill>
        </w:rPr>
      </w:pP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3B71B5C-F504-4857-80F6-2ED32489812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1A682E16-626B-40D1-BED6-C32169E9A1AC}"/>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embedRegular r:id="rId3" w:fontKey="{99999DA8-45E2-438A-B263-431C0C5BCABC}"/>
  </w:font>
  <w:font w:name="仿宋">
    <w:panose1 w:val="02010609060101010101"/>
    <w:charset w:val="86"/>
    <w:family w:val="auto"/>
    <w:pitch w:val="default"/>
    <w:sig w:usb0="800002BF" w:usb1="38CF7CFA" w:usb2="00000016" w:usb3="00000000" w:csb0="00040001" w:csb1="00000000"/>
  </w:font>
  <w:font w:name="方正小标宋简体">
    <w:altName w:val="微软雅黑"/>
    <w:panose1 w:val="00000000000000000000"/>
    <w:charset w:val="86"/>
    <w:family w:val="auto"/>
    <w:pitch w:val="default"/>
    <w:sig w:usb0="00000000" w:usb1="00000000" w:usb2="00000000" w:usb3="00000000" w:csb0="00040000" w:csb1="00000000"/>
    <w:embedRegular r:id="rId4" w:fontKey="{BBF9E336-2A0F-455F-B652-62F4DE26F813}"/>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3DA86">
    <w:pPr>
      <w:pStyle w:val="5"/>
    </w:pPr>
    <w:r>
      <mc:AlternateContent>
        <mc:Choice Requires="wps">
          <w:drawing>
            <wp:anchor distT="0" distB="0" distL="114300" distR="114300" simplePos="0" relativeHeight="251660288" behindDoc="0" locked="0" layoutInCell="1" allowOverlap="1">
              <wp:simplePos x="0" y="0"/>
              <wp:positionH relativeFrom="margin">
                <wp:posOffset>2585720</wp:posOffset>
              </wp:positionH>
              <wp:positionV relativeFrom="paragraph">
                <wp:posOffset>-87630</wp:posOffset>
              </wp:positionV>
              <wp:extent cx="274320" cy="193040"/>
              <wp:effectExtent l="0" t="0" r="11430" b="16510"/>
              <wp:wrapNone/>
              <wp:docPr id="1691905852" name="Text Box 1025"/>
              <wp:cNvGraphicFramePr/>
              <a:graphic xmlns:a="http://schemas.openxmlformats.org/drawingml/2006/main">
                <a:graphicData uri="http://schemas.microsoft.com/office/word/2010/wordprocessingShape">
                  <wps:wsp>
                    <wps:cNvSpPr txBox="1">
                      <a:spLocks noChangeArrowheads="1"/>
                    </wps:cNvSpPr>
                    <wps:spPr bwMode="auto">
                      <a:xfrm>
                        <a:off x="0" y="0"/>
                        <a:ext cx="274320" cy="193040"/>
                      </a:xfrm>
                      <a:prstGeom prst="rect">
                        <a:avLst/>
                      </a:prstGeom>
                      <a:noFill/>
                      <a:ln>
                        <a:noFill/>
                      </a:ln>
                    </wps:spPr>
                    <wps:txbx>
                      <w:txbxContent>
                        <w:p w14:paraId="31A30467">
                          <w:pPr>
                            <w:pStyle w:val="5"/>
                          </w:pPr>
                          <w:r>
                            <w:fldChar w:fldCharType="begin"/>
                          </w:r>
                          <w:r>
                            <w:instrText xml:space="preserve"> PAGE  \* MERGEFORMAT </w:instrText>
                          </w:r>
                          <w:r>
                            <w:fldChar w:fldCharType="separate"/>
                          </w:r>
                          <w:r>
                            <w:t>1</w:t>
                          </w:r>
                          <w:r>
                            <w:fldChar w:fldCharType="end"/>
                          </w:r>
                        </w:p>
                      </w:txbxContent>
                    </wps:txbx>
                    <wps:bodyPr rot="0" vert="horz" wrap="square" lIns="0" tIns="0" rIns="0" bIns="0" anchor="t" anchorCtr="0" upright="1">
                      <a:noAutofit/>
                    </wps:bodyPr>
                  </wps:wsp>
                </a:graphicData>
              </a:graphic>
            </wp:anchor>
          </w:drawing>
        </mc:Choice>
        <mc:Fallback>
          <w:pict>
            <v:shape id="Text Box 1025" o:spid="_x0000_s1026" o:spt="202" type="#_x0000_t202" style="position:absolute;left:0pt;margin-left:203.6pt;margin-top:-6.9pt;height:15.2pt;width:21.6pt;mso-position-horizontal-relative:margin;z-index:251660288;mso-width-relative:page;mso-height-relative:page;" filled="f" stroked="f" coordsize="21600,21600" o:gfxdata="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C4kSsrZAAAACgEAAA8AAAAAAAAAAQAgAAAAIgAA&#10;AGRycy9kb3ducmV2LnhtbFBLAQIUABQAAAAIAIdO4kC7X83ZBwIAAA8EAAAOAAAAAAAAAAEAIAAA&#10;ACgBAABkcnMvZTJvRG9jLnhtbFBLBQYAAAAABgAGAFkBAAChBQAAAAA=&#10;">
              <v:fill on="f" focussize="0,0"/>
              <v:stroke on="f"/>
              <v:imagedata o:title=""/>
              <o:lock v:ext="edit" aspectratio="f"/>
              <v:textbox inset="0mm,0mm,0mm,0mm">
                <w:txbxContent>
                  <w:p w14:paraId="31A30467">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2470EC97"/>
    <w:multiLevelType w:val="singleLevel"/>
    <w:tmpl w:val="2470EC97"/>
    <w:lvl w:ilvl="0" w:tentative="0">
      <w:start w:val="1"/>
      <w:numFmt w:val="bullet"/>
      <w:lvlText w:val="•"/>
      <w:lvlJc w:val="left"/>
    </w:lvl>
  </w:abstractNum>
  <w:abstractNum w:abstractNumId="16">
    <w:nsid w:val="25B654F3"/>
    <w:multiLevelType w:val="singleLevel"/>
    <w:tmpl w:val="25B654F3"/>
    <w:lvl w:ilvl="0" w:tentative="0">
      <w:start w:val="1"/>
      <w:numFmt w:val="bullet"/>
      <w:lvlText w:val="•"/>
      <w:lvlJc w:val="left"/>
    </w:lvl>
  </w:abstractNum>
  <w:abstractNum w:abstractNumId="17">
    <w:nsid w:val="2A8F537B"/>
    <w:multiLevelType w:val="singleLevel"/>
    <w:tmpl w:val="2A8F537B"/>
    <w:lvl w:ilvl="0" w:tentative="0">
      <w:start w:val="1"/>
      <w:numFmt w:val="bullet"/>
      <w:lvlText w:val="•"/>
      <w:lvlJc w:val="left"/>
    </w:lvl>
  </w:abstractNum>
  <w:abstractNum w:abstractNumId="18">
    <w:nsid w:val="39A0D9AC"/>
    <w:multiLevelType w:val="singleLevel"/>
    <w:tmpl w:val="39A0D9AC"/>
    <w:lvl w:ilvl="0" w:tentative="0">
      <w:start w:val="1"/>
      <w:numFmt w:val="bullet"/>
      <w:lvlText w:val="•"/>
      <w:lvlJc w:val="left"/>
    </w:lvl>
  </w:abstractNum>
  <w:abstractNum w:abstractNumId="19">
    <w:nsid w:val="46A08BB8"/>
    <w:multiLevelType w:val="singleLevel"/>
    <w:tmpl w:val="46A08BB8"/>
    <w:lvl w:ilvl="0" w:tentative="0">
      <w:start w:val="1"/>
      <w:numFmt w:val="bullet"/>
      <w:lvlText w:val="•"/>
      <w:lvlJc w:val="left"/>
    </w:lvl>
  </w:abstractNum>
  <w:abstractNum w:abstractNumId="20">
    <w:nsid w:val="4C1BAE26"/>
    <w:multiLevelType w:val="singleLevel"/>
    <w:tmpl w:val="4C1BAE26"/>
    <w:lvl w:ilvl="0" w:tentative="0">
      <w:start w:val="1"/>
      <w:numFmt w:val="bullet"/>
      <w:lvlText w:val="•"/>
      <w:lvlJc w:val="left"/>
    </w:lvl>
  </w:abstractNum>
  <w:abstractNum w:abstractNumId="21">
    <w:nsid w:val="4D4DC07F"/>
    <w:multiLevelType w:val="singleLevel"/>
    <w:tmpl w:val="4D4DC07F"/>
    <w:lvl w:ilvl="0" w:tentative="0">
      <w:start w:val="1"/>
      <w:numFmt w:val="bullet"/>
      <w:lvlText w:val="•"/>
      <w:lvlJc w:val="left"/>
    </w:lvl>
  </w:abstractNum>
  <w:abstractNum w:abstractNumId="22">
    <w:nsid w:val="59ADCABA"/>
    <w:multiLevelType w:val="singleLevel"/>
    <w:tmpl w:val="59ADCABA"/>
    <w:lvl w:ilvl="0" w:tentative="0">
      <w:start w:val="1"/>
      <w:numFmt w:val="bullet"/>
      <w:lvlText w:val="•"/>
      <w:lvlJc w:val="left"/>
    </w:lvl>
  </w:abstractNum>
  <w:abstractNum w:abstractNumId="23">
    <w:nsid w:val="5A241D34"/>
    <w:multiLevelType w:val="singleLevel"/>
    <w:tmpl w:val="5A241D34"/>
    <w:lvl w:ilvl="0" w:tentative="0">
      <w:start w:val="1"/>
      <w:numFmt w:val="bullet"/>
      <w:lvlText w:val="•"/>
      <w:lvlJc w:val="left"/>
    </w:lvl>
  </w:abstractNum>
  <w:abstractNum w:abstractNumId="24">
    <w:nsid w:val="60382F6E"/>
    <w:multiLevelType w:val="singleLevel"/>
    <w:tmpl w:val="60382F6E"/>
    <w:lvl w:ilvl="0" w:tentative="0">
      <w:start w:val="1"/>
      <w:numFmt w:val="bullet"/>
      <w:lvlText w:val="•"/>
      <w:lvlJc w:val="left"/>
    </w:lvl>
  </w:abstractNum>
  <w:abstractNum w:abstractNumId="25">
    <w:nsid w:val="629F7852"/>
    <w:multiLevelType w:val="singleLevel"/>
    <w:tmpl w:val="629F7852"/>
    <w:lvl w:ilvl="0" w:tentative="0">
      <w:start w:val="1"/>
      <w:numFmt w:val="decimal"/>
      <w:lvlText w:val="%1."/>
      <w:lvlJc w:val="left"/>
    </w:lvl>
  </w:abstractNum>
  <w:abstractNum w:abstractNumId="26">
    <w:nsid w:val="72183CF9"/>
    <w:multiLevelType w:val="singleLevel"/>
    <w:tmpl w:val="72183CF9"/>
    <w:lvl w:ilvl="0" w:tentative="0">
      <w:start w:val="1"/>
      <w:numFmt w:val="bullet"/>
      <w:lvlText w:val="•"/>
      <w:lvlJc w:val="left"/>
    </w:lvl>
  </w:abstractNum>
  <w:abstractNum w:abstractNumId="27">
    <w:nsid w:val="77ECEA79"/>
    <w:multiLevelType w:val="singleLevel"/>
    <w:tmpl w:val="77ECEA79"/>
    <w:lvl w:ilvl="0" w:tentative="0">
      <w:start w:val="1"/>
      <w:numFmt w:val="decimal"/>
      <w:lvlText w:val="%1."/>
      <w:lvlJc w:val="left"/>
    </w:lvl>
  </w:abstractNum>
  <w:abstractNum w:abstractNumId="28">
    <w:nsid w:val="7C246926"/>
    <w:multiLevelType w:val="singleLevel"/>
    <w:tmpl w:val="7C246926"/>
    <w:lvl w:ilvl="0" w:tentative="0">
      <w:start w:val="1"/>
      <w:numFmt w:val="decimal"/>
      <w:lvlText w:val="%1."/>
      <w:lvlJc w:val="left"/>
    </w:lvl>
  </w:abstractNum>
  <w:num w:numId="1">
    <w:abstractNumId w:val="11"/>
  </w:num>
  <w:num w:numId="2">
    <w:abstractNumId w:val="7"/>
  </w:num>
  <w:num w:numId="3">
    <w:abstractNumId w:val="22"/>
  </w:num>
  <w:num w:numId="4">
    <w:abstractNumId w:val="5"/>
  </w:num>
  <w:num w:numId="5">
    <w:abstractNumId w:val="4"/>
  </w:num>
  <w:num w:numId="6">
    <w:abstractNumId w:val="13"/>
  </w:num>
  <w:num w:numId="7">
    <w:abstractNumId w:val="16"/>
  </w:num>
  <w:num w:numId="8">
    <w:abstractNumId w:val="26"/>
  </w:num>
  <w:num w:numId="9">
    <w:abstractNumId w:val="12"/>
  </w:num>
  <w:num w:numId="10">
    <w:abstractNumId w:val="0"/>
  </w:num>
  <w:num w:numId="11">
    <w:abstractNumId w:val="17"/>
  </w:num>
  <w:num w:numId="12">
    <w:abstractNumId w:val="23"/>
  </w:num>
  <w:num w:numId="13">
    <w:abstractNumId w:val="6"/>
  </w:num>
  <w:num w:numId="14">
    <w:abstractNumId w:val="21"/>
  </w:num>
  <w:num w:numId="15">
    <w:abstractNumId w:val="10"/>
  </w:num>
  <w:num w:numId="16">
    <w:abstractNumId w:val="15"/>
  </w:num>
  <w:num w:numId="17">
    <w:abstractNumId w:val="9"/>
  </w:num>
  <w:num w:numId="18">
    <w:abstractNumId w:val="8"/>
  </w:num>
  <w:num w:numId="19">
    <w:abstractNumId w:val="2"/>
  </w:num>
  <w:num w:numId="20">
    <w:abstractNumId w:val="20"/>
  </w:num>
  <w:num w:numId="21">
    <w:abstractNumId w:val="24"/>
  </w:num>
  <w:num w:numId="22">
    <w:abstractNumId w:val="14"/>
  </w:num>
  <w:num w:numId="23">
    <w:abstractNumId w:val="19"/>
  </w:num>
  <w:num w:numId="24">
    <w:abstractNumId w:val="3"/>
  </w:num>
  <w:num w:numId="25">
    <w:abstractNumId w:val="28"/>
  </w:num>
  <w:num w:numId="26">
    <w:abstractNumId w:val="27"/>
  </w:num>
  <w:num w:numId="27">
    <w:abstractNumId w:val="25"/>
  </w:num>
  <w:num w:numId="28">
    <w:abstractNumId w:val="1"/>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yYzYyNWQ1YjZlYTc4Mjk0YmYzMGUyNDM3Yjk5ZGQifQ=="/>
  </w:docVars>
  <w:rsids>
    <w:rsidRoot w:val="00E20B17"/>
    <w:rsid w:val="000A75A0"/>
    <w:rsid w:val="00153D77"/>
    <w:rsid w:val="001F670C"/>
    <w:rsid w:val="002058E0"/>
    <w:rsid w:val="00256345"/>
    <w:rsid w:val="002614BE"/>
    <w:rsid w:val="002C5FC0"/>
    <w:rsid w:val="002C67AB"/>
    <w:rsid w:val="0030324B"/>
    <w:rsid w:val="00321BDE"/>
    <w:rsid w:val="00404D72"/>
    <w:rsid w:val="004639BA"/>
    <w:rsid w:val="0047008D"/>
    <w:rsid w:val="004E1F27"/>
    <w:rsid w:val="00520EA2"/>
    <w:rsid w:val="00570D57"/>
    <w:rsid w:val="0058553B"/>
    <w:rsid w:val="005B360D"/>
    <w:rsid w:val="005D0ED2"/>
    <w:rsid w:val="0061676A"/>
    <w:rsid w:val="00647D19"/>
    <w:rsid w:val="006508A1"/>
    <w:rsid w:val="00654D39"/>
    <w:rsid w:val="006A4589"/>
    <w:rsid w:val="006B6684"/>
    <w:rsid w:val="00743131"/>
    <w:rsid w:val="00756030"/>
    <w:rsid w:val="007A261F"/>
    <w:rsid w:val="007A293F"/>
    <w:rsid w:val="00801D04"/>
    <w:rsid w:val="008357C3"/>
    <w:rsid w:val="008748B8"/>
    <w:rsid w:val="00875494"/>
    <w:rsid w:val="00881908"/>
    <w:rsid w:val="008F229D"/>
    <w:rsid w:val="008F4E85"/>
    <w:rsid w:val="00951D33"/>
    <w:rsid w:val="0096308C"/>
    <w:rsid w:val="009A1E1C"/>
    <w:rsid w:val="009C1500"/>
    <w:rsid w:val="009C757C"/>
    <w:rsid w:val="00A71918"/>
    <w:rsid w:val="00AF078D"/>
    <w:rsid w:val="00D42D04"/>
    <w:rsid w:val="00D50A96"/>
    <w:rsid w:val="00D73F93"/>
    <w:rsid w:val="00DD6C62"/>
    <w:rsid w:val="00DF5F04"/>
    <w:rsid w:val="00E20B17"/>
    <w:rsid w:val="00E24619"/>
    <w:rsid w:val="00E30092"/>
    <w:rsid w:val="00E51256"/>
    <w:rsid w:val="00EB684E"/>
    <w:rsid w:val="00EF1011"/>
    <w:rsid w:val="00F3548B"/>
    <w:rsid w:val="00F66F93"/>
    <w:rsid w:val="00F936AC"/>
    <w:rsid w:val="00FA526D"/>
    <w:rsid w:val="04640B52"/>
    <w:rsid w:val="05A5591B"/>
    <w:rsid w:val="0AC769A1"/>
    <w:rsid w:val="0C4A0F50"/>
    <w:rsid w:val="1484072D"/>
    <w:rsid w:val="190A277E"/>
    <w:rsid w:val="1F35597B"/>
    <w:rsid w:val="2CBB5CE4"/>
    <w:rsid w:val="3436271A"/>
    <w:rsid w:val="3A654B5F"/>
    <w:rsid w:val="3B0A71ED"/>
    <w:rsid w:val="44C30432"/>
    <w:rsid w:val="4D9F65D3"/>
    <w:rsid w:val="5D0128BF"/>
    <w:rsid w:val="624B5761"/>
    <w:rsid w:val="63D70E99"/>
    <w:rsid w:val="747C5A5B"/>
    <w:rsid w:val="74992CD1"/>
    <w:rsid w:val="7C185920"/>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customStyle="1" w:styleId="2">
    <w:name w:val="BodyText1I"/>
    <w:basedOn w:val="3"/>
    <w:qFormat/>
    <w:uiPriority w:val="0"/>
    <w:pPr>
      <w:ind w:firstLine="420" w:firstLineChars="100"/>
    </w:pPr>
  </w:style>
  <w:style w:type="paragraph" w:customStyle="1" w:styleId="3">
    <w:name w:val="BodyText"/>
    <w:basedOn w:val="1"/>
    <w:qFormat/>
    <w:uiPriority w:val="99"/>
    <w:pPr>
      <w:spacing w:after="120"/>
    </w:pPr>
  </w:style>
  <w:style w:type="paragraph" w:styleId="4">
    <w:name w:val="caption"/>
    <w:basedOn w:val="1"/>
    <w:next w:val="1"/>
    <w:qFormat/>
    <w:uiPriority w:val="0"/>
    <w:rPr>
      <w:rFonts w:ascii="Cambria" w:hAnsi="Cambria" w:eastAsia="黑体"/>
      <w:sz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99"/>
    <w:pPr>
      <w:widowControl/>
      <w:spacing w:before="100" w:beforeAutospacing="1" w:after="100" w:afterAutospacing="1"/>
      <w:jc w:val="left"/>
    </w:pPr>
    <w:rPr>
      <w:rFonts w:ascii="宋体" w:hAnsi="宋体"/>
      <w:sz w:val="24"/>
      <w:szCs w:val="24"/>
    </w:rPr>
  </w:style>
  <w:style w:type="character" w:styleId="10">
    <w:name w:val="Strong"/>
    <w:qFormat/>
    <w:uiPriority w:val="22"/>
    <w:rPr>
      <w:b/>
      <w:bCs/>
    </w:rPr>
  </w:style>
  <w:style w:type="paragraph" w:customStyle="1" w:styleId="11">
    <w:name w:val="无间隔1"/>
    <w:next w:val="4"/>
    <w:qFormat/>
    <w:uiPriority w:val="0"/>
    <w:pPr>
      <w:widowControl w:val="0"/>
      <w:jc w:val="both"/>
    </w:pPr>
    <w:rPr>
      <w:rFonts w:ascii="Calibri" w:hAnsi="Calibri" w:eastAsia="宋体" w:cs="Times New Roman"/>
      <w:kern w:val="2"/>
      <w:sz w:val="21"/>
      <w:szCs w:val="22"/>
      <w:lang w:val="en-US" w:eastAsia="zh-CN" w:bidi="ar-SA"/>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56</Pages>
  <Words>7908</Words>
  <Characters>8647</Characters>
  <Lines>1242</Lines>
  <Paragraphs>938</Paragraphs>
  <TotalTime>3</TotalTime>
  <ScaleCrop>false</ScaleCrop>
  <LinksUpToDate>false</LinksUpToDate>
  <CharactersWithSpaces>8835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2025-09-19T04:58:00Z</dcterms:created>
  <dc:creator>Administrator</dc:creator>
  <cp:lastModifiedBy>user</cp:lastModifiedBy>
  <dcterms:modified xsi:type="dcterms:W3CDTF">2025-09-24T07:17:40Z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C17062F0C12B4DEABC74939960AD8055</vt:lpwstr>
  </property>
  <property fmtid="{D5CDD505-2E9C-101B-9397-08002B2CF9AE}" pid="4" name="KSOTemplateDocerSaveRecord">
    <vt:lpwstr>eyJoZGlkIjoiODU3MGE5NTlkMzc2MzljOWNjY2VmYjRkYjIwYjNiYmUiLCJ1c2VySWQiOiIxMDcyNTQ4NzE4In0=</vt:lpwstr>
  </property>
</Properties>
</file>