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2"/>
        <w:rPr>
          <w:color w:val="auto"/>
          <w:highlight w:val="none"/>
        </w:rPr>
      </w:pPr>
      <w:bookmarkStart w:id="0" w:name="_Toc280348991"/>
    </w:p>
    <w:p>
      <w:pPr>
        <w:widowControl/>
        <w:spacing w:before="100" w:beforeAutospacing="1" w:after="100" w:afterAutospacing="1" w:line="445" w:lineRule="atLeast"/>
        <w:jc w:val="center"/>
        <w:rPr>
          <w:rFonts w:ascii="宋体" w:hAnsi="宋体" w:cs="宋体"/>
          <w:b/>
          <w:bCs/>
          <w:color w:val="auto"/>
          <w:kern w:val="44"/>
          <w:sz w:val="52"/>
          <w:szCs w:val="36"/>
          <w:highlight w:val="none"/>
        </w:rPr>
      </w:pPr>
      <w:r>
        <w:rPr>
          <w:rFonts w:hint="eastAsia" w:ascii="宋体" w:hAnsi="宋体" w:cs="宋体"/>
          <w:b/>
          <w:bCs/>
          <w:color w:val="auto"/>
          <w:kern w:val="44"/>
          <w:sz w:val="52"/>
          <w:szCs w:val="36"/>
          <w:highlight w:val="none"/>
        </w:rPr>
        <w:t>驻马店市洪汝河薄弱环节治理工程</w:t>
      </w:r>
    </w:p>
    <w:p>
      <w:pPr>
        <w:widowControl/>
        <w:spacing w:before="100" w:beforeAutospacing="1" w:after="100" w:afterAutospacing="1" w:line="445" w:lineRule="atLeast"/>
        <w:jc w:val="center"/>
        <w:rPr>
          <w:rFonts w:hint="eastAsia" w:ascii="宋体" w:hAnsi="宋体" w:cs="宋体"/>
          <w:b/>
          <w:bCs/>
          <w:color w:val="auto"/>
          <w:kern w:val="44"/>
          <w:sz w:val="52"/>
          <w:szCs w:val="36"/>
          <w:highlight w:val="none"/>
        </w:rPr>
      </w:pPr>
      <w:r>
        <w:rPr>
          <w:rFonts w:hint="eastAsia" w:ascii="宋体" w:hAnsi="宋体" w:cs="宋体"/>
          <w:b/>
          <w:bCs/>
          <w:color w:val="auto"/>
          <w:kern w:val="44"/>
          <w:sz w:val="52"/>
          <w:szCs w:val="36"/>
          <w:highlight w:val="none"/>
        </w:rPr>
        <w:t>（小洪河杨庄至李屯段）</w:t>
      </w:r>
    </w:p>
    <w:p>
      <w:pPr>
        <w:pStyle w:val="22"/>
        <w:rPr>
          <w:rStyle w:val="30"/>
          <w:rFonts w:ascii="宋体" w:hAnsi="宋体" w:cs="宋体"/>
          <w:color w:val="auto"/>
          <w:sz w:val="52"/>
          <w:szCs w:val="52"/>
          <w:highlight w:val="none"/>
        </w:rPr>
      </w:pPr>
    </w:p>
    <w:p>
      <w:pPr>
        <w:pStyle w:val="22"/>
        <w:rPr>
          <w:rStyle w:val="30"/>
          <w:rFonts w:ascii="宋体" w:hAnsi="宋体" w:cs="宋体"/>
          <w:color w:val="auto"/>
          <w:sz w:val="52"/>
          <w:szCs w:val="52"/>
          <w:highlight w:val="none"/>
        </w:rPr>
      </w:pPr>
    </w:p>
    <w:p>
      <w:pPr>
        <w:pStyle w:val="22"/>
        <w:rPr>
          <w:rStyle w:val="30"/>
          <w:rFonts w:ascii="宋体" w:hAnsi="宋体" w:cs="宋体"/>
          <w:color w:val="auto"/>
          <w:sz w:val="52"/>
          <w:szCs w:val="52"/>
          <w:highlight w:val="none"/>
          <w:u w:val="none"/>
        </w:rPr>
      </w:pPr>
      <w:bookmarkStart w:id="1" w:name="_Toc31411"/>
      <w:r>
        <w:rPr>
          <w:rStyle w:val="30"/>
          <w:rFonts w:hint="eastAsia" w:ascii="宋体" w:hAnsi="宋体" w:cs="宋体"/>
          <w:color w:val="auto"/>
          <w:sz w:val="52"/>
          <w:szCs w:val="52"/>
          <w:highlight w:val="none"/>
          <w:u w:val="none"/>
        </w:rPr>
        <w:t>监理1、2标段</w:t>
      </w:r>
      <w:bookmarkEnd w:id="1"/>
    </w:p>
    <w:p>
      <w:pPr>
        <w:pStyle w:val="22"/>
        <w:rPr>
          <w:rStyle w:val="30"/>
          <w:rFonts w:ascii="宋体" w:hAnsi="宋体" w:cs="宋体"/>
          <w:color w:val="auto"/>
          <w:sz w:val="52"/>
          <w:szCs w:val="52"/>
          <w:highlight w:val="none"/>
        </w:rPr>
      </w:pPr>
    </w:p>
    <w:p>
      <w:pPr>
        <w:pStyle w:val="22"/>
        <w:rPr>
          <w:rStyle w:val="30"/>
          <w:rFonts w:ascii="宋体" w:hAnsi="宋体" w:cs="宋体"/>
          <w:color w:val="auto"/>
          <w:sz w:val="72"/>
          <w:szCs w:val="72"/>
          <w:highlight w:val="none"/>
          <w:u w:val="none"/>
        </w:rPr>
      </w:pPr>
      <w:bookmarkStart w:id="2" w:name="_Toc5919"/>
      <w:r>
        <w:rPr>
          <w:rStyle w:val="30"/>
          <w:rFonts w:hint="eastAsia" w:ascii="宋体" w:hAnsi="宋体" w:cs="宋体"/>
          <w:color w:val="auto"/>
          <w:sz w:val="72"/>
          <w:szCs w:val="72"/>
          <w:highlight w:val="none"/>
          <w:u w:val="none"/>
        </w:rPr>
        <w:t>招 标 文 件</w:t>
      </w:r>
      <w:bookmarkEnd w:id="2"/>
    </w:p>
    <w:p>
      <w:pPr>
        <w:pStyle w:val="22"/>
        <w:rPr>
          <w:rStyle w:val="30"/>
          <w:rFonts w:ascii="宋体" w:hAnsi="宋体" w:cs="宋体"/>
          <w:color w:val="auto"/>
          <w:sz w:val="52"/>
          <w:szCs w:val="52"/>
          <w:highlight w:val="none"/>
        </w:rPr>
      </w:pPr>
    </w:p>
    <w:p>
      <w:pPr>
        <w:pStyle w:val="22"/>
        <w:rPr>
          <w:rStyle w:val="30"/>
          <w:rFonts w:ascii="宋体" w:hAnsi="宋体" w:cs="宋体"/>
          <w:color w:val="auto"/>
          <w:sz w:val="52"/>
          <w:szCs w:val="52"/>
          <w:highlight w:val="none"/>
        </w:rPr>
      </w:pPr>
    </w:p>
    <w:p>
      <w:pPr>
        <w:pStyle w:val="22"/>
        <w:rPr>
          <w:rStyle w:val="30"/>
          <w:rFonts w:ascii="宋体" w:hAnsi="宋体" w:cs="宋体"/>
          <w:color w:val="auto"/>
          <w:sz w:val="52"/>
          <w:szCs w:val="52"/>
          <w:highlight w:val="none"/>
        </w:rPr>
      </w:pPr>
    </w:p>
    <w:p>
      <w:pPr>
        <w:rPr>
          <w:color w:val="auto"/>
          <w:highlight w:val="none"/>
        </w:rPr>
      </w:pPr>
    </w:p>
    <w:p>
      <w:pPr>
        <w:pStyle w:val="22"/>
        <w:jc w:val="left"/>
        <w:rPr>
          <w:rStyle w:val="30"/>
          <w:rFonts w:ascii="宋体" w:hAnsi="宋体" w:cs="宋体"/>
          <w:color w:val="auto"/>
          <w:sz w:val="36"/>
          <w:szCs w:val="36"/>
          <w:highlight w:val="none"/>
          <w:u w:val="none"/>
        </w:rPr>
      </w:pPr>
      <w:bookmarkStart w:id="3" w:name="_Toc32515"/>
      <w:r>
        <w:rPr>
          <w:rStyle w:val="30"/>
          <w:rFonts w:hint="eastAsia" w:ascii="宋体" w:hAnsi="宋体" w:cs="宋体"/>
          <w:color w:val="auto"/>
          <w:sz w:val="36"/>
          <w:szCs w:val="36"/>
          <w:highlight w:val="none"/>
          <w:u w:val="none"/>
        </w:rPr>
        <w:t>招</w:t>
      </w:r>
      <w:r>
        <w:rPr>
          <w:rStyle w:val="30"/>
          <w:rFonts w:hint="eastAsia" w:ascii="宋体" w:hAnsi="宋体" w:cs="宋体"/>
          <w:color w:val="auto"/>
          <w:sz w:val="36"/>
          <w:szCs w:val="36"/>
          <w:highlight w:val="none"/>
          <w:u w:val="none"/>
          <w:lang w:val="en-US" w:eastAsia="zh-CN"/>
        </w:rPr>
        <w:t xml:space="preserve">   </w:t>
      </w:r>
      <w:r>
        <w:rPr>
          <w:rStyle w:val="30"/>
          <w:rFonts w:hint="eastAsia" w:ascii="宋体" w:hAnsi="宋体" w:cs="宋体"/>
          <w:color w:val="auto"/>
          <w:sz w:val="36"/>
          <w:szCs w:val="36"/>
          <w:highlight w:val="none"/>
          <w:u w:val="none"/>
        </w:rPr>
        <w:t>标</w:t>
      </w:r>
      <w:r>
        <w:rPr>
          <w:rStyle w:val="30"/>
          <w:rFonts w:hint="eastAsia" w:ascii="宋体" w:hAnsi="宋体" w:cs="宋体"/>
          <w:color w:val="auto"/>
          <w:sz w:val="36"/>
          <w:szCs w:val="36"/>
          <w:highlight w:val="none"/>
          <w:u w:val="none"/>
          <w:lang w:val="en-US" w:eastAsia="zh-CN"/>
        </w:rPr>
        <w:t xml:space="preserve">   </w:t>
      </w:r>
      <w:r>
        <w:rPr>
          <w:rStyle w:val="30"/>
          <w:rFonts w:hint="eastAsia" w:ascii="宋体" w:hAnsi="宋体" w:cs="宋体"/>
          <w:color w:val="auto"/>
          <w:sz w:val="36"/>
          <w:szCs w:val="36"/>
          <w:highlight w:val="none"/>
          <w:u w:val="none"/>
        </w:rPr>
        <w:t>人：驻马店市水利局</w:t>
      </w:r>
      <w:bookmarkEnd w:id="3"/>
    </w:p>
    <w:p>
      <w:pPr>
        <w:pStyle w:val="22"/>
        <w:jc w:val="left"/>
        <w:rPr>
          <w:rStyle w:val="30"/>
          <w:rFonts w:ascii="宋体" w:hAnsi="宋体" w:cs="宋体"/>
          <w:color w:val="auto"/>
          <w:sz w:val="36"/>
          <w:szCs w:val="36"/>
          <w:highlight w:val="none"/>
          <w:u w:val="none"/>
        </w:rPr>
      </w:pPr>
      <w:r>
        <w:rPr>
          <w:rStyle w:val="30"/>
          <w:rFonts w:hint="eastAsia" w:ascii="宋体" w:hAnsi="宋体" w:cs="宋体"/>
          <w:color w:val="auto"/>
          <w:sz w:val="36"/>
          <w:szCs w:val="36"/>
          <w:highlight w:val="none"/>
          <w:u w:val="none"/>
        </w:rPr>
        <w:t>招标代理机构：河南中博项目管理有限公司</w:t>
      </w:r>
    </w:p>
    <w:p>
      <w:pPr>
        <w:pStyle w:val="22"/>
        <w:jc w:val="left"/>
        <w:rPr>
          <w:rStyle w:val="30"/>
          <w:rFonts w:hint="eastAsia" w:ascii="宋体" w:hAnsi="宋体" w:cs="宋体"/>
          <w:color w:val="auto"/>
          <w:sz w:val="36"/>
          <w:szCs w:val="36"/>
          <w:highlight w:val="none"/>
          <w:u w:val="none"/>
        </w:rPr>
        <w:sectPr>
          <w:headerReference r:id="rId5" w:type="first"/>
          <w:pgSz w:w="11906" w:h="16838"/>
          <w:pgMar w:top="1134" w:right="1134" w:bottom="1134" w:left="1418" w:header="851" w:footer="992" w:gutter="0"/>
          <w:pgNumType w:start="1"/>
          <w:cols w:space="720" w:num="1"/>
          <w:titlePg/>
          <w:docGrid w:type="lines" w:linePitch="312" w:charSpace="0"/>
        </w:sectPr>
      </w:pPr>
      <w:r>
        <w:rPr>
          <w:rStyle w:val="30"/>
          <w:rFonts w:hint="eastAsia" w:ascii="宋体" w:hAnsi="宋体" w:cs="宋体"/>
          <w:color w:val="auto"/>
          <w:sz w:val="36"/>
          <w:szCs w:val="36"/>
          <w:highlight w:val="none"/>
          <w:u w:val="none"/>
        </w:rPr>
        <w:t>日</w:t>
      </w:r>
      <w:r>
        <w:rPr>
          <w:rStyle w:val="30"/>
          <w:rFonts w:hint="eastAsia" w:ascii="宋体" w:hAnsi="宋体" w:cs="宋体"/>
          <w:color w:val="auto"/>
          <w:sz w:val="36"/>
          <w:szCs w:val="36"/>
          <w:highlight w:val="none"/>
          <w:u w:val="none"/>
          <w:lang w:val="en-US" w:eastAsia="zh-CN"/>
        </w:rPr>
        <w:t xml:space="preserve">        </w:t>
      </w:r>
      <w:r>
        <w:rPr>
          <w:rStyle w:val="30"/>
          <w:rFonts w:hint="eastAsia" w:ascii="宋体" w:hAnsi="宋体" w:cs="宋体"/>
          <w:color w:val="auto"/>
          <w:sz w:val="36"/>
          <w:szCs w:val="36"/>
          <w:highlight w:val="none"/>
          <w:u w:val="none"/>
        </w:rPr>
        <w:t>期：2024年4月</w:t>
      </w:r>
    </w:p>
    <w:p>
      <w:pPr>
        <w:pStyle w:val="22"/>
        <w:rPr>
          <w:color w:val="auto"/>
          <w:highlight w:val="none"/>
        </w:rPr>
      </w:pPr>
    </w:p>
    <w:p>
      <w:pPr>
        <w:pStyle w:val="22"/>
        <w:rPr>
          <w:color w:val="auto"/>
          <w:highlight w:val="none"/>
        </w:rPr>
      </w:pPr>
      <w:r>
        <w:rPr>
          <w:color w:val="auto"/>
          <w:highlight w:val="none"/>
        </w:rPr>
        <w:fldChar w:fldCharType="begin"/>
      </w:r>
      <w:r>
        <w:rPr>
          <w:rFonts w:hint="eastAsia"/>
          <w:color w:val="auto"/>
          <w:highlight w:val="none"/>
        </w:rPr>
        <w:instrText xml:space="preserve">TOC \o "1-3" \h \z \u</w:instrText>
      </w:r>
      <w:r>
        <w:rPr>
          <w:color w:val="auto"/>
          <w:highlight w:val="none"/>
        </w:rPr>
        <w:fldChar w:fldCharType="separate"/>
      </w:r>
    </w:p>
    <w:p>
      <w:pPr>
        <w:pStyle w:val="2"/>
        <w:rPr>
          <w:color w:val="auto"/>
          <w:highlight w:val="none"/>
        </w:rPr>
      </w:pPr>
      <w:r>
        <w:rPr>
          <w:color w:val="auto"/>
          <w:highlight w:val="none"/>
        </w:rPr>
        <w:fldChar w:fldCharType="end"/>
      </w:r>
    </w:p>
    <w:sdt>
      <w:sdtPr>
        <w:rPr>
          <w:color w:val="auto"/>
          <w:highlight w:val="none"/>
        </w:rPr>
        <w:id w:val="147466712"/>
        <w:docPartObj>
          <w:docPartGallery w:val="Table of Contents"/>
          <w:docPartUnique/>
        </w:docPartObj>
      </w:sdtPr>
      <w:sdtEndPr>
        <w:rPr>
          <w:color w:val="auto"/>
          <w:highlight w:val="none"/>
        </w:rPr>
      </w:sdtEndPr>
      <w:sdtContent>
        <w:p>
          <w:pPr>
            <w:jc w:val="center"/>
            <w:rPr>
              <w:color w:val="auto"/>
              <w:highlight w:val="none"/>
            </w:rPr>
          </w:pPr>
          <w:r>
            <w:rPr>
              <w:color w:val="auto"/>
              <w:sz w:val="44"/>
              <w:szCs w:val="40"/>
              <w:highlight w:val="none"/>
            </w:rPr>
            <w:t>目录</w:t>
          </w:r>
        </w:p>
        <w:p>
          <w:pPr>
            <w:pStyle w:val="40"/>
            <w:tabs>
              <w:tab w:val="right" w:leader="dot" w:pos="8946"/>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pPr>
            <w:pStyle w:val="40"/>
            <w:tabs>
              <w:tab w:val="right" w:leader="dot" w:pos="8946"/>
            </w:tabs>
            <w:spacing w:line="360" w:lineRule="auto"/>
            <w:rPr>
              <w:rFonts w:asciiTheme="majorEastAsia" w:hAnsiTheme="majorEastAsia" w:eastAsiaTheme="majorEastAsia" w:cstheme="majorEastAsia"/>
              <w:color w:val="auto"/>
              <w:sz w:val="24"/>
              <w:szCs w:val="24"/>
              <w:highlight w:val="none"/>
            </w:rPr>
          </w:pPr>
          <w:r>
            <w:rPr>
              <w:color w:val="auto"/>
              <w:highlight w:val="none"/>
            </w:rPr>
            <w:fldChar w:fldCharType="begin"/>
          </w:r>
          <w:r>
            <w:rPr>
              <w:color w:val="auto"/>
              <w:highlight w:val="none"/>
            </w:rPr>
            <w:instrText xml:space="preserve"> HYPERLINK \l "_Toc21106"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第一章 招标公告</w:t>
          </w:r>
          <w:r>
            <w:rPr>
              <w:rFonts w:hint="eastAsia" w:asciiTheme="majorEastAsia" w:hAnsiTheme="majorEastAsia" w:eastAsiaTheme="majorEastAsia" w:cstheme="majorEastAsia"/>
              <w:color w:val="auto"/>
              <w:sz w:val="24"/>
              <w:szCs w:val="24"/>
              <w:highlight w:val="none"/>
            </w:rPr>
            <w:tab/>
          </w:r>
          <w:r>
            <w:rPr>
              <w:rFonts w:hint="eastAsia" w:asciiTheme="majorEastAsia" w:hAnsiTheme="majorEastAsia" w:eastAsiaTheme="majorEastAsia" w:cstheme="majorEastAsia"/>
              <w:color w:val="auto"/>
              <w:sz w:val="24"/>
              <w:szCs w:val="24"/>
              <w:highlight w:val="none"/>
            </w:rPr>
            <w:fldChar w:fldCharType="begin"/>
          </w:r>
          <w:r>
            <w:rPr>
              <w:rFonts w:hint="eastAsia" w:asciiTheme="majorEastAsia" w:hAnsiTheme="majorEastAsia" w:eastAsiaTheme="majorEastAsia" w:cstheme="majorEastAsia"/>
              <w:color w:val="auto"/>
              <w:sz w:val="24"/>
              <w:szCs w:val="24"/>
              <w:highlight w:val="none"/>
            </w:rPr>
            <w:instrText xml:space="preserve"> PAGEREF _Toc21106 \h </w:instrText>
          </w:r>
          <w:r>
            <w:rPr>
              <w:rFonts w:hint="eastAsia" w:asciiTheme="majorEastAsia" w:hAnsiTheme="majorEastAsia" w:eastAsiaTheme="majorEastAsia" w:cstheme="majorEastAsia"/>
              <w:color w:val="auto"/>
              <w:sz w:val="24"/>
              <w:szCs w:val="24"/>
              <w:highlight w:val="none"/>
            </w:rPr>
            <w:fldChar w:fldCharType="separate"/>
          </w: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rPr>
            <w:fldChar w:fldCharType="end"/>
          </w:r>
          <w:r>
            <w:rPr>
              <w:rFonts w:hint="eastAsia" w:asciiTheme="majorEastAsia" w:hAnsiTheme="majorEastAsia" w:eastAsiaTheme="majorEastAsia" w:cstheme="majorEastAsia"/>
              <w:color w:val="auto"/>
              <w:sz w:val="24"/>
              <w:szCs w:val="24"/>
              <w:highlight w:val="none"/>
            </w:rPr>
            <w:fldChar w:fldCharType="end"/>
          </w:r>
        </w:p>
        <w:p>
          <w:pPr>
            <w:pStyle w:val="40"/>
            <w:tabs>
              <w:tab w:val="right" w:leader="dot" w:pos="8946"/>
            </w:tabs>
            <w:spacing w:line="360" w:lineRule="auto"/>
            <w:rPr>
              <w:rFonts w:asciiTheme="majorEastAsia" w:hAnsiTheme="majorEastAsia" w:eastAsiaTheme="majorEastAsia" w:cstheme="majorEastAsia"/>
              <w:color w:val="auto"/>
              <w:sz w:val="24"/>
              <w:szCs w:val="24"/>
              <w:highlight w:val="none"/>
            </w:rPr>
          </w:pPr>
          <w:r>
            <w:rPr>
              <w:color w:val="auto"/>
              <w:highlight w:val="none"/>
            </w:rPr>
            <w:fldChar w:fldCharType="begin"/>
          </w:r>
          <w:r>
            <w:rPr>
              <w:color w:val="auto"/>
              <w:highlight w:val="none"/>
            </w:rPr>
            <w:instrText xml:space="preserve"> HYPERLINK \l "_Toc20987"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第二章 投标人须知</w:t>
          </w:r>
          <w:r>
            <w:rPr>
              <w:rFonts w:hint="eastAsia" w:asciiTheme="majorEastAsia" w:hAnsiTheme="majorEastAsia" w:eastAsiaTheme="majorEastAsia" w:cstheme="majorEastAsia"/>
              <w:color w:val="auto"/>
              <w:sz w:val="24"/>
              <w:szCs w:val="24"/>
              <w:highlight w:val="none"/>
            </w:rPr>
            <w:tab/>
          </w:r>
          <w:r>
            <w:rPr>
              <w:rFonts w:hint="eastAsia" w:asciiTheme="majorEastAsia" w:hAnsiTheme="majorEastAsia" w:eastAsiaTheme="majorEastAsia" w:cstheme="majorEastAsia"/>
              <w:color w:val="auto"/>
              <w:sz w:val="24"/>
              <w:szCs w:val="24"/>
              <w:highlight w:val="none"/>
            </w:rPr>
            <w:fldChar w:fldCharType="begin"/>
          </w:r>
          <w:r>
            <w:rPr>
              <w:rFonts w:hint="eastAsia" w:asciiTheme="majorEastAsia" w:hAnsiTheme="majorEastAsia" w:eastAsiaTheme="majorEastAsia" w:cstheme="majorEastAsia"/>
              <w:color w:val="auto"/>
              <w:sz w:val="24"/>
              <w:szCs w:val="24"/>
              <w:highlight w:val="none"/>
            </w:rPr>
            <w:instrText xml:space="preserve"> PAGEREF _Toc20987 \h </w:instrText>
          </w:r>
          <w:r>
            <w:rPr>
              <w:rFonts w:hint="eastAsia" w:asciiTheme="majorEastAsia" w:hAnsiTheme="majorEastAsia" w:eastAsiaTheme="majorEastAsia" w:cstheme="majorEastAsia"/>
              <w:color w:val="auto"/>
              <w:sz w:val="24"/>
              <w:szCs w:val="24"/>
              <w:highlight w:val="none"/>
            </w:rPr>
            <w:fldChar w:fldCharType="separate"/>
          </w:r>
          <w:r>
            <w:rPr>
              <w:rFonts w:hint="eastAsia" w:asciiTheme="majorEastAsia" w:hAnsiTheme="majorEastAsia" w:eastAsiaTheme="majorEastAsia" w:cstheme="majorEastAsia"/>
              <w:color w:val="auto"/>
              <w:sz w:val="24"/>
              <w:szCs w:val="24"/>
              <w:highlight w:val="none"/>
            </w:rPr>
            <w:t>5</w:t>
          </w:r>
          <w:r>
            <w:rPr>
              <w:rFonts w:hint="eastAsia" w:asciiTheme="majorEastAsia" w:hAnsiTheme="majorEastAsia" w:eastAsiaTheme="majorEastAsia" w:cstheme="majorEastAsia"/>
              <w:color w:val="auto"/>
              <w:sz w:val="24"/>
              <w:szCs w:val="24"/>
              <w:highlight w:val="none"/>
            </w:rPr>
            <w:fldChar w:fldCharType="end"/>
          </w:r>
          <w:r>
            <w:rPr>
              <w:rFonts w:hint="eastAsia" w:asciiTheme="majorEastAsia" w:hAnsiTheme="majorEastAsia" w:eastAsiaTheme="majorEastAsia" w:cstheme="majorEastAsia"/>
              <w:color w:val="auto"/>
              <w:sz w:val="24"/>
              <w:szCs w:val="24"/>
              <w:highlight w:val="none"/>
            </w:rPr>
            <w:fldChar w:fldCharType="end"/>
          </w:r>
        </w:p>
        <w:p>
          <w:pPr>
            <w:pStyle w:val="40"/>
            <w:tabs>
              <w:tab w:val="right" w:leader="dot" w:pos="8946"/>
            </w:tabs>
            <w:spacing w:line="360" w:lineRule="auto"/>
            <w:rPr>
              <w:rFonts w:asciiTheme="majorEastAsia" w:hAnsiTheme="majorEastAsia" w:eastAsiaTheme="majorEastAsia" w:cstheme="majorEastAsia"/>
              <w:color w:val="auto"/>
              <w:sz w:val="24"/>
              <w:szCs w:val="24"/>
              <w:highlight w:val="none"/>
            </w:rPr>
          </w:pPr>
          <w:r>
            <w:rPr>
              <w:color w:val="auto"/>
              <w:highlight w:val="none"/>
            </w:rPr>
            <w:fldChar w:fldCharType="begin"/>
          </w:r>
          <w:r>
            <w:rPr>
              <w:color w:val="auto"/>
              <w:highlight w:val="none"/>
            </w:rPr>
            <w:instrText xml:space="preserve"> HYPERLINK \l "_Toc16215"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第三章 建设工程监理合同(格式)</w:t>
          </w:r>
          <w:r>
            <w:rPr>
              <w:rFonts w:hint="eastAsia" w:asciiTheme="majorEastAsia" w:hAnsiTheme="majorEastAsia" w:eastAsiaTheme="majorEastAsia" w:cstheme="majorEastAsia"/>
              <w:color w:val="auto"/>
              <w:sz w:val="24"/>
              <w:szCs w:val="24"/>
              <w:highlight w:val="none"/>
            </w:rPr>
            <w:tab/>
          </w:r>
          <w:r>
            <w:rPr>
              <w:rFonts w:hint="eastAsia" w:asciiTheme="majorEastAsia" w:hAnsiTheme="majorEastAsia" w:eastAsiaTheme="majorEastAsia" w:cstheme="majorEastAsia"/>
              <w:color w:val="auto"/>
              <w:sz w:val="24"/>
              <w:szCs w:val="24"/>
              <w:highlight w:val="none"/>
            </w:rPr>
            <w:fldChar w:fldCharType="begin"/>
          </w:r>
          <w:r>
            <w:rPr>
              <w:rFonts w:hint="eastAsia" w:asciiTheme="majorEastAsia" w:hAnsiTheme="majorEastAsia" w:eastAsiaTheme="majorEastAsia" w:cstheme="majorEastAsia"/>
              <w:color w:val="auto"/>
              <w:sz w:val="24"/>
              <w:szCs w:val="24"/>
              <w:highlight w:val="none"/>
            </w:rPr>
            <w:instrText xml:space="preserve"> PAGEREF _Toc16215 \h </w:instrText>
          </w:r>
          <w:r>
            <w:rPr>
              <w:rFonts w:hint="eastAsia" w:asciiTheme="majorEastAsia" w:hAnsiTheme="majorEastAsia" w:eastAsiaTheme="majorEastAsia" w:cstheme="majorEastAsia"/>
              <w:color w:val="auto"/>
              <w:sz w:val="24"/>
              <w:szCs w:val="24"/>
              <w:highlight w:val="none"/>
            </w:rPr>
            <w:fldChar w:fldCharType="separate"/>
          </w:r>
          <w:r>
            <w:rPr>
              <w:rFonts w:hint="eastAsia" w:asciiTheme="majorEastAsia" w:hAnsiTheme="majorEastAsia" w:eastAsiaTheme="majorEastAsia" w:cstheme="majorEastAsia"/>
              <w:color w:val="auto"/>
              <w:sz w:val="24"/>
              <w:szCs w:val="24"/>
              <w:highlight w:val="none"/>
            </w:rPr>
            <w:t>24</w:t>
          </w:r>
          <w:r>
            <w:rPr>
              <w:rFonts w:hint="eastAsia" w:asciiTheme="majorEastAsia" w:hAnsiTheme="majorEastAsia" w:eastAsiaTheme="majorEastAsia" w:cstheme="majorEastAsia"/>
              <w:color w:val="auto"/>
              <w:sz w:val="24"/>
              <w:szCs w:val="24"/>
              <w:highlight w:val="none"/>
            </w:rPr>
            <w:fldChar w:fldCharType="end"/>
          </w:r>
          <w:r>
            <w:rPr>
              <w:rFonts w:hint="eastAsia" w:asciiTheme="majorEastAsia" w:hAnsiTheme="majorEastAsia" w:eastAsiaTheme="majorEastAsia" w:cstheme="majorEastAsia"/>
              <w:color w:val="auto"/>
              <w:sz w:val="24"/>
              <w:szCs w:val="24"/>
              <w:highlight w:val="none"/>
            </w:rPr>
            <w:fldChar w:fldCharType="end"/>
          </w:r>
        </w:p>
        <w:p>
          <w:pPr>
            <w:pStyle w:val="40"/>
            <w:tabs>
              <w:tab w:val="right" w:leader="dot" w:pos="8946"/>
            </w:tabs>
            <w:spacing w:line="360" w:lineRule="auto"/>
            <w:rPr>
              <w:rFonts w:asciiTheme="majorEastAsia" w:hAnsiTheme="majorEastAsia" w:eastAsiaTheme="majorEastAsia" w:cstheme="majorEastAsia"/>
              <w:color w:val="auto"/>
              <w:sz w:val="24"/>
              <w:szCs w:val="24"/>
              <w:highlight w:val="none"/>
            </w:rPr>
          </w:pPr>
          <w:r>
            <w:rPr>
              <w:color w:val="auto"/>
              <w:highlight w:val="none"/>
            </w:rPr>
            <w:fldChar w:fldCharType="begin"/>
          </w:r>
          <w:r>
            <w:rPr>
              <w:color w:val="auto"/>
              <w:highlight w:val="none"/>
            </w:rPr>
            <w:instrText xml:space="preserve"> HYPERLINK \l "_Toc957"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第四章 技术规范</w:t>
          </w:r>
          <w:r>
            <w:rPr>
              <w:rFonts w:hint="eastAsia" w:asciiTheme="majorEastAsia" w:hAnsiTheme="majorEastAsia" w:eastAsiaTheme="majorEastAsia" w:cstheme="majorEastAsia"/>
              <w:color w:val="auto"/>
              <w:sz w:val="24"/>
              <w:szCs w:val="24"/>
              <w:highlight w:val="none"/>
            </w:rPr>
            <w:tab/>
          </w:r>
          <w:r>
            <w:rPr>
              <w:rFonts w:hint="eastAsia" w:asciiTheme="majorEastAsia" w:hAnsiTheme="majorEastAsia" w:eastAsiaTheme="majorEastAsia" w:cstheme="majorEastAsia"/>
              <w:color w:val="auto"/>
              <w:sz w:val="24"/>
              <w:szCs w:val="24"/>
              <w:highlight w:val="none"/>
            </w:rPr>
            <w:fldChar w:fldCharType="begin"/>
          </w:r>
          <w:r>
            <w:rPr>
              <w:rFonts w:hint="eastAsia" w:asciiTheme="majorEastAsia" w:hAnsiTheme="majorEastAsia" w:eastAsiaTheme="majorEastAsia" w:cstheme="majorEastAsia"/>
              <w:color w:val="auto"/>
              <w:sz w:val="24"/>
              <w:szCs w:val="24"/>
              <w:highlight w:val="none"/>
            </w:rPr>
            <w:instrText xml:space="preserve"> PAGEREF _Toc957 \h </w:instrText>
          </w:r>
          <w:r>
            <w:rPr>
              <w:rFonts w:hint="eastAsia" w:asciiTheme="majorEastAsia" w:hAnsiTheme="majorEastAsia" w:eastAsiaTheme="majorEastAsia" w:cstheme="majorEastAsia"/>
              <w:color w:val="auto"/>
              <w:sz w:val="24"/>
              <w:szCs w:val="24"/>
              <w:highlight w:val="none"/>
            </w:rPr>
            <w:fldChar w:fldCharType="separate"/>
          </w:r>
          <w:r>
            <w:rPr>
              <w:rFonts w:hint="eastAsia" w:asciiTheme="majorEastAsia" w:hAnsiTheme="majorEastAsia" w:eastAsiaTheme="majorEastAsia" w:cstheme="majorEastAsia"/>
              <w:color w:val="auto"/>
              <w:sz w:val="24"/>
              <w:szCs w:val="24"/>
              <w:highlight w:val="none"/>
            </w:rPr>
            <w:t>45</w:t>
          </w:r>
          <w:r>
            <w:rPr>
              <w:rFonts w:hint="eastAsia" w:asciiTheme="majorEastAsia" w:hAnsiTheme="majorEastAsia" w:eastAsiaTheme="majorEastAsia" w:cstheme="majorEastAsia"/>
              <w:color w:val="auto"/>
              <w:sz w:val="24"/>
              <w:szCs w:val="24"/>
              <w:highlight w:val="none"/>
            </w:rPr>
            <w:fldChar w:fldCharType="end"/>
          </w:r>
          <w:r>
            <w:rPr>
              <w:rFonts w:hint="eastAsia" w:asciiTheme="majorEastAsia" w:hAnsiTheme="majorEastAsia" w:eastAsiaTheme="majorEastAsia" w:cstheme="majorEastAsia"/>
              <w:color w:val="auto"/>
              <w:sz w:val="24"/>
              <w:szCs w:val="24"/>
              <w:highlight w:val="none"/>
            </w:rPr>
            <w:fldChar w:fldCharType="end"/>
          </w:r>
        </w:p>
        <w:p>
          <w:pPr>
            <w:pStyle w:val="40"/>
            <w:tabs>
              <w:tab w:val="right" w:leader="dot" w:pos="8946"/>
            </w:tabs>
            <w:spacing w:line="360" w:lineRule="auto"/>
            <w:rPr>
              <w:rFonts w:asciiTheme="majorEastAsia" w:hAnsiTheme="majorEastAsia" w:eastAsiaTheme="majorEastAsia" w:cstheme="majorEastAsia"/>
              <w:color w:val="auto"/>
              <w:sz w:val="24"/>
              <w:szCs w:val="24"/>
              <w:highlight w:val="none"/>
            </w:rPr>
          </w:pPr>
          <w:r>
            <w:rPr>
              <w:color w:val="auto"/>
              <w:highlight w:val="none"/>
            </w:rPr>
            <w:fldChar w:fldCharType="begin"/>
          </w:r>
          <w:r>
            <w:rPr>
              <w:color w:val="auto"/>
              <w:highlight w:val="none"/>
            </w:rPr>
            <w:instrText xml:space="preserve"> HYPERLINK \l "_Toc31392"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第五章 投标文件格式</w:t>
          </w:r>
          <w:r>
            <w:rPr>
              <w:rFonts w:hint="eastAsia" w:asciiTheme="majorEastAsia" w:hAnsiTheme="majorEastAsia" w:eastAsiaTheme="majorEastAsia" w:cstheme="majorEastAsia"/>
              <w:color w:val="auto"/>
              <w:sz w:val="24"/>
              <w:szCs w:val="24"/>
              <w:highlight w:val="none"/>
            </w:rPr>
            <w:tab/>
          </w:r>
          <w:r>
            <w:rPr>
              <w:rFonts w:hint="eastAsia" w:asciiTheme="majorEastAsia" w:hAnsiTheme="majorEastAsia" w:eastAsiaTheme="majorEastAsia" w:cstheme="majorEastAsia"/>
              <w:color w:val="auto"/>
              <w:sz w:val="24"/>
              <w:szCs w:val="24"/>
              <w:highlight w:val="none"/>
            </w:rPr>
            <w:fldChar w:fldCharType="begin"/>
          </w:r>
          <w:r>
            <w:rPr>
              <w:rFonts w:hint="eastAsia" w:asciiTheme="majorEastAsia" w:hAnsiTheme="majorEastAsia" w:eastAsiaTheme="majorEastAsia" w:cstheme="majorEastAsia"/>
              <w:color w:val="auto"/>
              <w:sz w:val="24"/>
              <w:szCs w:val="24"/>
              <w:highlight w:val="none"/>
            </w:rPr>
            <w:instrText xml:space="preserve"> PAGEREF _Toc31392 \h </w:instrText>
          </w:r>
          <w:r>
            <w:rPr>
              <w:rFonts w:hint="eastAsia" w:asciiTheme="majorEastAsia" w:hAnsiTheme="majorEastAsia" w:eastAsiaTheme="majorEastAsia" w:cstheme="majorEastAsia"/>
              <w:color w:val="auto"/>
              <w:sz w:val="24"/>
              <w:szCs w:val="24"/>
              <w:highlight w:val="none"/>
            </w:rPr>
            <w:fldChar w:fldCharType="separate"/>
          </w:r>
          <w:r>
            <w:rPr>
              <w:rFonts w:hint="eastAsia" w:asciiTheme="majorEastAsia" w:hAnsiTheme="majorEastAsia" w:eastAsiaTheme="majorEastAsia" w:cstheme="majorEastAsia"/>
              <w:color w:val="auto"/>
              <w:sz w:val="24"/>
              <w:szCs w:val="24"/>
              <w:highlight w:val="none"/>
            </w:rPr>
            <w:t>46</w:t>
          </w:r>
          <w:r>
            <w:rPr>
              <w:rFonts w:hint="eastAsia" w:asciiTheme="majorEastAsia" w:hAnsiTheme="majorEastAsia" w:eastAsiaTheme="majorEastAsia" w:cstheme="majorEastAsia"/>
              <w:color w:val="auto"/>
              <w:sz w:val="24"/>
              <w:szCs w:val="24"/>
              <w:highlight w:val="none"/>
            </w:rPr>
            <w:fldChar w:fldCharType="end"/>
          </w:r>
          <w:r>
            <w:rPr>
              <w:rFonts w:hint="eastAsia" w:asciiTheme="majorEastAsia" w:hAnsiTheme="majorEastAsia" w:eastAsiaTheme="majorEastAsia" w:cstheme="majorEastAsia"/>
              <w:color w:val="auto"/>
              <w:sz w:val="24"/>
              <w:szCs w:val="24"/>
              <w:highlight w:val="none"/>
            </w:rPr>
            <w:fldChar w:fldCharType="end"/>
          </w:r>
        </w:p>
        <w:p>
          <w:pPr>
            <w:rPr>
              <w:color w:val="auto"/>
              <w:highlight w:val="none"/>
            </w:rPr>
          </w:pPr>
          <w:r>
            <w:rPr>
              <w:color w:val="auto"/>
              <w:highlight w:val="none"/>
            </w:rPr>
            <w:fldChar w:fldCharType="end"/>
          </w:r>
        </w:p>
      </w:sdtContent>
    </w:sdt>
    <w:p>
      <w:pPr>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pStyle w:val="32"/>
        <w:rPr>
          <w:color w:val="auto"/>
          <w:highlight w:val="none"/>
        </w:rPr>
      </w:pPr>
    </w:p>
    <w:p>
      <w:pPr>
        <w:rPr>
          <w:color w:val="auto"/>
          <w:highlight w:val="none"/>
        </w:rPr>
      </w:pPr>
    </w:p>
    <w:bookmarkEnd w:id="0"/>
    <w:p>
      <w:pPr>
        <w:pStyle w:val="32"/>
        <w:rPr>
          <w:color w:val="auto"/>
          <w:highlight w:val="none"/>
        </w:rPr>
      </w:pPr>
      <w:bookmarkStart w:id="4" w:name="_Toc536524972"/>
      <w:bookmarkStart w:id="5" w:name="_Toc227474136"/>
      <w:bookmarkStart w:id="6" w:name="_Toc9634"/>
      <w:bookmarkStart w:id="7" w:name="_Toc280348992"/>
    </w:p>
    <w:p>
      <w:pPr>
        <w:rPr>
          <w:color w:val="auto"/>
          <w:highlight w:val="none"/>
        </w:rPr>
      </w:pPr>
    </w:p>
    <w:p>
      <w:pPr>
        <w:rPr>
          <w:color w:val="auto"/>
          <w:highlight w:val="none"/>
        </w:rPr>
        <w:sectPr>
          <w:footerReference r:id="rId6" w:type="default"/>
          <w:pgSz w:w="11906" w:h="16838"/>
          <w:pgMar w:top="1440" w:right="1480" w:bottom="1440" w:left="1480" w:header="1134" w:footer="1134" w:gutter="0"/>
          <w:pgNumType w:start="1"/>
          <w:cols w:space="720" w:num="1"/>
          <w:docGrid w:linePitch="287" w:charSpace="0"/>
        </w:sectPr>
      </w:pPr>
    </w:p>
    <w:p>
      <w:pPr>
        <w:jc w:val="center"/>
        <w:rPr>
          <w:b/>
          <w:bCs/>
          <w:color w:val="auto"/>
          <w:sz w:val="36"/>
          <w:szCs w:val="36"/>
          <w:highlight w:val="none"/>
        </w:rPr>
      </w:pPr>
      <w:bookmarkStart w:id="8" w:name="_Toc21106"/>
      <w:r>
        <w:rPr>
          <w:rFonts w:hint="eastAsia"/>
          <w:b/>
          <w:bCs/>
          <w:color w:val="auto"/>
          <w:sz w:val="36"/>
          <w:szCs w:val="36"/>
          <w:highlight w:val="none"/>
        </w:rPr>
        <w:t>第一章 招标公告</w:t>
      </w:r>
      <w:bookmarkEnd w:id="8"/>
    </w:p>
    <w:p>
      <w:pPr>
        <w:spacing w:line="360" w:lineRule="auto"/>
        <w:jc w:val="center"/>
        <w:rPr>
          <w:rFonts w:hint="eastAsia" w:ascii="宋体" w:hAnsi="宋体" w:cs="宋体"/>
          <w:b/>
          <w:bCs/>
          <w:color w:val="auto"/>
          <w:sz w:val="32"/>
          <w:szCs w:val="32"/>
          <w:highlight w:val="none"/>
        </w:rPr>
      </w:pPr>
      <w:bookmarkStart w:id="9" w:name="OLE_LINK1"/>
      <w:r>
        <w:rPr>
          <w:rFonts w:hint="eastAsia" w:ascii="宋体" w:hAnsi="宋体" w:cs="宋体"/>
          <w:b/>
          <w:bCs/>
          <w:color w:val="auto"/>
          <w:sz w:val="32"/>
          <w:szCs w:val="32"/>
          <w:highlight w:val="none"/>
        </w:rPr>
        <w:t>驻马店市洪汝河薄弱环节治理工程（小洪河杨庄至李屯段）</w:t>
      </w:r>
    </w:p>
    <w:p>
      <w:pPr>
        <w:spacing w:line="360" w:lineRule="auto"/>
        <w:jc w:val="center"/>
        <w:rPr>
          <w:rFonts w:hint="eastAsia" w:ascii="宋体" w:hAnsi="宋体" w:cs="宋体"/>
          <w:color w:val="auto"/>
          <w:sz w:val="32"/>
          <w:szCs w:val="32"/>
          <w:highlight w:val="none"/>
        </w:rPr>
      </w:pPr>
      <w:r>
        <w:rPr>
          <w:rFonts w:hint="eastAsia" w:ascii="宋体" w:hAnsi="宋体" w:cs="宋体"/>
          <w:b/>
          <w:bCs/>
          <w:color w:val="auto"/>
          <w:sz w:val="32"/>
          <w:szCs w:val="32"/>
          <w:highlight w:val="none"/>
        </w:rPr>
        <w:t>招标公告</w:t>
      </w:r>
    </w:p>
    <w:p>
      <w:pPr>
        <w:spacing w:line="360" w:lineRule="auto"/>
        <w:ind w:firstLine="3373" w:firstLineChars="1600"/>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项目编号:ZMD2024-</w:t>
      </w:r>
      <w:r>
        <w:rPr>
          <w:rFonts w:hint="eastAsia" w:ascii="宋体" w:hAnsi="宋体" w:cs="宋体"/>
          <w:b/>
          <w:bCs/>
          <w:color w:val="auto"/>
          <w:szCs w:val="21"/>
          <w:highlight w:val="none"/>
          <w:lang w:val="en-US" w:eastAsia="zh-CN"/>
        </w:rPr>
        <w:t>026</w:t>
      </w:r>
    </w:p>
    <w:bookmarkEnd w:id="9"/>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1.招标条件</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本招标项目</w:t>
      </w:r>
      <w:r>
        <w:rPr>
          <w:rFonts w:hint="eastAsia" w:ascii="宋体" w:hAnsi="宋体" w:cs="宋体"/>
          <w:color w:val="auto"/>
          <w:szCs w:val="21"/>
          <w:highlight w:val="none"/>
          <w:u w:val="single"/>
        </w:rPr>
        <w:t xml:space="preserve">驻马店市洪汝河薄弱环节治理工程（小洪河杨庄至李屯段） </w:t>
      </w:r>
      <w:r>
        <w:rPr>
          <w:rFonts w:hint="eastAsia" w:ascii="宋体" w:hAnsi="宋体" w:cs="宋体"/>
          <w:color w:val="auto"/>
          <w:szCs w:val="21"/>
          <w:highlight w:val="none"/>
        </w:rPr>
        <w:t>已由相关行政主管部门批准建设，项目代码：</w:t>
      </w:r>
      <w:r>
        <w:rPr>
          <w:rFonts w:hint="eastAsia" w:ascii="宋体" w:hAnsi="宋体" w:cs="宋体"/>
          <w:color w:val="auto"/>
          <w:szCs w:val="21"/>
          <w:highlight w:val="none"/>
          <w:u w:val="single"/>
        </w:rPr>
        <w:t>2310-411700-04-01-897439</w:t>
      </w:r>
      <w:r>
        <w:rPr>
          <w:rFonts w:hint="eastAsia" w:ascii="宋体" w:hAnsi="宋体" w:cs="宋体"/>
          <w:color w:val="auto"/>
          <w:szCs w:val="21"/>
          <w:highlight w:val="none"/>
        </w:rPr>
        <w:t>，招标人为</w:t>
      </w:r>
      <w:r>
        <w:rPr>
          <w:rFonts w:hint="eastAsia" w:ascii="宋体" w:hAnsi="宋体" w:cs="宋体"/>
          <w:color w:val="auto"/>
          <w:szCs w:val="21"/>
          <w:highlight w:val="none"/>
          <w:u w:val="single"/>
        </w:rPr>
        <w:t>驻马店市水利局</w:t>
      </w:r>
      <w:r>
        <w:rPr>
          <w:rFonts w:hint="eastAsia" w:ascii="宋体" w:hAnsi="宋体" w:cs="宋体"/>
          <w:color w:val="auto"/>
          <w:szCs w:val="21"/>
          <w:highlight w:val="none"/>
        </w:rPr>
        <w:t>，项目法人为驻马店市洪汝河薄弱环节治理工程建设管理局，项目资金已落实，已具备招标条件。</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河南中博项目管理有限公司受驻马店市水利局委托，对本项目进行公开招标，欢迎国内合格的投标人前来投标。  </w:t>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2.项目概况与招标范围</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2.1工程名称：驻马店市洪汝河薄弱环节治理工程（小洪河杨庄至李屯段）。</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 建设地点：西平县、上蔡县境内。</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2.3招标内容：河道治理长度95.645km，其中西平县42.8km，上蔡县52.845km。</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2.4招标范围：</w:t>
      </w:r>
      <w:bookmarkStart w:id="10" w:name="_Toc9184"/>
      <w:r>
        <w:rPr>
          <w:rFonts w:hint="eastAsia" w:ascii="宋体" w:hAnsi="宋体" w:cs="宋体"/>
          <w:color w:val="auto"/>
          <w:szCs w:val="21"/>
          <w:highlight w:val="none"/>
        </w:rPr>
        <w:t>本项目招标文件、施工图纸、工程量清单和招标答疑纪</w:t>
      </w:r>
      <w:r>
        <w:rPr>
          <w:rFonts w:hint="eastAsia" w:ascii="宋体" w:hAnsi="宋体" w:cs="宋体"/>
          <w:color w:val="auto"/>
          <w:szCs w:val="21"/>
          <w:highlight w:val="none"/>
          <w:lang w:val="en-US" w:eastAsia="zh-CN"/>
        </w:rPr>
        <w:t>要</w:t>
      </w:r>
      <w:r>
        <w:rPr>
          <w:rFonts w:hint="eastAsia" w:ascii="宋体" w:hAnsi="宋体" w:cs="宋体"/>
          <w:color w:val="auto"/>
          <w:szCs w:val="21"/>
          <w:highlight w:val="none"/>
        </w:rPr>
        <w:t>等包含全部内容。</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2.5计划工期：施工1、2标段：180日历天；监理1、2标段：同工程施工工期（包括缺陷责任期）。</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2.6质量要求：合格；</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2.7标段划分：本项目共划分4个标段，标段划分如下：</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1809"/>
        <w:gridCol w:w="2036"/>
        <w:gridCol w:w="4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854" w:type="dxa"/>
            <w:noWrap w:val="0"/>
            <w:vAlign w:val="center"/>
          </w:tcPr>
          <w:p>
            <w:pPr>
              <w:spacing w:line="360"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812" w:type="dxa"/>
            <w:noWrap w:val="0"/>
            <w:vAlign w:val="center"/>
          </w:tcPr>
          <w:p>
            <w:pPr>
              <w:spacing w:line="360"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标段</w:t>
            </w:r>
          </w:p>
        </w:tc>
        <w:tc>
          <w:tcPr>
            <w:tcW w:w="2040" w:type="dxa"/>
            <w:noWrap w:val="0"/>
            <w:vAlign w:val="center"/>
          </w:tcPr>
          <w:p>
            <w:pPr>
              <w:spacing w:line="360"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建设地点</w:t>
            </w:r>
          </w:p>
        </w:tc>
        <w:tc>
          <w:tcPr>
            <w:tcW w:w="4472" w:type="dxa"/>
            <w:noWrap w:val="0"/>
            <w:vAlign w:val="center"/>
          </w:tcPr>
          <w:p>
            <w:pPr>
              <w:spacing w:line="360" w:lineRule="auto"/>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建设内容</w:t>
            </w:r>
          </w:p>
          <w:p>
            <w:pPr>
              <w:spacing w:line="360"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具体以施工图纸、工程量清单为准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54" w:type="dxa"/>
            <w:noWrap w:val="0"/>
            <w:vAlign w:val="center"/>
          </w:tcPr>
          <w:p>
            <w:pPr>
              <w:spacing w:line="360"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1</w:t>
            </w:r>
          </w:p>
        </w:tc>
        <w:tc>
          <w:tcPr>
            <w:tcW w:w="1812" w:type="dxa"/>
            <w:noWrap w:val="0"/>
            <w:vAlign w:val="center"/>
          </w:tcPr>
          <w:p>
            <w:pPr>
              <w:spacing w:line="360"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施工1标段</w:t>
            </w:r>
          </w:p>
        </w:tc>
        <w:tc>
          <w:tcPr>
            <w:tcW w:w="2040" w:type="dxa"/>
            <w:noWrap w:val="0"/>
            <w:vAlign w:val="center"/>
          </w:tcPr>
          <w:p>
            <w:pPr>
              <w:spacing w:line="360"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西平县境内</w:t>
            </w:r>
          </w:p>
        </w:tc>
        <w:tc>
          <w:tcPr>
            <w:tcW w:w="4472" w:type="dxa"/>
            <w:noWrap w:val="0"/>
            <w:vAlign w:val="center"/>
          </w:tcPr>
          <w:p>
            <w:pPr>
              <w:spacing w:line="360"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河道主槽扩挖、堤防加固、险工整治、堤顶防汛道路及建筑物等工程</w:t>
            </w:r>
            <w:r>
              <w:rPr>
                <w:rFonts w:hint="eastAsia" w:ascii="宋体" w:hAnsi="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54" w:type="dxa"/>
            <w:noWrap w:val="0"/>
            <w:vAlign w:val="center"/>
          </w:tcPr>
          <w:p>
            <w:pPr>
              <w:spacing w:line="360"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2</w:t>
            </w:r>
          </w:p>
        </w:tc>
        <w:tc>
          <w:tcPr>
            <w:tcW w:w="1812" w:type="dxa"/>
            <w:noWrap w:val="0"/>
            <w:vAlign w:val="center"/>
          </w:tcPr>
          <w:p>
            <w:pPr>
              <w:spacing w:line="360" w:lineRule="auto"/>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施工2标段</w:t>
            </w:r>
          </w:p>
        </w:tc>
        <w:tc>
          <w:tcPr>
            <w:tcW w:w="2040" w:type="dxa"/>
            <w:noWrap w:val="0"/>
            <w:vAlign w:val="center"/>
          </w:tcPr>
          <w:p>
            <w:pPr>
              <w:spacing w:line="360" w:lineRule="auto"/>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上蔡县境内</w:t>
            </w:r>
          </w:p>
        </w:tc>
        <w:tc>
          <w:tcPr>
            <w:tcW w:w="4472" w:type="dxa"/>
            <w:noWrap w:val="0"/>
            <w:vAlign w:val="center"/>
          </w:tcPr>
          <w:p>
            <w:pPr>
              <w:spacing w:line="360" w:lineRule="auto"/>
              <w:ind w:left="0" w:leftChars="0" w:firstLine="0" w:firstLineChars="0"/>
              <w:jc w:val="both"/>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河道主槽扩挖、堤防加固、险工整治、堤顶防汛道路及建筑物等工程</w:t>
            </w:r>
            <w:r>
              <w:rPr>
                <w:rFonts w:hint="eastAsia" w:ascii="宋体" w:hAnsi="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54" w:type="dxa"/>
            <w:noWrap w:val="0"/>
            <w:vAlign w:val="center"/>
          </w:tcPr>
          <w:p>
            <w:pPr>
              <w:spacing w:line="360"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3</w:t>
            </w:r>
          </w:p>
        </w:tc>
        <w:tc>
          <w:tcPr>
            <w:tcW w:w="1812" w:type="dxa"/>
            <w:noWrap w:val="0"/>
            <w:vAlign w:val="center"/>
          </w:tcPr>
          <w:p>
            <w:pPr>
              <w:spacing w:line="360" w:lineRule="auto"/>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监理1标段</w:t>
            </w:r>
          </w:p>
        </w:tc>
        <w:tc>
          <w:tcPr>
            <w:tcW w:w="2040" w:type="dxa"/>
            <w:noWrap w:val="0"/>
            <w:vAlign w:val="center"/>
          </w:tcPr>
          <w:p>
            <w:pPr>
              <w:spacing w:line="360" w:lineRule="auto"/>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西平县境内</w:t>
            </w:r>
          </w:p>
        </w:tc>
        <w:tc>
          <w:tcPr>
            <w:tcW w:w="4472" w:type="dxa"/>
            <w:noWrap w:val="0"/>
            <w:vAlign w:val="center"/>
          </w:tcPr>
          <w:p>
            <w:pPr>
              <w:spacing w:line="360" w:lineRule="auto"/>
              <w:ind w:left="0" w:leftChars="0" w:firstLine="0" w:firstLineChars="0"/>
              <w:jc w:val="both"/>
              <w:rPr>
                <w:rFonts w:hint="eastAsia" w:ascii="宋体" w:hAnsi="宋体" w:cs="宋体"/>
                <w:color w:val="auto"/>
                <w:szCs w:val="21"/>
                <w:highlight w:val="none"/>
              </w:rPr>
            </w:pPr>
            <w:r>
              <w:rPr>
                <w:rFonts w:hint="eastAsia" w:ascii="宋体" w:hAnsi="宋体" w:cs="宋体"/>
                <w:color w:val="auto"/>
                <w:szCs w:val="21"/>
                <w:highlight w:val="none"/>
              </w:rPr>
              <w:t>施工1标段施工阶段及保修阶段（含缺陷责任期）的全过程监理服务。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54" w:type="dxa"/>
            <w:noWrap w:val="0"/>
            <w:vAlign w:val="center"/>
          </w:tcPr>
          <w:p>
            <w:pPr>
              <w:spacing w:line="360" w:lineRule="auto"/>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4</w:t>
            </w:r>
          </w:p>
        </w:tc>
        <w:tc>
          <w:tcPr>
            <w:tcW w:w="1812" w:type="dxa"/>
            <w:noWrap w:val="0"/>
            <w:vAlign w:val="center"/>
          </w:tcPr>
          <w:p>
            <w:pPr>
              <w:spacing w:line="360" w:lineRule="auto"/>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监理2标段</w:t>
            </w:r>
          </w:p>
        </w:tc>
        <w:tc>
          <w:tcPr>
            <w:tcW w:w="2040" w:type="dxa"/>
            <w:noWrap w:val="0"/>
            <w:vAlign w:val="center"/>
          </w:tcPr>
          <w:p>
            <w:pPr>
              <w:spacing w:line="360" w:lineRule="auto"/>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上蔡县境内</w:t>
            </w:r>
          </w:p>
        </w:tc>
        <w:tc>
          <w:tcPr>
            <w:tcW w:w="4472" w:type="dxa"/>
            <w:noWrap w:val="0"/>
            <w:vAlign w:val="center"/>
          </w:tcPr>
          <w:p>
            <w:pPr>
              <w:spacing w:line="360" w:lineRule="auto"/>
              <w:ind w:left="0" w:leftChars="0" w:firstLine="0" w:firstLineChars="0"/>
              <w:jc w:val="both"/>
              <w:rPr>
                <w:rFonts w:hint="eastAsia" w:ascii="宋体" w:hAnsi="宋体" w:cs="宋体"/>
                <w:color w:val="auto"/>
                <w:szCs w:val="21"/>
                <w:highlight w:val="none"/>
              </w:rPr>
            </w:pPr>
            <w:r>
              <w:rPr>
                <w:rFonts w:hint="eastAsia" w:ascii="宋体" w:hAnsi="宋体" w:cs="宋体"/>
                <w:color w:val="auto"/>
                <w:szCs w:val="21"/>
                <w:highlight w:val="none"/>
              </w:rPr>
              <w:t>施工2标段施工阶段及保修阶段（含缺陷责任期）的全过程监理服务。</w:t>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3.投标人资格要求：</w:t>
      </w:r>
    </w:p>
    <w:bookmarkEnd w:id="10"/>
    <w:p>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 具有独立法人资格，具有有效的营业执照；</w:t>
      </w:r>
    </w:p>
    <w:p>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3.2 施工1、2标段：（1）投标人应具有水利水电工程施工总承包壹级（含壹级）或以上资质，具有有效的安全生产许可证；（2）拟派项目经理须具有水利水电工程专业一级注册建造师资格，且无其他在建工程（提供无在建承诺书）；（3）拟派技术负责人须具备水利类专业高级（含高级）或以上技术职称；（4）企业主要负责人、项目经理及专职安全员须取得水行政主管部门核发的有效的安全生产考核合格证；（5）拟派项目经理、技术负责人及专职安全员应为本单位人员（提供2023年10月1日以来社保部门出具的6个月的社保缴纳证明）；</w:t>
      </w:r>
    </w:p>
    <w:p>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3.3 监理1、2标段：（1）具备水利部颁发的水利工程施工监理甲级资质；（2）拟派项目总监理工程师应同时具备水利工程</w:t>
      </w:r>
      <w:r>
        <w:rPr>
          <w:rFonts w:hint="eastAsia" w:ascii="宋体" w:hAnsi="宋体" w:cs="宋体"/>
          <w:color w:val="auto"/>
          <w:szCs w:val="21"/>
          <w:highlight w:val="none"/>
          <w:lang w:val="en-US" w:eastAsia="zh-CN"/>
        </w:rPr>
        <w:t>施工监理</w:t>
      </w:r>
      <w:r>
        <w:rPr>
          <w:rFonts w:hint="eastAsia" w:ascii="宋体" w:hAnsi="宋体" w:cs="宋体"/>
          <w:color w:val="auto"/>
          <w:szCs w:val="21"/>
          <w:highlight w:val="none"/>
        </w:rPr>
        <w:t>注册监理工程师资格证书和水利类专业高级或以上技术职称，且无其他在建工程（提供无在建承诺书）；（3）拟派总监理工程师应为本单位人员（提供2023年10月1日以来社保部门出具的6个月的社保缴纳证明）。</w:t>
      </w:r>
    </w:p>
    <w:p>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3.4 投标人及其主要执（从）业人员须在“水利建设市场监管平台”进行信息公开（以网上公示为准，提供网页截图）；投标人如授权委托代理人，委托代理人须为“水利建设市场监管平台”公开的人员；</w:t>
      </w:r>
    </w:p>
    <w:p>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3.5 财务要求：投标人财务状况良好，提供企业近三年（2021年度、2022年度、2023年度）经会计师事务所或审计机构审计完整的年度财务审计报告（成立时间不足三年的按实际成立以来年限提供）；</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3.6信誉要求：</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企业被列入“中国执行信息公开网——全国法院失信被执行人名单信息公布与查询平台”失信被执行人的、“中国政府采购网——政府采购严重违法失信行为记录名单”的、被列入“国家税务总局——重大税收违法失信案件信息公布栏”重大税收违法失信主体的，依法禁止参加本项目投标活动；</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(2)投标企业被列入“信用中国-严重失信主体名单查询 、信用河南失信惩戒对象名单、全国水利建设市场监管平台黑名单”的，禁止其参与本项目投标活动；</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3.7 无行贿犯罪承诺函：投标人须出具“无行贿犯罪承诺函”，承诺对象包括法人、法定代表人、拟派项目经理或项目总监、委托代理人，并对其真实性负责，若承诺不实，所造成的一切后果由投标人自行承担，出具时间应是本公告发布之后（格式见招标文件）；</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3.8 </w:t>
      </w:r>
      <w:r>
        <w:rPr>
          <w:rFonts w:hint="eastAsia" w:ascii="宋体" w:hAnsi="宋体" w:cs="宋体"/>
          <w:bCs/>
          <w:color w:val="auto"/>
          <w:szCs w:val="21"/>
          <w:highlight w:val="none"/>
        </w:rPr>
        <w:t>投标人可同时投报本项目多个标段，但只能中取其中一个标段，若中取多个标段，按投资额度较大的标段中取。</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3.9 本次招标不接受联合体投标。  </w:t>
      </w:r>
    </w:p>
    <w:p>
      <w:pPr>
        <w:spacing w:line="360" w:lineRule="auto"/>
        <w:rPr>
          <w:rFonts w:hint="eastAsia" w:ascii="宋体" w:hAnsi="宋体" w:cs="宋体"/>
          <w:b/>
          <w:color w:val="auto"/>
          <w:szCs w:val="21"/>
          <w:highlight w:val="none"/>
        </w:rPr>
      </w:pPr>
      <w:bookmarkStart w:id="11" w:name="_Toc26447355"/>
      <w:bookmarkStart w:id="12" w:name="_Toc20961"/>
      <w:r>
        <w:rPr>
          <w:rFonts w:hint="eastAsia" w:ascii="宋体" w:hAnsi="宋体" w:cs="宋体"/>
          <w:b/>
          <w:color w:val="auto"/>
          <w:szCs w:val="21"/>
          <w:highlight w:val="none"/>
        </w:rPr>
        <w:t>4.企业注册</w:t>
      </w:r>
      <w:bookmarkEnd w:id="11"/>
      <w:bookmarkEnd w:id="12"/>
    </w:p>
    <w:p>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完成CA密钥的办理，完成注册。</w:t>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5.招标文件的获取</w:t>
      </w:r>
    </w:p>
    <w:p>
      <w:pPr>
        <w:spacing w:line="360" w:lineRule="auto"/>
        <w:ind w:firstLine="420" w:firstLineChars="200"/>
        <w:rPr>
          <w:rFonts w:hint="eastAsia" w:ascii="宋体" w:hAnsi="宋体" w:cs="宋体"/>
          <w:bCs/>
          <w:color w:val="auto"/>
          <w:szCs w:val="21"/>
          <w:highlight w:val="none"/>
        </w:rPr>
      </w:pPr>
      <w:bookmarkStart w:id="13" w:name="_Toc31138"/>
      <w:bookmarkStart w:id="14" w:name="_Toc26447357"/>
      <w:r>
        <w:rPr>
          <w:rFonts w:hint="eastAsia" w:ascii="宋体" w:hAnsi="宋体" w:cs="宋体"/>
          <w:bCs/>
          <w:color w:val="auto"/>
          <w:szCs w:val="21"/>
          <w:highlight w:val="none"/>
        </w:rPr>
        <w:t>5.1 招标文件获取时间：请于2024年</w:t>
      </w:r>
      <w:r>
        <w:rPr>
          <w:rFonts w:hint="eastAsia" w:ascii="宋体" w:hAnsi="宋体" w:cs="宋体"/>
          <w:bCs/>
          <w:color w:val="auto"/>
          <w:szCs w:val="21"/>
          <w:highlight w:val="none"/>
          <w:lang w:val="en-US" w:eastAsia="zh-CN"/>
        </w:rPr>
        <w:t>04</w:t>
      </w:r>
      <w:r>
        <w:rPr>
          <w:rFonts w:hint="eastAsia" w:ascii="宋体" w:hAnsi="宋体" w:cs="宋体"/>
          <w:bCs/>
          <w:color w:val="auto"/>
          <w:szCs w:val="21"/>
          <w:highlight w:val="none"/>
        </w:rPr>
        <w:t>月</w:t>
      </w:r>
      <w:r>
        <w:rPr>
          <w:rFonts w:hint="eastAsia" w:ascii="宋体" w:hAnsi="宋体" w:cs="宋体"/>
          <w:bCs/>
          <w:color w:val="auto"/>
          <w:szCs w:val="21"/>
          <w:highlight w:val="none"/>
          <w:lang w:val="en-US" w:eastAsia="zh-CN"/>
        </w:rPr>
        <w:t>30</w:t>
      </w:r>
      <w:r>
        <w:rPr>
          <w:rFonts w:hint="eastAsia" w:ascii="宋体" w:hAnsi="宋体" w:cs="宋体"/>
          <w:bCs/>
          <w:color w:val="auto"/>
          <w:szCs w:val="21"/>
          <w:highlight w:val="none"/>
        </w:rPr>
        <w:t>日8：00时至2024年</w:t>
      </w:r>
      <w:r>
        <w:rPr>
          <w:rFonts w:hint="eastAsia" w:ascii="宋体" w:hAnsi="宋体" w:cs="宋体"/>
          <w:bCs/>
          <w:color w:val="auto"/>
          <w:szCs w:val="21"/>
          <w:highlight w:val="none"/>
          <w:lang w:val="en-US" w:eastAsia="zh-CN"/>
        </w:rPr>
        <w:t>05</w:t>
      </w:r>
      <w:r>
        <w:rPr>
          <w:rFonts w:hint="eastAsia" w:ascii="宋体" w:hAnsi="宋体" w:cs="宋体"/>
          <w:bCs/>
          <w:color w:val="auto"/>
          <w:szCs w:val="21"/>
          <w:highlight w:val="none"/>
        </w:rPr>
        <w:t>月</w:t>
      </w:r>
      <w:r>
        <w:rPr>
          <w:rFonts w:hint="eastAsia" w:ascii="宋体" w:hAnsi="宋体" w:cs="宋体"/>
          <w:bCs/>
          <w:color w:val="auto"/>
          <w:szCs w:val="21"/>
          <w:highlight w:val="none"/>
          <w:lang w:val="en-US" w:eastAsia="zh-CN"/>
        </w:rPr>
        <w:t>09</w:t>
      </w:r>
      <w:r>
        <w:rPr>
          <w:rFonts w:hint="eastAsia" w:ascii="宋体" w:hAnsi="宋体" w:cs="宋体"/>
          <w:bCs/>
          <w:color w:val="auto"/>
          <w:szCs w:val="21"/>
          <w:highlight w:val="none"/>
        </w:rPr>
        <w:t>日</w:t>
      </w:r>
      <w:r>
        <w:rPr>
          <w:rFonts w:hint="eastAsia" w:ascii="宋体" w:hAnsi="宋体" w:cs="宋体"/>
          <w:bCs/>
          <w:color w:val="auto"/>
          <w:szCs w:val="21"/>
          <w:highlight w:val="none"/>
          <w:lang w:val="en-US" w:eastAsia="zh-CN"/>
        </w:rPr>
        <w:t>18</w:t>
      </w:r>
      <w:r>
        <w:rPr>
          <w:rFonts w:hint="eastAsia" w:ascii="宋体" w:hAnsi="宋体" w:cs="宋体"/>
          <w:bCs/>
          <w:color w:val="auto"/>
          <w:szCs w:val="21"/>
          <w:highlight w:val="none"/>
        </w:rPr>
        <w:t>:</w:t>
      </w:r>
      <w:r>
        <w:rPr>
          <w:rFonts w:hint="eastAsia" w:ascii="宋体" w:hAnsi="宋体" w:cs="宋体"/>
          <w:bCs/>
          <w:color w:val="auto"/>
          <w:szCs w:val="21"/>
          <w:highlight w:val="none"/>
          <w:lang w:val="en-US" w:eastAsia="zh-CN"/>
        </w:rPr>
        <w:t>0</w:t>
      </w:r>
      <w:r>
        <w:rPr>
          <w:rFonts w:hint="eastAsia" w:ascii="宋体" w:hAnsi="宋体" w:cs="宋体"/>
          <w:bCs/>
          <w:color w:val="auto"/>
          <w:szCs w:val="21"/>
          <w:highlight w:val="none"/>
        </w:rPr>
        <w:t>0时在驻马店市公共资源交易中心网站上下载招标文件，招标文件售价0元。投标人未按规定在网上下载招标文件的，其投标将被拒绝。</w:t>
      </w:r>
    </w:p>
    <w:p>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5.2 招标文件获取方式：凭CA密钥登陆会员系统并按网上提示下载招标文件及资料。（详见https://ggzy.zhumadian.gov.cn/TPFront/导航栏下载中心栏目里投标人操作手册）。</w:t>
      </w:r>
    </w:p>
    <w:p>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5.3 获取招标文件后，投标人请到驻马店市公共资源交易中心网站—下载中心栏目下载最新版本的投标文件制作工具安装包，并使用安装后的最新版本投标文件制作工具以及CA密钥制作电子投标文件。</w:t>
      </w:r>
    </w:p>
    <w:p>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5.4 请各投标人登录时注意完善主体信息（如开户银行及开户账号等），以免未填写或错误导致系统判定废标。</w:t>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6.资格审查方式</w:t>
      </w:r>
      <w:bookmarkEnd w:id="13"/>
      <w:bookmarkEnd w:id="14"/>
    </w:p>
    <w:p>
      <w:pPr>
        <w:spacing w:line="360" w:lineRule="auto"/>
        <w:ind w:firstLine="367" w:firstLineChars="175"/>
        <w:rPr>
          <w:rFonts w:hint="eastAsia" w:ascii="宋体" w:hAnsi="宋体" w:cs="宋体"/>
          <w:bCs/>
          <w:color w:val="auto"/>
          <w:szCs w:val="21"/>
          <w:highlight w:val="none"/>
        </w:rPr>
      </w:pPr>
      <w:bookmarkStart w:id="15" w:name="_Toc26447358"/>
      <w:r>
        <w:rPr>
          <w:rFonts w:hint="eastAsia" w:ascii="宋体" w:hAnsi="宋体" w:cs="宋体"/>
          <w:bCs/>
          <w:color w:val="auto"/>
          <w:szCs w:val="21"/>
          <w:highlight w:val="none"/>
        </w:rPr>
        <w:t>6.1 本招标工程项目对投标申请人的资格审查采用资格后审方式，主要资格审查标准和内容详见招标文件，只有资格审查合格的投标申请人才有可能被授予合同。</w:t>
      </w:r>
    </w:p>
    <w:p>
      <w:pPr>
        <w:spacing w:line="360" w:lineRule="auto"/>
        <w:ind w:firstLine="367" w:firstLineChars="175"/>
        <w:rPr>
          <w:rFonts w:hint="eastAsia" w:ascii="宋体" w:hAnsi="宋体" w:cs="宋体"/>
          <w:bCs/>
          <w:color w:val="auto"/>
          <w:szCs w:val="21"/>
          <w:highlight w:val="none"/>
        </w:rPr>
      </w:pPr>
      <w:bookmarkStart w:id="16" w:name="_Toc7237"/>
      <w:r>
        <w:rPr>
          <w:rFonts w:hint="eastAsia" w:ascii="宋体" w:hAnsi="宋体" w:cs="宋体"/>
          <w:bCs/>
          <w:color w:val="auto"/>
          <w:szCs w:val="21"/>
          <w:highlight w:val="none"/>
        </w:rPr>
        <w:t>6.2 本项目采用不见面开标，投标人无需递交纸质投标文件及原件，投标企业应在项目开标前，将项目经理或总监、技术负责人、其他人员、资质、业绩、荣誉、财务等投标所用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bookmarkEnd w:id="16"/>
    </w:p>
    <w:p>
      <w:pPr>
        <w:spacing w:line="360" w:lineRule="auto"/>
        <w:rPr>
          <w:rFonts w:hint="eastAsia" w:ascii="宋体" w:hAnsi="宋体" w:cs="宋体"/>
          <w:b/>
          <w:color w:val="auto"/>
          <w:szCs w:val="21"/>
          <w:highlight w:val="none"/>
        </w:rPr>
      </w:pPr>
      <w:bookmarkStart w:id="17" w:name="_Toc29479"/>
      <w:r>
        <w:rPr>
          <w:rFonts w:hint="eastAsia" w:ascii="宋体" w:hAnsi="宋体" w:cs="宋体"/>
          <w:b/>
          <w:color w:val="auto"/>
          <w:szCs w:val="21"/>
          <w:highlight w:val="none"/>
        </w:rPr>
        <w:t>7.投标文件的上传/递交</w:t>
      </w:r>
      <w:bookmarkEnd w:id="15"/>
      <w:bookmarkEnd w:id="17"/>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7.1本项目采用不见面开标、投标人需要递交电子投标文件，无需递交纸质文件。</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7.2投标文件的上传/递交截止时间（投标截止时间，下同）和地点见招标文件。加密电子投标文件（*.ZMDTF格式）应在投标截止时间前通过驻马店市公共资源交易电子交易平台（http://ggzy.zhumadian.gov.cn:8820/TPbidder）上传完成。</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7.3本项目采用远程不见面交易的模式。开标当日，投标人无需到达开标现场，仅需在任意地点通过驻马店不见面开标系统（http://ggzy.zhumadian.gov.cn:9190/BidOpening/</w:t>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7.4远程开标前，投标人务必在驻马店市公共资源交易电子交易平台（http://ggzy.z</w:t>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humadian.gov.cn:8820/TPbidder）投标文件上传模块中使用“模拟解密”功能，验证本机远程自助解密环境。</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7.5逾期上传/送达的或者未上传/未送达指定地点的投标文件，招标人不予受理。</w:t>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8.发布公告的媒介</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本招标公告在《河南省电子招标投标公共服务平台》、《驻马店市公共资源交易中心网》、《河南省政府采购网》网站上同时发布。</w:t>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9.特别提醒</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因驻马店不见面交易系统具备视频直播、语音通话等，对网络带宽及硬件要求相对较高的功能，故投标人在参与使用不见面交易系统开标的项目时，需确认是否满足如下要求：</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1、网络要求：网络带宽4M以上。</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2、硬件要求：电脑要求内存4G及以上，且需配套网络摄像头、麦克风、音箱等，并确保其均能正常运转。操作系统要求Windows7及以上，IE浏览器IE11及以上。</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3、人员要求：对于参与驻马店不见面交易系统开标的投标企业代表，要求能熟练掌握电脑基础操作。不见面开标操作手册下载地址：（https://ggzy.zhumadian.gov.cn/TPFront</w:t>
      </w:r>
    </w:p>
    <w:p>
      <w:pP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/InfoDetail/?InfoID=09eaacd6-a524-447f-a5fd-776c58eb1582&amp;CategoryNum=026001）</w:t>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10.联系方式</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招 标 人：驻马店市水利局</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 xml:space="preserve">地    址：驻马店市泰山路519号 </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联 系 人： 王先生</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电    话：</w:t>
      </w:r>
      <w:r>
        <w:rPr>
          <w:rFonts w:hint="eastAsia" w:ascii="宋体" w:hAnsi="宋体" w:cs="宋体"/>
          <w:color w:val="auto"/>
          <w:szCs w:val="21"/>
          <w:highlight w:val="none"/>
        </w:rPr>
        <w:t>03962690665</w:t>
      </w:r>
      <w:r>
        <w:rPr>
          <w:rFonts w:hint="eastAsia" w:ascii="宋体" w:hAnsi="宋体" w:cs="宋体"/>
          <w:bCs/>
          <w:color w:val="auto"/>
          <w:szCs w:val="21"/>
          <w:highlight w:val="none"/>
        </w:rPr>
        <w:t xml:space="preserve"> </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招标代理机构：</w:t>
      </w:r>
      <w:r>
        <w:rPr>
          <w:rFonts w:hint="eastAsia" w:ascii="宋体" w:hAnsi="宋体" w:cs="宋体"/>
          <w:color w:val="auto"/>
          <w:szCs w:val="21"/>
          <w:highlight w:val="none"/>
        </w:rPr>
        <w:t>河南中博项目管理有限公司</w:t>
      </w:r>
      <w:r>
        <w:rPr>
          <w:rFonts w:hint="eastAsia" w:ascii="宋体" w:hAnsi="宋体" w:cs="宋体"/>
          <w:bCs/>
          <w:color w:val="auto"/>
          <w:szCs w:val="21"/>
          <w:highlight w:val="none"/>
        </w:rPr>
        <w:t xml:space="preserve"> </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地　　址：</w:t>
      </w:r>
      <w:r>
        <w:rPr>
          <w:rFonts w:hint="eastAsia" w:ascii="宋体" w:hAnsi="宋体" w:cs="宋体"/>
          <w:color w:val="auto"/>
          <w:szCs w:val="21"/>
          <w:highlight w:val="none"/>
        </w:rPr>
        <w:t>驻马店市乐山大道与洪河大道交叉口百佳广场B座12楼1201室</w:t>
      </w:r>
      <w:r>
        <w:rPr>
          <w:rFonts w:hint="eastAsia" w:ascii="宋体" w:hAnsi="宋体" w:cs="宋体"/>
          <w:bCs/>
          <w:color w:val="auto"/>
          <w:szCs w:val="21"/>
          <w:highlight w:val="none"/>
        </w:rPr>
        <w:t xml:space="preserve"> </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联 系 人：</w:t>
      </w:r>
      <w:r>
        <w:rPr>
          <w:rFonts w:hint="eastAsia" w:ascii="宋体" w:hAnsi="宋体" w:cs="宋体"/>
          <w:color w:val="auto"/>
          <w:szCs w:val="21"/>
          <w:highlight w:val="none"/>
          <w:lang w:val="en-US" w:eastAsia="zh-CN"/>
        </w:rPr>
        <w:t>尤</w:t>
      </w:r>
      <w:r>
        <w:rPr>
          <w:rFonts w:hint="eastAsia" w:ascii="宋体" w:hAnsi="宋体" w:cs="宋体"/>
          <w:color w:val="auto"/>
          <w:szCs w:val="21"/>
          <w:highlight w:val="none"/>
        </w:rPr>
        <w:t>先生</w:t>
      </w:r>
      <w:r>
        <w:rPr>
          <w:rFonts w:hint="eastAsia" w:ascii="宋体" w:hAnsi="宋体" w:cs="宋体"/>
          <w:bCs/>
          <w:color w:val="auto"/>
          <w:szCs w:val="21"/>
          <w:highlight w:val="none"/>
        </w:rPr>
        <w:t xml:space="preserve"> </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联系方式：</w:t>
      </w:r>
      <w:r>
        <w:rPr>
          <w:rFonts w:hint="eastAsia" w:ascii="宋体" w:hAnsi="宋体" w:cs="宋体"/>
          <w:bCs/>
          <w:color w:val="auto"/>
          <w:szCs w:val="21"/>
          <w:highlight w:val="none"/>
          <w:lang w:val="en-US" w:eastAsia="zh-CN"/>
        </w:rPr>
        <w:t>03963668183</w:t>
      </w:r>
      <w:r>
        <w:rPr>
          <w:rFonts w:hint="eastAsia" w:ascii="宋体" w:hAnsi="宋体" w:cs="宋体"/>
          <w:bCs/>
          <w:color w:val="auto"/>
          <w:szCs w:val="21"/>
          <w:highlight w:val="none"/>
        </w:rPr>
        <w:t xml:space="preserve"> </w:t>
      </w:r>
    </w:p>
    <w:p>
      <w:pPr>
        <w:spacing w:line="360" w:lineRule="auto"/>
        <w:ind w:firstLine="367" w:firstLineChars="175"/>
        <w:rPr>
          <w:rFonts w:hint="eastAsia" w:ascii="宋体" w:hAnsi="宋体" w:cs="宋体"/>
          <w:bCs/>
          <w:color w:val="auto"/>
          <w:szCs w:val="21"/>
          <w:highlight w:val="none"/>
        </w:rPr>
      </w:pP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监督单位：</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 xml:space="preserve">驻马店市水利局 </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办公地址：驻马店市泰山路519号</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电    话：0396-2690961</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驻马店市发展和改革委员会</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办公地址：河南省驻马店市开源大道56号</w:t>
      </w:r>
    </w:p>
    <w:p>
      <w:pPr>
        <w:spacing w:line="360" w:lineRule="auto"/>
        <w:ind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电    话：0396-2600676</w:t>
      </w:r>
    </w:p>
    <w:p>
      <w:pPr>
        <w:rPr>
          <w:rFonts w:hint="eastAsia"/>
          <w:color w:val="auto"/>
          <w:highlight w:val="none"/>
        </w:rPr>
      </w:pPr>
    </w:p>
    <w:p>
      <w:pPr>
        <w:jc w:val="center"/>
        <w:rPr>
          <w:rFonts w:hint="eastAsia"/>
          <w:b/>
          <w:bCs/>
          <w:color w:val="auto"/>
          <w:sz w:val="36"/>
          <w:szCs w:val="36"/>
          <w:highlight w:val="none"/>
        </w:rPr>
      </w:pPr>
      <w:bookmarkStart w:id="18" w:name="_Toc20987"/>
    </w:p>
    <w:p>
      <w:pPr>
        <w:jc w:val="center"/>
        <w:rPr>
          <w:rFonts w:hint="eastAsia"/>
          <w:b/>
          <w:bCs/>
          <w:color w:val="auto"/>
          <w:sz w:val="36"/>
          <w:szCs w:val="36"/>
          <w:highlight w:val="none"/>
        </w:rPr>
      </w:pPr>
      <w:r>
        <w:rPr>
          <w:rFonts w:hint="eastAsia"/>
          <w:b/>
          <w:bCs/>
          <w:color w:val="auto"/>
          <w:sz w:val="36"/>
          <w:szCs w:val="36"/>
          <w:highlight w:val="none"/>
        </w:rPr>
        <w:t>第二章 投标人须知</w:t>
      </w:r>
      <w:bookmarkEnd w:id="18"/>
    </w:p>
    <w:p>
      <w:pPr>
        <w:jc w:val="center"/>
        <w:rPr>
          <w:bCs/>
          <w:color w:val="auto"/>
          <w:highlight w:val="none"/>
        </w:rPr>
      </w:pPr>
      <w:bookmarkStart w:id="19" w:name="_Toc4612"/>
      <w:r>
        <w:rPr>
          <w:rFonts w:hint="eastAsia"/>
          <w:color w:val="auto"/>
          <w:highlight w:val="none"/>
        </w:rPr>
        <w:t>投标须知前附表</w:t>
      </w:r>
      <w:bookmarkEnd w:id="4"/>
      <w:bookmarkEnd w:id="5"/>
      <w:bookmarkEnd w:id="6"/>
      <w:bookmarkEnd w:id="7"/>
      <w:bookmarkEnd w:id="19"/>
    </w:p>
    <w:tbl>
      <w:tblPr>
        <w:tblStyle w:val="25"/>
        <w:tblW w:w="937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15" w:type="dxa"/>
          <w:left w:w="15" w:type="dxa"/>
          <w:bottom w:w="15" w:type="dxa"/>
          <w:right w:w="15" w:type="dxa"/>
        </w:tblCellMar>
      </w:tblPr>
      <w:tblGrid>
        <w:gridCol w:w="729"/>
        <w:gridCol w:w="2308"/>
        <w:gridCol w:w="633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12"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项号</w:t>
            </w:r>
          </w:p>
        </w:tc>
        <w:tc>
          <w:tcPr>
            <w:tcW w:w="2308" w:type="dxa"/>
            <w:tcBorders>
              <w:top w:val="single" w:color="000000" w:sz="12"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内     容</w:t>
            </w:r>
          </w:p>
        </w:tc>
        <w:tc>
          <w:tcPr>
            <w:tcW w:w="6334" w:type="dxa"/>
            <w:tcBorders>
              <w:top w:val="single" w:color="000000" w:sz="12"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jc w:val="center"/>
              <w:rPr>
                <w:color w:val="auto"/>
                <w:highlight w:val="none"/>
              </w:rPr>
            </w:pPr>
            <w:r>
              <w:rPr>
                <w:rFonts w:hint="eastAsia"/>
                <w:color w:val="auto"/>
                <w:highlight w:val="none"/>
              </w:rPr>
              <w:t>说 明 与 要 求</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585"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工程名称</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color w:val="auto"/>
                <w:highlight w:val="none"/>
              </w:rPr>
              <w:t>驻马店市洪汝河薄弱环节治理工程（小洪河杨庄至李屯段）</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642"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建设地点</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西平县、上蔡县境内</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720"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3</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招标内容</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工程施工阶段及保修阶段（含缺陷责任期）的全过程监理服务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642"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4</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资金来源及落实情况</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财政资金，已落实</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61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5</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监理服务期限</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工程施工阶段及缺陷责任期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567" w:hRule="exac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6</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质量监控目标</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合格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625" w:hRule="exac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7</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工期监控目标</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同工程施工工期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567" w:hRule="exac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8</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投资控制目标</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控制在承包人与发包人签订的合同价内</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510"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9</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安全控制目标</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无安全事故</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90"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10</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监理主要工作内容</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监理1、2标段：负责招标范围内工程建设期</w:t>
            </w:r>
            <w:r>
              <w:rPr>
                <w:rFonts w:hint="eastAsia"/>
                <w:color w:val="auto"/>
                <w:highlight w:val="none"/>
                <w:lang w:val="en-US" w:eastAsia="zh-CN"/>
              </w:rPr>
              <w:t>全部建设内容</w:t>
            </w:r>
            <w:r>
              <w:rPr>
                <w:rFonts w:hint="eastAsia"/>
                <w:color w:val="auto"/>
                <w:highlight w:val="none"/>
              </w:rPr>
              <w:t>的质量、进度、投资控制、信息管理及合同管理、安全及文明施工管理，建设工程内部协调以及缺陷责任期的监理。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11</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投标人资格要求</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lang w:val="en-US" w:eastAsia="zh-CN"/>
              </w:rPr>
              <w:t>1.</w:t>
            </w:r>
            <w:r>
              <w:rPr>
                <w:rFonts w:hint="eastAsia"/>
                <w:color w:val="auto"/>
                <w:highlight w:val="none"/>
              </w:rPr>
              <w:t>具有独立法人资格，具有有效的营业执照；</w:t>
            </w:r>
          </w:p>
          <w:p>
            <w:pPr>
              <w:ind w:left="0" w:leftChars="0" w:firstLine="0" w:firstLineChars="0"/>
              <w:rPr>
                <w:rFonts w:hint="eastAsia"/>
                <w:color w:val="auto"/>
                <w:highlight w:val="none"/>
              </w:rPr>
            </w:pPr>
            <w:r>
              <w:rPr>
                <w:rFonts w:hint="eastAsia"/>
                <w:color w:val="auto"/>
                <w:highlight w:val="none"/>
                <w:lang w:val="en-US" w:eastAsia="zh-CN"/>
              </w:rPr>
              <w:t>2.</w:t>
            </w:r>
            <w:r>
              <w:rPr>
                <w:rFonts w:hint="eastAsia"/>
                <w:color w:val="auto"/>
                <w:highlight w:val="none"/>
              </w:rPr>
              <w:t>监理1、2标段：</w:t>
            </w:r>
          </w:p>
          <w:p>
            <w:pPr>
              <w:ind w:left="0" w:leftChars="0" w:firstLine="0" w:firstLineChars="0"/>
              <w:rPr>
                <w:rFonts w:hint="eastAsia"/>
                <w:color w:val="auto"/>
                <w:highlight w:val="none"/>
              </w:rPr>
            </w:pPr>
            <w:r>
              <w:rPr>
                <w:rFonts w:hint="eastAsia"/>
                <w:color w:val="auto"/>
                <w:highlight w:val="none"/>
              </w:rPr>
              <w:t>（1）具备水利部颁发的水利工程施工监理甲级资质；</w:t>
            </w:r>
          </w:p>
          <w:p>
            <w:pPr>
              <w:ind w:left="0" w:leftChars="0" w:firstLine="0" w:firstLineChars="0"/>
              <w:rPr>
                <w:rFonts w:hint="eastAsia"/>
                <w:color w:val="auto"/>
                <w:highlight w:val="none"/>
              </w:rPr>
            </w:pPr>
            <w:r>
              <w:rPr>
                <w:rFonts w:hint="eastAsia"/>
                <w:color w:val="auto"/>
                <w:highlight w:val="none"/>
              </w:rPr>
              <w:t>（2）拟派项目总监理工程师应同时具备水利工程</w:t>
            </w:r>
            <w:r>
              <w:rPr>
                <w:rFonts w:hint="eastAsia"/>
                <w:color w:val="auto"/>
                <w:highlight w:val="none"/>
                <w:lang w:val="en-US" w:eastAsia="zh-CN"/>
              </w:rPr>
              <w:t>施工监理</w:t>
            </w:r>
            <w:r>
              <w:rPr>
                <w:rFonts w:hint="eastAsia"/>
                <w:color w:val="auto"/>
                <w:highlight w:val="none"/>
              </w:rPr>
              <w:t>注册监理工程师资格证书和水利类专业高级或以上技术职称，且无其他在建工程（提供无在建承诺书）；</w:t>
            </w:r>
          </w:p>
          <w:p>
            <w:pPr>
              <w:ind w:left="0" w:leftChars="0" w:firstLine="0" w:firstLineChars="0"/>
              <w:rPr>
                <w:color w:val="auto"/>
                <w:highlight w:val="none"/>
              </w:rPr>
            </w:pPr>
            <w:r>
              <w:rPr>
                <w:rFonts w:hint="eastAsia"/>
                <w:color w:val="auto"/>
                <w:highlight w:val="none"/>
              </w:rPr>
              <w:t>（3）拟派总监理工程师应为本单位人员（提供2023年</w:t>
            </w:r>
            <w:r>
              <w:rPr>
                <w:rFonts w:hint="eastAsia"/>
                <w:color w:val="auto"/>
                <w:highlight w:val="none"/>
                <w:lang w:val="en-US" w:eastAsia="zh-CN"/>
              </w:rPr>
              <w:t>10</w:t>
            </w:r>
            <w:r>
              <w:rPr>
                <w:rFonts w:hint="eastAsia"/>
                <w:color w:val="auto"/>
                <w:highlight w:val="none"/>
              </w:rPr>
              <w:t>月1日以来社保部门出具的6个月的社保缴纳证明）。</w:t>
            </w:r>
          </w:p>
          <w:p>
            <w:pPr>
              <w:ind w:left="0" w:leftChars="0" w:firstLine="0" w:firstLineChars="0"/>
              <w:rPr>
                <w:color w:val="auto"/>
                <w:highlight w:val="none"/>
              </w:rPr>
            </w:pPr>
            <w:r>
              <w:rPr>
                <w:rFonts w:hint="eastAsia"/>
                <w:color w:val="auto"/>
                <w:highlight w:val="none"/>
                <w:lang w:val="en-US" w:eastAsia="zh-CN"/>
              </w:rPr>
              <w:t>4.</w:t>
            </w:r>
            <w:r>
              <w:rPr>
                <w:rFonts w:hint="eastAsia"/>
                <w:color w:val="auto"/>
                <w:highlight w:val="none"/>
              </w:rPr>
              <w:t xml:space="preserve"> 投标人及其主要执（从）业人员须在“水利建设市场监管平台”进行信息公开（以网上公示为准，提供网页截图）；投标人如授权委托代理人，委托代理人须为“水利建设市场监管平台”公开的人员；</w:t>
            </w:r>
          </w:p>
          <w:p>
            <w:pPr>
              <w:ind w:left="0" w:leftChars="0" w:firstLine="0" w:firstLineChars="0"/>
              <w:rPr>
                <w:color w:val="auto"/>
                <w:highlight w:val="none"/>
              </w:rPr>
            </w:pPr>
            <w:r>
              <w:rPr>
                <w:rFonts w:hint="eastAsia"/>
                <w:color w:val="auto"/>
                <w:highlight w:val="none"/>
                <w:lang w:val="en-US" w:eastAsia="zh-CN"/>
              </w:rPr>
              <w:t>5.</w:t>
            </w:r>
            <w:r>
              <w:rPr>
                <w:rFonts w:hint="eastAsia"/>
                <w:color w:val="auto"/>
                <w:highlight w:val="none"/>
              </w:rPr>
              <w:t>财务要求：投标人财务状况良好，提供企业近三年（2021年度、2022年度、2023年度）经会计师事务所或审计机构审计完整的年度财务审计报告（成立时间不足三年的按实际成立以来年限提供）；</w:t>
            </w:r>
          </w:p>
          <w:p>
            <w:pPr>
              <w:ind w:left="0" w:leftChars="0" w:firstLine="0" w:firstLineChars="0"/>
              <w:rPr>
                <w:color w:val="auto"/>
                <w:highlight w:val="none"/>
              </w:rPr>
            </w:pPr>
            <w:r>
              <w:rPr>
                <w:rFonts w:hint="eastAsia"/>
                <w:color w:val="auto"/>
                <w:highlight w:val="none"/>
                <w:lang w:val="en-US" w:eastAsia="zh-CN"/>
              </w:rPr>
              <w:t>6.</w:t>
            </w:r>
            <w:r>
              <w:rPr>
                <w:rFonts w:hint="eastAsia"/>
                <w:color w:val="auto"/>
                <w:highlight w:val="none"/>
              </w:rPr>
              <w:t>信誉要求：</w:t>
            </w:r>
          </w:p>
          <w:p>
            <w:pPr>
              <w:ind w:left="0" w:leftChars="0" w:firstLine="0" w:firstLineChars="0"/>
              <w:rPr>
                <w:color w:val="auto"/>
                <w:highlight w:val="none"/>
              </w:rPr>
            </w:pPr>
            <w:r>
              <w:rPr>
                <w:rFonts w:hint="eastAsia"/>
                <w:color w:val="auto"/>
                <w:highlight w:val="none"/>
              </w:rPr>
              <w:t>(1)投标企业被列入“中国执行信息公开网——全国法院失信被执行人名单信息公布与查询平台”失信被执行人的、“中国政府采购网——政府采购严重违法失信行为记录名单”的、被列入“国家税务总局——重大税收违法失信案件信息公布栏”重大税收违法失信主体的，依法禁止参加本项目投标活动；</w:t>
            </w:r>
          </w:p>
          <w:p>
            <w:pPr>
              <w:ind w:left="0" w:leftChars="0" w:firstLine="0" w:firstLineChars="0"/>
              <w:rPr>
                <w:color w:val="auto"/>
                <w:highlight w:val="none"/>
              </w:rPr>
            </w:pPr>
            <w:r>
              <w:rPr>
                <w:rFonts w:hint="eastAsia"/>
                <w:color w:val="auto"/>
                <w:highlight w:val="none"/>
              </w:rPr>
              <w:t>(2)投标企业被列入“信用中国-严重失信主体名单查询 、信用河南失信惩戒对象名单、全国水利建设市场监管平台黑名单”的，禁止其参与本项目投标活动；</w:t>
            </w:r>
          </w:p>
          <w:p>
            <w:pPr>
              <w:ind w:left="0" w:leftChars="0" w:firstLine="0" w:firstLineChars="0"/>
              <w:rPr>
                <w:color w:val="auto"/>
                <w:highlight w:val="none"/>
              </w:rPr>
            </w:pPr>
            <w:r>
              <w:rPr>
                <w:rFonts w:hint="eastAsia"/>
                <w:color w:val="auto"/>
                <w:highlight w:val="none"/>
              </w:rPr>
              <w:t>（6）无行贿犯罪承诺函：投标人须出具“无行贿犯罪承诺函”，承诺对象包括法人、法定代表人、拟派项目总监、委托代理人，并对其真实性负责，若承诺不实，所造成的一切后果由投标人自行承担，出具时间应是本公告发布之后（格式见招标文件）；</w:t>
            </w:r>
          </w:p>
          <w:p>
            <w:pPr>
              <w:ind w:left="0" w:leftChars="0" w:firstLine="0" w:firstLineChars="0"/>
              <w:rPr>
                <w:color w:val="auto"/>
                <w:highlight w:val="none"/>
              </w:rPr>
            </w:pPr>
            <w:r>
              <w:rPr>
                <w:rFonts w:hint="eastAsia"/>
                <w:color w:val="auto"/>
                <w:highlight w:val="none"/>
                <w:lang w:val="en-US" w:eastAsia="zh-CN"/>
              </w:rPr>
              <w:t>7.</w:t>
            </w:r>
            <w:r>
              <w:rPr>
                <w:rFonts w:hint="eastAsia"/>
                <w:color w:val="auto"/>
                <w:highlight w:val="none"/>
              </w:rPr>
              <w:t>投标人可同时投报本项目多个标段，但只能中取其中一个标段，若中取多个标段，按投资额度较大的标段中取。</w:t>
            </w:r>
          </w:p>
          <w:p>
            <w:pPr>
              <w:ind w:left="0" w:leftChars="0" w:firstLine="0" w:firstLineChars="0"/>
              <w:rPr>
                <w:color w:val="auto"/>
                <w:highlight w:val="none"/>
              </w:rPr>
            </w:pPr>
            <w:r>
              <w:rPr>
                <w:rFonts w:hint="eastAsia"/>
                <w:color w:val="auto"/>
                <w:highlight w:val="none"/>
                <w:lang w:val="en-US" w:eastAsia="zh-CN"/>
              </w:rPr>
              <w:t>8.</w:t>
            </w:r>
            <w:r>
              <w:rPr>
                <w:rFonts w:hint="eastAsia"/>
                <w:color w:val="auto"/>
                <w:highlight w:val="none"/>
              </w:rPr>
              <w:t>本次招标不接受联合体投标。 </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297"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12</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投标保证金</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是否要求投标人递交投标保证金：</w:t>
            </w:r>
          </w:p>
          <w:p>
            <w:pPr>
              <w:ind w:left="0" w:leftChars="0" w:firstLine="0" w:firstLineChars="0"/>
              <w:rPr>
                <w:color w:val="auto"/>
                <w:highlight w:val="none"/>
              </w:rPr>
            </w:pPr>
            <w:r>
              <w:rPr>
                <w:rFonts w:hint="eastAsia"/>
                <w:color w:val="auto"/>
                <w:highlight w:val="none"/>
              </w:rPr>
              <w:fldChar w:fldCharType="begin"/>
            </w:r>
            <w:r>
              <w:rPr>
                <w:rFonts w:hint="eastAsia"/>
                <w:color w:val="auto"/>
                <w:highlight w:val="none"/>
              </w:rPr>
              <w:instrText xml:space="preserve"> eq \o\ac(□,√)</w:instrText>
            </w:r>
            <w:r>
              <w:rPr>
                <w:rFonts w:hint="eastAsia"/>
                <w:color w:val="auto"/>
                <w:highlight w:val="none"/>
              </w:rPr>
              <w:fldChar w:fldCharType="end"/>
            </w:r>
            <w:r>
              <w:rPr>
                <w:rFonts w:hint="eastAsia"/>
                <w:color w:val="auto"/>
                <w:highlight w:val="none"/>
              </w:rPr>
              <w:t>要求</w:t>
            </w:r>
          </w:p>
          <w:p>
            <w:pPr>
              <w:ind w:left="0" w:leftChars="0" w:firstLine="0" w:firstLineChars="0"/>
              <w:rPr>
                <w:color w:val="auto"/>
                <w:highlight w:val="none"/>
              </w:rPr>
            </w:pPr>
            <w:r>
              <w:rPr>
                <w:rFonts w:hint="eastAsia"/>
                <w:color w:val="auto"/>
                <w:highlight w:val="none"/>
              </w:rPr>
              <w:t>投标保证金的金额：</w:t>
            </w:r>
          </w:p>
          <w:p>
            <w:pPr>
              <w:ind w:left="0" w:leftChars="0" w:firstLine="0" w:firstLineChars="0"/>
              <w:rPr>
                <w:color w:val="auto"/>
                <w:highlight w:val="none"/>
              </w:rPr>
            </w:pPr>
            <w:r>
              <w:rPr>
                <w:rFonts w:hint="eastAsia"/>
                <w:color w:val="auto"/>
                <w:highlight w:val="none"/>
              </w:rPr>
              <w:t>监理1、2标段：20000.00元 /每标段（贰万元整）</w:t>
            </w:r>
          </w:p>
          <w:p>
            <w:pPr>
              <w:ind w:left="0" w:leftChars="0" w:firstLine="0" w:firstLineChars="0"/>
              <w:rPr>
                <w:color w:val="auto"/>
                <w:highlight w:val="none"/>
              </w:rPr>
            </w:pPr>
            <w:r>
              <w:rPr>
                <w:rFonts w:hint="eastAsia"/>
                <w:color w:val="auto"/>
                <w:highlight w:val="none"/>
              </w:rPr>
              <w:t>投标保证金提交截止时间：（同投标截止时间）</w:t>
            </w:r>
          </w:p>
          <w:p>
            <w:pPr>
              <w:ind w:left="0" w:leftChars="0" w:firstLine="0" w:firstLineChars="0"/>
              <w:rPr>
                <w:color w:val="auto"/>
                <w:highlight w:val="none"/>
              </w:rPr>
            </w:pPr>
            <w:r>
              <w:rPr>
                <w:rFonts w:hint="eastAsia"/>
                <w:color w:val="auto"/>
                <w:highlight w:val="none"/>
              </w:rPr>
              <w:t>投标保证金递交形式：转账或电子保函</w:t>
            </w:r>
          </w:p>
          <w:p>
            <w:pPr>
              <w:ind w:left="0" w:leftChars="0" w:firstLine="0" w:firstLineChars="0"/>
              <w:rPr>
                <w:color w:val="auto"/>
                <w:highlight w:val="none"/>
              </w:rPr>
            </w:pPr>
            <w:r>
              <w:rPr>
                <w:rFonts w:hint="eastAsia"/>
                <w:color w:val="auto"/>
                <w:highlight w:val="none"/>
              </w:rPr>
              <w:t>转账形式：投标人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pPr>
              <w:ind w:left="0" w:leftChars="0" w:firstLine="0" w:firstLineChars="0"/>
              <w:rPr>
                <w:color w:val="auto"/>
                <w:highlight w:val="none"/>
              </w:rPr>
            </w:pPr>
            <w:r>
              <w:rPr>
                <w:rFonts w:hint="eastAsia"/>
                <w:color w:val="auto"/>
                <w:highlight w:val="none"/>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pPr>
              <w:ind w:left="0" w:leftChars="0" w:firstLine="0" w:firstLineChars="0"/>
              <w:rPr>
                <w:color w:val="auto"/>
                <w:highlight w:val="none"/>
              </w:rPr>
            </w:pPr>
            <w:r>
              <w:rPr>
                <w:rFonts w:hint="eastAsia"/>
                <w:color w:val="auto"/>
                <w:highlight w:val="none"/>
              </w:rPr>
              <w:t>保函形式：采用保函形式缴纳的，投标人在投标截止时间前须由专业担保机构出具投标保证金保函，并将保函证明按规定附于投标文件内并上传至项目资格审查材料内。</w:t>
            </w:r>
          </w:p>
          <w:p>
            <w:pPr>
              <w:ind w:left="0" w:leftChars="0" w:firstLine="0" w:firstLineChars="0"/>
              <w:rPr>
                <w:color w:val="auto"/>
                <w:highlight w:val="none"/>
              </w:rPr>
            </w:pPr>
            <w:r>
              <w:rPr>
                <w:rFonts w:hint="eastAsia"/>
                <w:color w:val="auto"/>
                <w:highlight w:val="none"/>
              </w:rPr>
              <w:t>项目开标前，投标人在交易系统“电子保函申请”页面进行电子保函申请，出具保函的相关机构审批通过后，将以密文形式出具电子保函文件，投标人在金融服务平台可下载该保函文件。</w:t>
            </w:r>
          </w:p>
          <w:p>
            <w:pPr>
              <w:ind w:left="0" w:leftChars="0" w:firstLine="0" w:firstLineChars="0"/>
              <w:rPr>
                <w:color w:val="auto"/>
                <w:highlight w:val="none"/>
              </w:rPr>
            </w:pPr>
            <w:r>
              <w:rPr>
                <w:rFonts w:hint="eastAsia"/>
                <w:color w:val="auto"/>
                <w:highlight w:val="none"/>
              </w:rPr>
              <w:t>电子保函的申请、使用、查看及应用过程中遇到问题可以咨询以下部门：</w:t>
            </w:r>
          </w:p>
          <w:p>
            <w:pPr>
              <w:ind w:left="0" w:leftChars="0" w:firstLine="0" w:firstLineChars="0"/>
              <w:rPr>
                <w:color w:val="auto"/>
                <w:highlight w:val="none"/>
              </w:rPr>
            </w:pPr>
            <w:r>
              <w:rPr>
                <w:rFonts w:hint="eastAsia"/>
                <w:color w:val="auto"/>
                <w:highlight w:val="none"/>
              </w:rPr>
              <w:t>交易平台技术咨询：0396-2613088</w:t>
            </w:r>
          </w:p>
          <w:p>
            <w:pPr>
              <w:ind w:left="0" w:leftChars="0" w:firstLine="0" w:firstLineChars="0"/>
              <w:rPr>
                <w:color w:val="auto"/>
                <w:highlight w:val="none"/>
              </w:rPr>
            </w:pPr>
            <w:r>
              <w:rPr>
                <w:rFonts w:hint="eastAsia"/>
                <w:color w:val="auto"/>
                <w:highlight w:val="none"/>
              </w:rPr>
              <w:t>银行保函技术支持：0571-85817300-884</w:t>
            </w:r>
          </w:p>
          <w:p>
            <w:pPr>
              <w:ind w:left="0" w:leftChars="0" w:firstLine="0" w:firstLineChars="0"/>
              <w:rPr>
                <w:color w:val="auto"/>
                <w:highlight w:val="none"/>
              </w:rPr>
            </w:pPr>
            <w:r>
              <w:rPr>
                <w:rFonts w:hint="eastAsia"/>
                <w:color w:val="auto"/>
                <w:highlight w:val="none"/>
              </w:rPr>
              <w:t>保险保函技术支持：0371-69158801、17319726812</w:t>
            </w:r>
          </w:p>
          <w:p>
            <w:pPr>
              <w:ind w:left="0" w:leftChars="0" w:firstLine="0" w:firstLineChars="0"/>
              <w:rPr>
                <w:color w:val="auto"/>
                <w:highlight w:val="none"/>
              </w:rPr>
            </w:pPr>
            <w:r>
              <w:rPr>
                <w:rFonts w:hint="eastAsia"/>
                <w:color w:val="auto"/>
                <w:highlight w:val="none"/>
              </w:rPr>
              <w:t>担保保函技术支持：0371-58670003</w:t>
            </w:r>
          </w:p>
          <w:p>
            <w:pPr>
              <w:ind w:left="0" w:leftChars="0" w:firstLine="0" w:firstLineChars="0"/>
              <w:rPr>
                <w:color w:val="auto"/>
                <w:highlight w:val="none"/>
              </w:rPr>
            </w:pPr>
            <w:r>
              <w:rPr>
                <w:rFonts w:hint="eastAsia"/>
                <w:color w:val="auto"/>
                <w:highlight w:val="none"/>
              </w:rPr>
              <w:t>□不要求</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13</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履约保证金</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无</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14</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招标文件发售</w:t>
            </w:r>
          </w:p>
          <w:p>
            <w:pPr>
              <w:ind w:left="0" w:leftChars="0" w:firstLine="0" w:firstLineChars="0"/>
              <w:jc w:val="center"/>
              <w:rPr>
                <w:rFonts w:hint="eastAsia"/>
                <w:color w:val="auto"/>
                <w:highlight w:val="none"/>
              </w:rPr>
            </w:pPr>
            <w:r>
              <w:rPr>
                <w:rFonts w:hint="eastAsia"/>
                <w:color w:val="auto"/>
                <w:highlight w:val="none"/>
              </w:rPr>
              <w:t>信息</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免费下载招标文件及相关资料</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15</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招标控制价</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rFonts w:hint="default"/>
                <w:color w:val="auto"/>
                <w:highlight w:val="none"/>
                <w:lang w:val="en-US" w:eastAsia="zh-CN"/>
              </w:rPr>
            </w:pPr>
            <w:r>
              <w:rPr>
                <w:rFonts w:hint="eastAsia"/>
                <w:color w:val="auto"/>
                <w:highlight w:val="none"/>
              </w:rPr>
              <w:t>监理1标段：</w:t>
            </w:r>
            <w:r>
              <w:rPr>
                <w:rFonts w:hint="eastAsia"/>
                <w:color w:val="auto"/>
                <w:highlight w:val="none"/>
                <w:lang w:val="en-US" w:eastAsia="zh-CN"/>
              </w:rPr>
              <w:t>¥2103400.00元</w:t>
            </w:r>
          </w:p>
          <w:p>
            <w:pPr>
              <w:ind w:left="0" w:leftChars="0" w:firstLine="0" w:firstLineChars="0"/>
              <w:rPr>
                <w:rFonts w:hint="default"/>
                <w:color w:val="auto"/>
                <w:highlight w:val="none"/>
                <w:lang w:val="en-US" w:eastAsia="zh-CN"/>
              </w:rPr>
            </w:pPr>
            <w:r>
              <w:rPr>
                <w:rFonts w:hint="eastAsia"/>
                <w:color w:val="auto"/>
                <w:highlight w:val="none"/>
              </w:rPr>
              <w:t>监理2标段：</w:t>
            </w:r>
            <w:r>
              <w:rPr>
                <w:rFonts w:hint="eastAsia"/>
                <w:color w:val="auto"/>
                <w:highlight w:val="none"/>
                <w:lang w:val="en-US" w:eastAsia="zh-CN"/>
              </w:rPr>
              <w:t>¥3079400.00元</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16</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投标有效期</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60日历天（从投标截止之日算起）</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114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17</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投标文件份数</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加密的电子投标文件壹份（*.zmdtf ）格式，在会员系统指定位置上传）</w:t>
            </w:r>
          </w:p>
          <w:p>
            <w:pPr>
              <w:ind w:left="0" w:leftChars="0" w:firstLine="0" w:firstLineChars="0"/>
              <w:rPr>
                <w:color w:val="auto"/>
                <w:highlight w:val="none"/>
              </w:rPr>
            </w:pPr>
            <w:r>
              <w:rPr>
                <w:rFonts w:hint="eastAsia"/>
                <w:color w:val="auto"/>
                <w:highlight w:val="none"/>
              </w:rPr>
              <w:t>2、纸质投标文件：确定中标后三日内，中标人提供与上传电子投标文件一致的正本 壹 份，副本叁份。</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18</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签字或盖章要求</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1、电子投标文件</w:t>
            </w:r>
          </w:p>
          <w:p>
            <w:pPr>
              <w:ind w:left="0" w:leftChars="0" w:firstLine="0" w:firstLineChars="0"/>
              <w:rPr>
                <w:color w:val="auto"/>
                <w:highlight w:val="none"/>
              </w:rPr>
            </w:pPr>
            <w:r>
              <w:rPr>
                <w:rFonts w:hint="eastAsia"/>
                <w:color w:val="auto"/>
                <w:highlight w:val="none"/>
              </w:rPr>
              <w:t>（1）经过加密的电子投标文件上传件为正本</w:t>
            </w:r>
          </w:p>
          <w:p>
            <w:pPr>
              <w:ind w:left="0" w:leftChars="0" w:firstLine="0" w:firstLineChars="0"/>
              <w:rPr>
                <w:color w:val="auto"/>
                <w:highlight w:val="none"/>
              </w:rPr>
            </w:pPr>
            <w:r>
              <w:rPr>
                <w:rFonts w:hint="eastAsia"/>
                <w:color w:val="auto"/>
                <w:highlight w:val="none"/>
              </w:rPr>
              <w:t>（2）所有要求投标人加盖公章的地方都须加盖投标人单位的 CA印章。</w:t>
            </w:r>
          </w:p>
          <w:p>
            <w:pPr>
              <w:ind w:left="0" w:leftChars="0" w:firstLine="0" w:firstLineChars="0"/>
              <w:rPr>
                <w:color w:val="auto"/>
                <w:highlight w:val="none"/>
              </w:rPr>
            </w:pPr>
            <w:r>
              <w:rPr>
                <w:rFonts w:hint="eastAsia"/>
                <w:color w:val="auto"/>
                <w:highlight w:val="none"/>
              </w:rPr>
              <w:t xml:space="preserve">（3）所有要求法定代表人签字的地方都须加盖法定代表人 CA 印章,需要委托代理人签字的地方，可由委托代理人签字后以图片的形式扫描上传。 </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19</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电子投标文件U盘、纸质投标文件密封要求</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无需提供电子投标文件U 盘、纸质投标文件</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20</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投标截止时间</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2024年</w:t>
            </w:r>
            <w:r>
              <w:rPr>
                <w:rFonts w:hint="eastAsia"/>
                <w:color w:val="auto"/>
                <w:highlight w:val="none"/>
                <w:lang w:val="en-US" w:eastAsia="zh-CN"/>
              </w:rPr>
              <w:t>05</w:t>
            </w:r>
            <w:r>
              <w:rPr>
                <w:rFonts w:hint="eastAsia"/>
                <w:color w:val="auto"/>
                <w:highlight w:val="none"/>
              </w:rPr>
              <w:t>月</w:t>
            </w:r>
            <w:r>
              <w:rPr>
                <w:rFonts w:hint="eastAsia"/>
                <w:color w:val="auto"/>
                <w:highlight w:val="none"/>
                <w:lang w:val="en-US" w:eastAsia="zh-CN"/>
              </w:rPr>
              <w:t>20</w:t>
            </w:r>
            <w:r>
              <w:rPr>
                <w:rFonts w:hint="eastAsia"/>
                <w:color w:val="auto"/>
                <w:highlight w:val="none"/>
              </w:rPr>
              <w:t>日09时00分（北京时间）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21</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投标文件递交</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各投标人应在投标截止时间前上传加密的电子投标文件（*.zmdtf）到会员系统的指定位置。上传时必须得到电脑“上传成功”的确认回复后方为上传成功。请投标人在上传前务必认真检查上传投标文件是否完整、正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22</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tcPr>
          <w:p>
            <w:pPr>
              <w:ind w:left="0" w:leftChars="0" w:firstLine="0" w:firstLineChars="0"/>
              <w:jc w:val="center"/>
              <w:rPr>
                <w:rFonts w:hint="eastAsia"/>
                <w:color w:val="auto"/>
                <w:highlight w:val="none"/>
              </w:rPr>
            </w:pPr>
          </w:p>
          <w:p>
            <w:pPr>
              <w:ind w:left="0" w:leftChars="0" w:firstLine="0" w:firstLineChars="0"/>
              <w:jc w:val="center"/>
              <w:rPr>
                <w:rFonts w:hint="eastAsia"/>
                <w:color w:val="auto"/>
                <w:highlight w:val="none"/>
              </w:rPr>
            </w:pPr>
          </w:p>
          <w:p>
            <w:pPr>
              <w:ind w:left="0" w:leftChars="0" w:firstLine="0" w:firstLineChars="0"/>
              <w:jc w:val="center"/>
              <w:rPr>
                <w:rFonts w:hint="eastAsia"/>
                <w:color w:val="auto"/>
                <w:highlight w:val="none"/>
              </w:rPr>
            </w:pPr>
            <w:r>
              <w:rPr>
                <w:rFonts w:hint="eastAsia"/>
                <w:color w:val="auto"/>
                <w:highlight w:val="none"/>
              </w:rPr>
              <w:t>资格审查文件及业绩 信誉资料原件的递交</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tcPr>
          <w:p>
            <w:pPr>
              <w:ind w:left="0" w:leftChars="0" w:firstLine="0" w:firstLineChars="0"/>
              <w:rPr>
                <w:color w:val="auto"/>
                <w:highlight w:val="none"/>
              </w:rPr>
            </w:pPr>
            <w:r>
              <w:rPr>
                <w:rFonts w:hint="eastAsia"/>
                <w:color w:val="auto"/>
                <w:highlight w:val="none"/>
              </w:rPr>
              <w:t>投标人无需递交纸质投标文件及原件，投标企业应在项目开标前，将涉及的资格审查、业绩、荣誉、财务等投标所需材料扫描件，上传至驻马店市公共资源电子交易平台诚信库中，并且在“资格审查材料（不见面开标）”菜单下按标段挑选该标段投标所用资格审查材料，以供评标过程中评委查阅。评标时以电子投标文件及“资格审查材料（不见面开标）”菜单中选取的信息为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23</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开标时间、地点</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开标时间：2024年</w:t>
            </w:r>
            <w:r>
              <w:rPr>
                <w:rFonts w:hint="eastAsia"/>
                <w:color w:val="auto"/>
                <w:highlight w:val="none"/>
                <w:lang w:val="en-US" w:eastAsia="zh-CN"/>
              </w:rPr>
              <w:t>05</w:t>
            </w:r>
            <w:r>
              <w:rPr>
                <w:rFonts w:hint="eastAsia"/>
                <w:color w:val="auto"/>
                <w:highlight w:val="none"/>
              </w:rPr>
              <w:t>月</w:t>
            </w:r>
            <w:r>
              <w:rPr>
                <w:rFonts w:hint="eastAsia"/>
                <w:color w:val="auto"/>
                <w:highlight w:val="none"/>
                <w:lang w:val="en-US" w:eastAsia="zh-CN"/>
              </w:rPr>
              <w:t>20</w:t>
            </w:r>
            <w:r>
              <w:rPr>
                <w:rFonts w:hint="eastAsia"/>
                <w:color w:val="auto"/>
                <w:highlight w:val="none"/>
              </w:rPr>
              <w:t>日09时00分（北京时间）</w:t>
            </w:r>
          </w:p>
          <w:p>
            <w:pPr>
              <w:ind w:left="0" w:leftChars="0" w:firstLine="0" w:firstLineChars="0"/>
              <w:rPr>
                <w:color w:val="auto"/>
                <w:highlight w:val="none"/>
              </w:rPr>
            </w:pPr>
            <w:r>
              <w:rPr>
                <w:rFonts w:hint="eastAsia"/>
                <w:color w:val="auto"/>
                <w:highlight w:val="none"/>
              </w:rPr>
              <w:t>开标地点：驻马店市公共资源交易中心不见面开标</w:t>
            </w:r>
            <w:bookmarkStart w:id="434" w:name="_GoBack"/>
            <w:bookmarkEnd w:id="434"/>
            <w:r>
              <w:rPr>
                <w:rFonts w:hint="eastAsia"/>
                <w:color w:val="auto"/>
                <w:highlight w:val="none"/>
              </w:rPr>
              <w:t>室</w:t>
            </w:r>
          </w:p>
          <w:p>
            <w:pPr>
              <w:ind w:left="0" w:leftChars="0" w:firstLine="0" w:firstLineChars="0"/>
              <w:rPr>
                <w:color w:val="auto"/>
                <w:highlight w:val="none"/>
              </w:rPr>
            </w:pPr>
            <w:r>
              <w:rPr>
                <w:rFonts w:hint="eastAsia"/>
                <w:color w:val="auto"/>
                <w:highlight w:val="none"/>
              </w:rPr>
              <w:t xml:space="preserve">（电子投标文件必须凭制作投标文件所用的 CA 密匙在5分钟内完成解密,如果5分钟内未完成解密，按情况规定可以延长5分钟，若规定时间内未完成解密，视为自动放弃）。 </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24</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投标人要求澄清招标文件的截止时间</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时间：递交投标文件截止之日15日前</w:t>
            </w:r>
          </w:p>
          <w:p>
            <w:pPr>
              <w:ind w:left="0" w:leftChars="0" w:firstLine="0" w:firstLineChars="0"/>
              <w:rPr>
                <w:color w:val="auto"/>
                <w:highlight w:val="none"/>
              </w:rPr>
            </w:pPr>
            <w:r>
              <w:rPr>
                <w:rFonts w:hint="eastAsia"/>
                <w:color w:val="auto"/>
                <w:highlight w:val="none"/>
              </w:rPr>
              <w:t>形式：登录交易平台匿名提出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25</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招标人书面澄清的时间</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递交投标文件截止之日15日前</w:t>
            </w:r>
          </w:p>
          <w:p>
            <w:pPr>
              <w:ind w:left="0" w:leftChars="0" w:firstLine="0" w:firstLineChars="0"/>
              <w:rPr>
                <w:color w:val="auto"/>
                <w:highlight w:val="none"/>
              </w:rPr>
            </w:pPr>
            <w:r>
              <w:rPr>
                <w:rFonts w:hint="eastAsia"/>
                <w:color w:val="auto"/>
                <w:highlight w:val="none"/>
              </w:rPr>
              <w:t>形式：交易平台书面澄清</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26</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投标人确认收到招标文件澄清的时间</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招标文件的补充文件发出之日2日内</w:t>
            </w:r>
          </w:p>
          <w:p>
            <w:pPr>
              <w:ind w:left="0" w:leftChars="0" w:firstLine="0" w:firstLineChars="0"/>
              <w:rPr>
                <w:color w:val="auto"/>
                <w:highlight w:val="none"/>
              </w:rPr>
            </w:pPr>
            <w:r>
              <w:rPr>
                <w:rFonts w:hint="eastAsia"/>
                <w:color w:val="auto"/>
                <w:highlight w:val="none"/>
              </w:rPr>
              <w:t>形式：登录交易平台匿名确认</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27</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投标人确认收到招标文件修改的时间</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招标文件的补充文件发出之日2日内</w:t>
            </w:r>
          </w:p>
          <w:p>
            <w:pPr>
              <w:ind w:left="0" w:leftChars="0" w:firstLine="0" w:firstLineChars="0"/>
              <w:rPr>
                <w:color w:val="auto"/>
                <w:highlight w:val="none"/>
              </w:rPr>
            </w:pPr>
            <w:r>
              <w:rPr>
                <w:rFonts w:hint="eastAsia"/>
                <w:color w:val="auto"/>
                <w:highlight w:val="none"/>
              </w:rPr>
              <w:t>形式：登录交易平台匿名确认</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28</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投标人对招标文件提出异议的截止时间</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递交投标文件截止之日10日前，招标人收到异议，3日内给予答复；逾期未提出的视为无异议。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313"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29</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开标程序</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30</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评标委员会的组建</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tcPr>
          <w:p>
            <w:pPr>
              <w:ind w:left="0" w:leftChars="0" w:firstLine="0" w:firstLineChars="0"/>
              <w:rPr>
                <w:color w:val="auto"/>
                <w:highlight w:val="none"/>
              </w:rPr>
            </w:pPr>
            <w:r>
              <w:rPr>
                <w:rFonts w:hint="eastAsia"/>
                <w:color w:val="auto"/>
                <w:highlight w:val="none"/>
              </w:rPr>
              <w:t>评标委员会由招标人依法组建，由 7 人组成；</w:t>
            </w:r>
          </w:p>
          <w:p>
            <w:pPr>
              <w:ind w:left="0" w:leftChars="0" w:firstLine="0" w:firstLineChars="0"/>
              <w:rPr>
                <w:color w:val="auto"/>
                <w:highlight w:val="none"/>
              </w:rPr>
            </w:pPr>
            <w:r>
              <w:rPr>
                <w:rFonts w:hint="eastAsia"/>
                <w:color w:val="auto"/>
                <w:highlight w:val="none"/>
              </w:rPr>
              <w:t xml:space="preserve">其中招标人代表2人（招标人代表应由具有评标专家相应或者类似条件的人员担任），评标专家5人 （经济类1人，技术类4人）。 </w:t>
            </w:r>
          </w:p>
          <w:p>
            <w:pPr>
              <w:ind w:left="0" w:leftChars="0" w:firstLine="0" w:firstLineChars="0"/>
              <w:rPr>
                <w:color w:val="auto"/>
                <w:highlight w:val="none"/>
              </w:rPr>
            </w:pPr>
            <w:r>
              <w:rPr>
                <w:rFonts w:hint="eastAsia"/>
                <w:color w:val="auto"/>
                <w:highlight w:val="none"/>
              </w:rPr>
              <w:t>评标专家确定方式：</w:t>
            </w:r>
          </w:p>
          <w:p>
            <w:pPr>
              <w:ind w:left="0" w:leftChars="0" w:firstLine="0" w:firstLineChars="0"/>
              <w:rPr>
                <w:color w:val="auto"/>
                <w:highlight w:val="none"/>
              </w:rPr>
            </w:pPr>
            <w:r>
              <w:rPr>
                <w:rFonts w:hint="eastAsia"/>
                <w:color w:val="auto"/>
                <w:highlight w:val="none"/>
              </w:rPr>
              <w:sym w:font="Wingdings 2" w:char="0052"/>
            </w:r>
            <w:r>
              <w:rPr>
                <w:rFonts w:hint="eastAsia"/>
                <w:color w:val="auto"/>
                <w:highlight w:val="none"/>
              </w:rPr>
              <w:t>开标时在监督部门的监督下从《河南省综合评标专家库》中采用电脑随机抽签方式确定,负责评标活动。（默认）</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1134"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31</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本次评标采用的评标方法</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color w:val="auto"/>
                <w:highlight w:val="none"/>
              </w:rPr>
              <w:t>☑</w:t>
            </w:r>
            <w:r>
              <w:rPr>
                <w:rFonts w:hint="eastAsia"/>
                <w:color w:val="auto"/>
                <w:highlight w:val="none"/>
              </w:rPr>
              <w:t>综合评估法       □合理低价评标法    □（其他）</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32</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是否授权评标委员会确定中标人</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tcPr>
          <w:p>
            <w:pPr>
              <w:ind w:left="0" w:leftChars="0" w:firstLine="0" w:firstLineChars="0"/>
              <w:rPr>
                <w:color w:val="auto"/>
                <w:highlight w:val="none"/>
              </w:rPr>
            </w:pPr>
            <w:r>
              <w:rPr>
                <w:rFonts w:hint="eastAsia"/>
                <w:color w:val="auto"/>
                <w:highlight w:val="none"/>
              </w:rPr>
              <w:sym w:font="Wingdings" w:char="00A8"/>
            </w:r>
            <w:r>
              <w:rPr>
                <w:rFonts w:hint="eastAsia"/>
                <w:color w:val="auto"/>
                <w:highlight w:val="none"/>
              </w:rPr>
              <w:t>是</w:t>
            </w:r>
          </w:p>
          <w:p>
            <w:pPr>
              <w:ind w:left="0" w:leftChars="0" w:firstLine="0" w:firstLineChars="0"/>
              <w:rPr>
                <w:color w:val="auto"/>
                <w:highlight w:val="none"/>
              </w:rPr>
            </w:pPr>
            <w:r>
              <w:rPr>
                <w:color w:val="auto"/>
                <w:highlight w:val="none"/>
              </w:rPr>
              <w:t>☑</w:t>
            </w:r>
            <w:r>
              <w:rPr>
                <w:rFonts w:hint="eastAsia"/>
                <w:color w:val="auto"/>
                <w:highlight w:val="none"/>
              </w:rPr>
              <w:t>否 ，推荐的中标候选人数：推荐 1-3 名中标候选人。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33</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重新招标和不再招标</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bookmarkStart w:id="20" w:name="_Toc24798"/>
            <w:bookmarkStart w:id="21" w:name="_Toc24781"/>
            <w:bookmarkStart w:id="22" w:name="_Toc20091"/>
            <w:r>
              <w:rPr>
                <w:rFonts w:hint="eastAsia"/>
                <w:color w:val="auto"/>
                <w:highlight w:val="none"/>
              </w:rPr>
              <w:t>1、重新招标</w:t>
            </w:r>
            <w:bookmarkEnd w:id="20"/>
            <w:bookmarkEnd w:id="21"/>
            <w:bookmarkEnd w:id="22"/>
          </w:p>
          <w:p>
            <w:pPr>
              <w:ind w:left="0" w:leftChars="0" w:firstLine="0" w:firstLineChars="0"/>
              <w:rPr>
                <w:color w:val="auto"/>
                <w:highlight w:val="none"/>
              </w:rPr>
            </w:pPr>
            <w:r>
              <w:rPr>
                <w:rFonts w:hint="eastAsia"/>
                <w:color w:val="auto"/>
                <w:highlight w:val="none"/>
              </w:rPr>
              <w:t>有下列情形之一的，招标人将重新招标：</w:t>
            </w:r>
          </w:p>
          <w:p>
            <w:pPr>
              <w:ind w:left="0" w:leftChars="0" w:firstLine="0" w:firstLineChars="0"/>
              <w:rPr>
                <w:color w:val="auto"/>
                <w:highlight w:val="none"/>
              </w:rPr>
            </w:pPr>
            <w:r>
              <w:rPr>
                <w:rFonts w:hint="eastAsia"/>
                <w:color w:val="auto"/>
                <w:highlight w:val="none"/>
              </w:rPr>
              <w:t>（1）投标截止时间止，投标人少于3个的；</w:t>
            </w:r>
          </w:p>
          <w:p>
            <w:pPr>
              <w:ind w:left="0" w:leftChars="0" w:firstLine="0" w:firstLineChars="0"/>
              <w:rPr>
                <w:color w:val="auto"/>
                <w:highlight w:val="none"/>
              </w:rPr>
            </w:pPr>
            <w:r>
              <w:rPr>
                <w:rFonts w:hint="eastAsia"/>
                <w:color w:val="auto"/>
                <w:highlight w:val="none"/>
              </w:rPr>
              <w:t>（2）经评标委员会评审后否决所有投标的。</w:t>
            </w:r>
          </w:p>
          <w:p>
            <w:pPr>
              <w:ind w:left="0" w:leftChars="0" w:firstLine="0" w:firstLineChars="0"/>
              <w:rPr>
                <w:color w:val="auto"/>
                <w:highlight w:val="none"/>
              </w:rPr>
            </w:pPr>
            <w:bookmarkStart w:id="23" w:name="_Toc6958"/>
            <w:bookmarkStart w:id="24" w:name="_Toc24170"/>
            <w:bookmarkStart w:id="25" w:name="_Toc11247"/>
            <w:r>
              <w:rPr>
                <w:rFonts w:hint="eastAsia"/>
                <w:color w:val="auto"/>
                <w:highlight w:val="none"/>
              </w:rPr>
              <w:t>2、不再招标</w:t>
            </w:r>
            <w:bookmarkEnd w:id="23"/>
            <w:bookmarkEnd w:id="24"/>
            <w:bookmarkEnd w:id="25"/>
          </w:p>
          <w:p>
            <w:pPr>
              <w:ind w:left="0" w:leftChars="0" w:firstLine="0" w:firstLineChars="0"/>
              <w:rPr>
                <w:color w:val="auto"/>
                <w:highlight w:val="none"/>
              </w:rPr>
            </w:pPr>
            <w:r>
              <w:rPr>
                <w:rFonts w:hint="eastAsia"/>
                <w:color w:val="auto"/>
                <w:highlight w:val="none"/>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34</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中标候选人公示</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招标人收到评标委员会评标报告后3日内，应将中标候选人的情况在本招标项目招标公告（文件）发布的同一媒介予以公示，公示期3个工作日。投标人对中标候选人公示有异议的，应在公示期内以书面形式（加盖单位公章且经法人签字）向招标人或代理机构提出书面异议，须由法定代表人或其原授权代表携营业执照副本（原件及加盖公章的复印件）及本人身份证（原件及加盖公章的复印件）一并提交（邮寄、传真件等不予受理），并以质疑函接收确认日期作为受理时间。逾期未提交或未按照要求提交的质疑函将不予受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35</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知识产权</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36</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同义词语</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构成招标文件组成部分的“通用合同条款”、“专用合同条款”、“技术标准和要求”等章节中出现的措辞“发包人”和“承包人”，在招标投标阶段应当分别按“招标人”和“投标人”进行理解。</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37</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监督</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 xml:space="preserve">驻马店市水利局 </w:t>
            </w:r>
          </w:p>
          <w:p>
            <w:pPr>
              <w:ind w:left="0" w:leftChars="0" w:firstLine="0" w:firstLineChars="0"/>
              <w:rPr>
                <w:color w:val="auto"/>
                <w:highlight w:val="none"/>
              </w:rPr>
            </w:pPr>
            <w:r>
              <w:rPr>
                <w:rFonts w:hint="eastAsia"/>
                <w:color w:val="auto"/>
                <w:highlight w:val="none"/>
              </w:rPr>
              <w:t>办公地址：驻马店市泰山路519号</w:t>
            </w:r>
          </w:p>
          <w:p>
            <w:pPr>
              <w:ind w:left="0" w:leftChars="0" w:firstLine="0" w:firstLineChars="0"/>
              <w:rPr>
                <w:color w:val="auto"/>
                <w:highlight w:val="none"/>
              </w:rPr>
            </w:pPr>
            <w:r>
              <w:rPr>
                <w:rFonts w:hint="eastAsia"/>
                <w:color w:val="auto"/>
                <w:highlight w:val="none"/>
              </w:rPr>
              <w:t>电    话：0396-2690961</w:t>
            </w:r>
          </w:p>
          <w:p>
            <w:pPr>
              <w:ind w:left="0" w:leftChars="0" w:firstLine="0" w:firstLineChars="0"/>
              <w:rPr>
                <w:color w:val="auto"/>
                <w:highlight w:val="none"/>
              </w:rPr>
            </w:pPr>
            <w:r>
              <w:rPr>
                <w:rFonts w:hint="eastAsia"/>
                <w:color w:val="auto"/>
                <w:highlight w:val="none"/>
              </w:rPr>
              <w:t>驻马店市发展和改革委员会</w:t>
            </w:r>
          </w:p>
          <w:p>
            <w:pPr>
              <w:ind w:left="0" w:leftChars="0" w:firstLine="0" w:firstLineChars="0"/>
              <w:rPr>
                <w:color w:val="auto"/>
                <w:highlight w:val="none"/>
              </w:rPr>
            </w:pPr>
            <w:r>
              <w:rPr>
                <w:rFonts w:hint="eastAsia"/>
                <w:color w:val="auto"/>
                <w:highlight w:val="none"/>
              </w:rPr>
              <w:t>办公地址：河南省驻马店市开源大道56号</w:t>
            </w:r>
          </w:p>
          <w:p>
            <w:pPr>
              <w:ind w:left="0" w:leftChars="0" w:firstLine="0" w:firstLineChars="0"/>
              <w:rPr>
                <w:color w:val="auto"/>
                <w:highlight w:val="none"/>
              </w:rPr>
            </w:pPr>
            <w:r>
              <w:rPr>
                <w:rFonts w:hint="eastAsia"/>
                <w:color w:val="auto"/>
                <w:highlight w:val="none"/>
              </w:rPr>
              <w:t>电    话：0396-2600676</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2725" w:hRule="atLeast"/>
          <w:jc w:val="center"/>
        </w:trPr>
        <w:tc>
          <w:tcPr>
            <w:tcW w:w="729" w:type="dxa"/>
            <w:tcBorders>
              <w:top w:val="single" w:color="000000" w:sz="6" w:space="0"/>
              <w:left w:val="single" w:color="000000" w:sz="12" w:space="0"/>
              <w:bottom w:val="single" w:color="auto" w:sz="4"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38</w:t>
            </w:r>
          </w:p>
        </w:tc>
        <w:tc>
          <w:tcPr>
            <w:tcW w:w="2308" w:type="dxa"/>
            <w:tcBorders>
              <w:top w:val="single" w:color="000000" w:sz="6" w:space="0"/>
              <w:left w:val="single" w:color="000000" w:sz="6" w:space="0"/>
              <w:bottom w:val="single" w:color="auto" w:sz="4"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解释权</w:t>
            </w:r>
          </w:p>
        </w:tc>
        <w:tc>
          <w:tcPr>
            <w:tcW w:w="6334" w:type="dxa"/>
            <w:tcBorders>
              <w:top w:val="single" w:color="000000" w:sz="6" w:space="0"/>
              <w:left w:val="single" w:color="000000" w:sz="6" w:space="0"/>
              <w:bottom w:val="single" w:color="auto" w:sz="4"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558" w:hRule="atLeast"/>
          <w:jc w:val="center"/>
        </w:trPr>
        <w:tc>
          <w:tcPr>
            <w:tcW w:w="729" w:type="dxa"/>
            <w:tcBorders>
              <w:top w:val="single" w:color="auto" w:sz="4"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default" w:eastAsia="宋体"/>
                <w:color w:val="auto"/>
                <w:highlight w:val="none"/>
                <w:lang w:val="en-US" w:eastAsia="zh-CN"/>
              </w:rPr>
            </w:pPr>
            <w:r>
              <w:rPr>
                <w:rFonts w:hint="eastAsia"/>
                <w:color w:val="auto"/>
                <w:highlight w:val="none"/>
                <w:lang w:val="en-US" w:eastAsia="zh-CN"/>
              </w:rPr>
              <w:t>39</w:t>
            </w:r>
          </w:p>
        </w:tc>
        <w:tc>
          <w:tcPr>
            <w:tcW w:w="2308" w:type="dxa"/>
            <w:tcBorders>
              <w:top w:val="single" w:color="auto" w:sz="4"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spacing w:line="360" w:lineRule="auto"/>
              <w:ind w:left="0" w:leftChars="0" w:firstLine="0" w:firstLineChars="0"/>
              <w:jc w:val="center"/>
              <w:rPr>
                <w:rFonts w:hint="eastAsia"/>
                <w:color w:val="auto"/>
                <w:highlight w:val="none"/>
              </w:rPr>
            </w:pPr>
            <w:r>
              <w:rPr>
                <w:rFonts w:hint="eastAsia" w:ascii="宋体" w:hAnsi="宋体" w:cs="宋体"/>
                <w:color w:val="auto"/>
                <w:szCs w:val="21"/>
                <w:highlight w:val="none"/>
              </w:rPr>
              <w:t>评标方式</w:t>
            </w:r>
          </w:p>
        </w:tc>
        <w:tc>
          <w:tcPr>
            <w:tcW w:w="6334" w:type="dxa"/>
            <w:tcBorders>
              <w:top w:val="single" w:color="auto" w:sz="4"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adjustRightInd w:val="0"/>
              <w:snapToGrid w:val="0"/>
              <w:spacing w:line="360" w:lineRule="auto"/>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网络电子评标（电子评标过程中当出现突发情况，导致系统无法正常运行且短时间内无法修复时，经监督部门同意，延迟评标。）</w:t>
            </w:r>
          </w:p>
          <w:p>
            <w:pPr>
              <w:adjustRightInd w:val="0"/>
              <w:snapToGrid w:val="0"/>
              <w:spacing w:line="360" w:lineRule="auto"/>
              <w:ind w:left="0" w:leftChars="0" w:firstLine="0" w:firstLineChars="0"/>
              <w:rPr>
                <w:rFonts w:hint="eastAsia"/>
                <w:color w:val="auto"/>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远程网络电子评标</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78" w:hRule="atLeast"/>
          <w:jc w:val="center"/>
        </w:trPr>
        <w:tc>
          <w:tcPr>
            <w:tcW w:w="729" w:type="dxa"/>
            <w:tcBorders>
              <w:top w:val="single" w:color="000000" w:sz="6" w:space="0"/>
              <w:left w:val="single" w:color="000000" w:sz="12"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default" w:eastAsia="宋体"/>
                <w:color w:val="auto"/>
                <w:highlight w:val="none"/>
                <w:lang w:val="en-US" w:eastAsia="zh-CN"/>
              </w:rPr>
            </w:pPr>
            <w:r>
              <w:rPr>
                <w:rFonts w:hint="eastAsia"/>
                <w:color w:val="auto"/>
                <w:highlight w:val="none"/>
                <w:lang w:val="en-US" w:eastAsia="zh-CN"/>
              </w:rPr>
              <w:t>40</w:t>
            </w:r>
          </w:p>
        </w:tc>
        <w:tc>
          <w:tcPr>
            <w:tcW w:w="230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pPr>
              <w:ind w:left="0" w:leftChars="0" w:firstLine="0" w:firstLineChars="0"/>
              <w:jc w:val="center"/>
              <w:rPr>
                <w:rFonts w:hint="eastAsia"/>
                <w:color w:val="auto"/>
                <w:highlight w:val="none"/>
              </w:rPr>
            </w:pPr>
            <w:r>
              <w:rPr>
                <w:rFonts w:hint="eastAsia"/>
                <w:color w:val="auto"/>
                <w:highlight w:val="none"/>
              </w:rPr>
              <w:t>招标人补充的其他内容</w:t>
            </w:r>
          </w:p>
        </w:tc>
        <w:tc>
          <w:tcPr>
            <w:tcW w:w="6334" w:type="dxa"/>
            <w:tcBorders>
              <w:top w:val="single" w:color="000000" w:sz="6" w:space="0"/>
              <w:left w:val="single" w:color="000000" w:sz="6" w:space="0"/>
              <w:bottom w:val="single" w:color="000000" w:sz="6" w:space="0"/>
              <w:right w:val="single" w:color="000000" w:sz="12" w:space="0"/>
            </w:tcBorders>
            <w:noWrap/>
            <w:tcMar>
              <w:top w:w="0" w:type="dxa"/>
              <w:left w:w="0" w:type="dxa"/>
              <w:bottom w:w="0" w:type="dxa"/>
              <w:right w:w="0" w:type="dxa"/>
            </w:tcMar>
            <w:vAlign w:val="center"/>
          </w:tcPr>
          <w:p>
            <w:pPr>
              <w:ind w:left="0" w:leftChars="0" w:firstLine="0" w:firstLineChars="0"/>
              <w:rPr>
                <w:color w:val="auto"/>
                <w:highlight w:val="none"/>
              </w:rPr>
            </w:pPr>
            <w:r>
              <w:rPr>
                <w:rFonts w:hint="eastAsia"/>
                <w:color w:val="auto"/>
                <w:highlight w:val="none"/>
              </w:rPr>
              <w:t>踏勘现场：</w:t>
            </w:r>
            <w:r>
              <w:rPr>
                <w:color w:val="auto"/>
                <w:highlight w:val="none"/>
              </w:rPr>
              <w:t>☑</w:t>
            </w:r>
            <w:r>
              <w:rPr>
                <w:rFonts w:hint="eastAsia"/>
                <w:color w:val="auto"/>
                <w:highlight w:val="none"/>
              </w:rPr>
              <w:t>不组织；如需，投标人可自行踏勘。</w:t>
            </w:r>
          </w:p>
        </w:tc>
      </w:tr>
    </w:tbl>
    <w:p>
      <w:pPr>
        <w:ind w:left="0" w:leftChars="0" w:firstLine="0" w:firstLineChars="0"/>
        <w:rPr>
          <w:color w:val="auto"/>
          <w:highlight w:val="none"/>
        </w:rPr>
      </w:pPr>
      <w:bookmarkStart w:id="26" w:name="_Toc227474139"/>
      <w:bookmarkStart w:id="27" w:name="_Toc2636"/>
      <w:bookmarkStart w:id="28" w:name="_Toc280348995"/>
      <w:bookmarkStart w:id="29" w:name="_Toc536524977"/>
    </w:p>
    <w:p>
      <w:pPr>
        <w:pStyle w:val="2"/>
        <w:jc w:val="left"/>
        <w:rPr>
          <w:color w:val="auto"/>
          <w:sz w:val="30"/>
          <w:szCs w:val="30"/>
          <w:highlight w:val="none"/>
        </w:rPr>
      </w:pPr>
      <w:bookmarkStart w:id="30" w:name="_Toc18546"/>
      <w:r>
        <w:rPr>
          <w:rFonts w:hint="eastAsia"/>
          <w:color w:val="auto"/>
          <w:sz w:val="30"/>
          <w:szCs w:val="30"/>
          <w:highlight w:val="none"/>
        </w:rPr>
        <w:t>一、总则</w:t>
      </w:r>
      <w:bookmarkEnd w:id="26"/>
      <w:bookmarkEnd w:id="27"/>
      <w:bookmarkEnd w:id="28"/>
      <w:bookmarkEnd w:id="29"/>
      <w:bookmarkEnd w:id="30"/>
    </w:p>
    <w:p>
      <w:pPr>
        <w:rPr>
          <w:color w:val="auto"/>
          <w:highlight w:val="none"/>
        </w:rPr>
      </w:pPr>
      <w:bookmarkStart w:id="31" w:name="_Toc227474140"/>
      <w:bookmarkStart w:id="32" w:name="_Toc26750"/>
      <w:r>
        <w:rPr>
          <w:rFonts w:hint="eastAsia"/>
          <w:color w:val="auto"/>
          <w:highlight w:val="none"/>
        </w:rPr>
        <w:t>1．招标说明</w:t>
      </w:r>
      <w:bookmarkEnd w:id="31"/>
      <w:bookmarkEnd w:id="32"/>
    </w:p>
    <w:p>
      <w:pPr>
        <w:pStyle w:val="17"/>
        <w:rPr>
          <w:color w:val="auto"/>
          <w:highlight w:val="none"/>
        </w:rPr>
      </w:pPr>
      <w:r>
        <w:rPr>
          <w:rFonts w:hint="eastAsia"/>
          <w:color w:val="auto"/>
          <w:highlight w:val="none"/>
        </w:rPr>
        <w:t>1.1 根据《中华人民共和国民法典》、《中华人民共和国招标投标法》、《中华人民共和国招标投标法实施条例》等有关法律、法规和规章的规定，本招标项目已具备招标条件，现对本项目监理进行公开招标。</w:t>
      </w:r>
    </w:p>
    <w:p>
      <w:pPr>
        <w:pStyle w:val="17"/>
        <w:rPr>
          <w:color w:val="auto"/>
          <w:highlight w:val="none"/>
        </w:rPr>
      </w:pPr>
      <w:bookmarkStart w:id="33" w:name="_Toc227474141"/>
      <w:bookmarkStart w:id="34" w:name="_Toc10232"/>
      <w:r>
        <w:rPr>
          <w:rFonts w:hint="eastAsia"/>
          <w:color w:val="auto"/>
          <w:highlight w:val="none"/>
        </w:rPr>
        <w:t>1.1.2 招标人：见投标人须知前附表。</w:t>
      </w:r>
    </w:p>
    <w:p>
      <w:pPr>
        <w:pStyle w:val="17"/>
        <w:rPr>
          <w:color w:val="auto"/>
          <w:highlight w:val="none"/>
        </w:rPr>
      </w:pPr>
      <w:r>
        <w:rPr>
          <w:rFonts w:hint="eastAsia"/>
          <w:color w:val="auto"/>
          <w:highlight w:val="none"/>
        </w:rPr>
        <w:t>1.1.3 招标代理机构：见投标人须知前附表。</w:t>
      </w:r>
    </w:p>
    <w:p>
      <w:pPr>
        <w:pStyle w:val="17"/>
        <w:rPr>
          <w:color w:val="auto"/>
          <w:highlight w:val="none"/>
        </w:rPr>
      </w:pPr>
      <w:r>
        <w:rPr>
          <w:rFonts w:hint="eastAsia"/>
          <w:color w:val="auto"/>
          <w:highlight w:val="none"/>
        </w:rPr>
        <w:t>1.1.4 招标项目名称：见投标人须知前附表。</w:t>
      </w:r>
    </w:p>
    <w:p>
      <w:pPr>
        <w:pStyle w:val="17"/>
        <w:rPr>
          <w:color w:val="auto"/>
          <w:highlight w:val="none"/>
        </w:rPr>
      </w:pPr>
      <w:r>
        <w:rPr>
          <w:rFonts w:hint="eastAsia"/>
          <w:color w:val="auto"/>
          <w:highlight w:val="none"/>
        </w:rPr>
        <w:t>1.1.5 项目建设地点：见投标人须知前附表。</w:t>
      </w:r>
    </w:p>
    <w:p>
      <w:pPr>
        <w:pStyle w:val="17"/>
        <w:rPr>
          <w:color w:val="auto"/>
          <w:highlight w:val="none"/>
        </w:rPr>
      </w:pPr>
      <w:r>
        <w:rPr>
          <w:rFonts w:hint="eastAsia"/>
          <w:color w:val="auto"/>
          <w:highlight w:val="none"/>
        </w:rPr>
        <w:t>1.1.6 项目建设规模：见投标人须知前附表。</w:t>
      </w:r>
    </w:p>
    <w:p>
      <w:pPr>
        <w:pStyle w:val="17"/>
        <w:rPr>
          <w:color w:val="auto"/>
          <w:highlight w:val="none"/>
        </w:rPr>
      </w:pPr>
      <w:bookmarkStart w:id="35" w:name="_bookmark22"/>
      <w:bookmarkEnd w:id="35"/>
      <w:r>
        <w:rPr>
          <w:rFonts w:hint="eastAsia"/>
          <w:color w:val="auto"/>
          <w:highlight w:val="none"/>
        </w:rPr>
        <w:t>1.2  招标项目的资金来源和落实情况</w:t>
      </w:r>
    </w:p>
    <w:p>
      <w:pPr>
        <w:pStyle w:val="17"/>
        <w:rPr>
          <w:color w:val="auto"/>
          <w:highlight w:val="none"/>
        </w:rPr>
      </w:pPr>
      <w:r>
        <w:rPr>
          <w:rFonts w:hint="eastAsia"/>
          <w:color w:val="auto"/>
          <w:highlight w:val="none"/>
        </w:rPr>
        <w:t>1.2.1 资金来源：见投标人须知前附表。</w:t>
      </w:r>
    </w:p>
    <w:p>
      <w:pPr>
        <w:pStyle w:val="17"/>
        <w:rPr>
          <w:color w:val="auto"/>
          <w:highlight w:val="none"/>
        </w:rPr>
      </w:pPr>
      <w:r>
        <w:rPr>
          <w:rFonts w:hint="eastAsia"/>
          <w:color w:val="auto"/>
          <w:highlight w:val="none"/>
        </w:rPr>
        <w:t>1.2.2 资金落实情况：见投标人须知前附表。</w:t>
      </w:r>
    </w:p>
    <w:p>
      <w:pPr>
        <w:pStyle w:val="17"/>
        <w:rPr>
          <w:color w:val="auto"/>
          <w:highlight w:val="none"/>
        </w:rPr>
      </w:pPr>
      <w:bookmarkStart w:id="36" w:name="_bookmark23"/>
      <w:bookmarkEnd w:id="36"/>
      <w:r>
        <w:rPr>
          <w:rFonts w:hint="eastAsia"/>
          <w:color w:val="auto"/>
          <w:highlight w:val="none"/>
        </w:rPr>
        <w:t>1.3 招标范围、监理服务期限和质量标准</w:t>
      </w:r>
    </w:p>
    <w:p>
      <w:pPr>
        <w:pStyle w:val="17"/>
        <w:rPr>
          <w:color w:val="auto"/>
          <w:highlight w:val="none"/>
        </w:rPr>
      </w:pPr>
      <w:r>
        <w:rPr>
          <w:rFonts w:hint="eastAsia"/>
          <w:color w:val="auto"/>
          <w:highlight w:val="none"/>
        </w:rPr>
        <w:t>1.3.1 招标范围：见投标人须知前附表。</w:t>
      </w:r>
    </w:p>
    <w:p>
      <w:pPr>
        <w:pStyle w:val="17"/>
        <w:rPr>
          <w:color w:val="auto"/>
          <w:highlight w:val="none"/>
        </w:rPr>
      </w:pPr>
      <w:r>
        <w:rPr>
          <w:rFonts w:hint="eastAsia"/>
          <w:color w:val="auto"/>
          <w:highlight w:val="none"/>
        </w:rPr>
        <w:t>1.3.2 监理服务期限：见投标人须知前附表。</w:t>
      </w:r>
    </w:p>
    <w:p>
      <w:pPr>
        <w:pStyle w:val="17"/>
        <w:rPr>
          <w:color w:val="auto"/>
          <w:highlight w:val="none"/>
        </w:rPr>
      </w:pPr>
      <w:r>
        <w:rPr>
          <w:rFonts w:hint="eastAsia"/>
          <w:color w:val="auto"/>
          <w:highlight w:val="none"/>
        </w:rPr>
        <w:t>1.3.3 质量标准：见投标人须知前附表。</w:t>
      </w:r>
    </w:p>
    <w:p>
      <w:pPr>
        <w:rPr>
          <w:color w:val="auto"/>
          <w:highlight w:val="none"/>
        </w:rPr>
      </w:pPr>
      <w:r>
        <w:rPr>
          <w:rFonts w:hint="eastAsia"/>
          <w:color w:val="auto"/>
          <w:highlight w:val="none"/>
        </w:rPr>
        <w:t>2．招标原则</w:t>
      </w:r>
      <w:bookmarkEnd w:id="33"/>
      <w:bookmarkEnd w:id="34"/>
    </w:p>
    <w:p>
      <w:pPr>
        <w:rPr>
          <w:color w:val="auto"/>
          <w:highlight w:val="none"/>
        </w:rPr>
      </w:pPr>
      <w:r>
        <w:rPr>
          <w:rFonts w:hint="eastAsia"/>
          <w:color w:val="auto"/>
          <w:highlight w:val="none"/>
        </w:rPr>
        <w:t>2.1 竞争选优；</w:t>
      </w:r>
    </w:p>
    <w:p>
      <w:pPr>
        <w:rPr>
          <w:color w:val="auto"/>
          <w:highlight w:val="none"/>
        </w:rPr>
      </w:pPr>
      <w:r>
        <w:rPr>
          <w:rFonts w:hint="eastAsia"/>
          <w:color w:val="auto"/>
          <w:highlight w:val="none"/>
        </w:rPr>
        <w:t>2.2 公开、公平、公正、诚实信用；</w:t>
      </w:r>
    </w:p>
    <w:p>
      <w:pPr>
        <w:rPr>
          <w:color w:val="auto"/>
          <w:highlight w:val="none"/>
        </w:rPr>
      </w:pPr>
      <w:r>
        <w:rPr>
          <w:rFonts w:hint="eastAsia"/>
          <w:color w:val="auto"/>
          <w:highlight w:val="none"/>
        </w:rPr>
        <w:t>2.3 质量好、信誉高、价格合理、监理方案先进可行；</w:t>
      </w:r>
    </w:p>
    <w:p>
      <w:pPr>
        <w:rPr>
          <w:color w:val="auto"/>
          <w:highlight w:val="none"/>
        </w:rPr>
      </w:pPr>
      <w:r>
        <w:rPr>
          <w:rFonts w:hint="eastAsia"/>
          <w:color w:val="auto"/>
          <w:highlight w:val="none"/>
        </w:rPr>
        <w:t>2.4 反对不正当竞争。</w:t>
      </w:r>
    </w:p>
    <w:p>
      <w:pPr>
        <w:rPr>
          <w:color w:val="auto"/>
          <w:highlight w:val="none"/>
        </w:rPr>
      </w:pPr>
      <w:bookmarkStart w:id="37" w:name="_Toc9031"/>
      <w:bookmarkStart w:id="38" w:name="_Toc227474142"/>
      <w:r>
        <w:rPr>
          <w:rFonts w:hint="eastAsia"/>
          <w:color w:val="auto"/>
          <w:highlight w:val="none"/>
        </w:rPr>
        <w:t>3．资质条件要求</w:t>
      </w:r>
      <w:bookmarkEnd w:id="37"/>
      <w:bookmarkEnd w:id="38"/>
    </w:p>
    <w:p>
      <w:pPr>
        <w:rPr>
          <w:color w:val="auto"/>
          <w:highlight w:val="none"/>
        </w:rPr>
      </w:pPr>
      <w:r>
        <w:rPr>
          <w:rFonts w:hint="eastAsia"/>
          <w:color w:val="auto"/>
          <w:highlight w:val="none"/>
        </w:rPr>
        <w:t>3.1</w:t>
      </w:r>
      <w:bookmarkStart w:id="39" w:name="_Toc227474143"/>
      <w:r>
        <w:rPr>
          <w:rFonts w:hint="eastAsia"/>
          <w:color w:val="auto"/>
          <w:highlight w:val="none"/>
        </w:rPr>
        <w:t>见投标人须知前附表</w:t>
      </w:r>
    </w:p>
    <w:p>
      <w:pPr>
        <w:rPr>
          <w:color w:val="auto"/>
          <w:highlight w:val="none"/>
        </w:rPr>
      </w:pPr>
      <w:r>
        <w:rPr>
          <w:rFonts w:hint="eastAsia"/>
          <w:color w:val="auto"/>
          <w:highlight w:val="none"/>
        </w:rPr>
        <w:t>3.2投标人不得存在下列情形之一：</w:t>
      </w:r>
    </w:p>
    <w:p>
      <w:pPr>
        <w:rPr>
          <w:color w:val="auto"/>
          <w:highlight w:val="none"/>
        </w:rPr>
      </w:pPr>
      <w:r>
        <w:rPr>
          <w:rFonts w:hint="eastAsia"/>
          <w:color w:val="auto"/>
          <w:highlight w:val="none"/>
        </w:rPr>
        <w:t>（1）为招标人不具有独立法人资格的附属机构（单位）；</w:t>
      </w:r>
    </w:p>
    <w:p>
      <w:pPr>
        <w:rPr>
          <w:color w:val="auto"/>
          <w:highlight w:val="none"/>
        </w:rPr>
      </w:pPr>
      <w:r>
        <w:rPr>
          <w:rFonts w:hint="eastAsia"/>
          <w:color w:val="auto"/>
          <w:highlight w:val="none"/>
        </w:rPr>
        <w:t>（2）与招标人存在利害关系且可能影响招标公正性；</w:t>
      </w:r>
    </w:p>
    <w:p>
      <w:pPr>
        <w:rPr>
          <w:color w:val="auto"/>
          <w:highlight w:val="none"/>
        </w:rPr>
      </w:pPr>
      <w:r>
        <w:rPr>
          <w:rFonts w:hint="eastAsia"/>
          <w:color w:val="auto"/>
          <w:highlight w:val="none"/>
        </w:rPr>
        <w:t>（3）与本招标项目的其他投标人为同一单位负责人；</w:t>
      </w:r>
    </w:p>
    <w:p>
      <w:pPr>
        <w:rPr>
          <w:color w:val="auto"/>
          <w:highlight w:val="none"/>
        </w:rPr>
      </w:pPr>
      <w:r>
        <w:rPr>
          <w:rFonts w:hint="eastAsia"/>
          <w:color w:val="auto"/>
          <w:highlight w:val="none"/>
        </w:rPr>
        <w:t>（4）与本招标项目的其他投标人存在控股、管理关系；</w:t>
      </w:r>
    </w:p>
    <w:p>
      <w:pPr>
        <w:rPr>
          <w:color w:val="auto"/>
          <w:highlight w:val="none"/>
        </w:rPr>
      </w:pPr>
      <w:r>
        <w:rPr>
          <w:rFonts w:hint="eastAsia"/>
          <w:color w:val="auto"/>
          <w:highlight w:val="none"/>
        </w:rPr>
        <w:t>（5）为本项目前期准备提供设计、编制技术规范或其他文件的咨询服务，但设计施工总承包的除外；</w:t>
      </w:r>
    </w:p>
    <w:p>
      <w:pPr>
        <w:rPr>
          <w:color w:val="auto"/>
          <w:highlight w:val="none"/>
        </w:rPr>
      </w:pPr>
      <w:r>
        <w:rPr>
          <w:rFonts w:hint="eastAsia"/>
          <w:color w:val="auto"/>
          <w:highlight w:val="none"/>
        </w:rPr>
        <w:t>（6）为本项目的代建人；</w:t>
      </w:r>
    </w:p>
    <w:p>
      <w:pPr>
        <w:rPr>
          <w:color w:val="auto"/>
          <w:highlight w:val="none"/>
        </w:rPr>
      </w:pPr>
      <w:r>
        <w:rPr>
          <w:rFonts w:hint="eastAsia"/>
          <w:color w:val="auto"/>
          <w:highlight w:val="none"/>
        </w:rPr>
        <w:t>（7）为本项目提供招标代理服务的；</w:t>
      </w:r>
    </w:p>
    <w:p>
      <w:pPr>
        <w:rPr>
          <w:color w:val="auto"/>
          <w:highlight w:val="none"/>
        </w:rPr>
      </w:pPr>
      <w:r>
        <w:rPr>
          <w:rFonts w:hint="eastAsia"/>
          <w:color w:val="auto"/>
          <w:highlight w:val="none"/>
        </w:rPr>
        <w:t>（8）与本项目的代建人或招标代理机构同为一个法定代表人的；</w:t>
      </w:r>
    </w:p>
    <w:p>
      <w:pPr>
        <w:rPr>
          <w:color w:val="auto"/>
          <w:highlight w:val="none"/>
        </w:rPr>
      </w:pPr>
      <w:r>
        <w:rPr>
          <w:rFonts w:hint="eastAsia"/>
          <w:color w:val="auto"/>
          <w:highlight w:val="none"/>
        </w:rPr>
        <w:t>（9）与本项目代建人或招标代理机构相互控股或参股的；</w:t>
      </w:r>
    </w:p>
    <w:p>
      <w:pPr>
        <w:rPr>
          <w:color w:val="auto"/>
          <w:highlight w:val="none"/>
        </w:rPr>
      </w:pPr>
      <w:r>
        <w:rPr>
          <w:rFonts w:hint="eastAsia"/>
          <w:color w:val="auto"/>
          <w:highlight w:val="none"/>
        </w:rPr>
        <w:t>（10）与本项目的代建人或招标代理机构相互任职或工作的；</w:t>
      </w:r>
    </w:p>
    <w:p>
      <w:pPr>
        <w:rPr>
          <w:color w:val="auto"/>
          <w:highlight w:val="none"/>
        </w:rPr>
      </w:pPr>
      <w:r>
        <w:rPr>
          <w:rFonts w:hint="eastAsia"/>
          <w:color w:val="auto"/>
          <w:highlight w:val="none"/>
        </w:rPr>
        <w:t>（11）被责令停业、暂扣或者吊销许可证、暂扣或者吊销营业执照的；</w:t>
      </w:r>
    </w:p>
    <w:p>
      <w:pPr>
        <w:rPr>
          <w:color w:val="auto"/>
          <w:highlight w:val="none"/>
        </w:rPr>
      </w:pPr>
      <w:r>
        <w:rPr>
          <w:rFonts w:hint="eastAsia"/>
          <w:color w:val="auto"/>
          <w:highlight w:val="none"/>
        </w:rPr>
        <w:t>（12）被依法暂停或取消投标资格的；</w:t>
      </w:r>
    </w:p>
    <w:p>
      <w:pPr>
        <w:rPr>
          <w:color w:val="auto"/>
          <w:highlight w:val="none"/>
        </w:rPr>
      </w:pPr>
      <w:r>
        <w:rPr>
          <w:rFonts w:hint="eastAsia"/>
          <w:color w:val="auto"/>
          <w:highlight w:val="none"/>
        </w:rPr>
        <w:t>（13）进入清算程序，或被宣告财产，或其他丧失履约能力的情形；</w:t>
      </w:r>
    </w:p>
    <w:p>
      <w:pPr>
        <w:rPr>
          <w:color w:val="auto"/>
          <w:highlight w:val="none"/>
        </w:rPr>
      </w:pPr>
      <w:r>
        <w:rPr>
          <w:rFonts w:hint="eastAsia"/>
          <w:color w:val="auto"/>
          <w:highlight w:val="none"/>
        </w:rPr>
        <w:t>（14）在最近三年内有骗取中标或严重违约或重大工程质量安全问题的。</w:t>
      </w:r>
    </w:p>
    <w:p>
      <w:pPr>
        <w:rPr>
          <w:color w:val="auto"/>
          <w:highlight w:val="none"/>
        </w:rPr>
      </w:pPr>
      <w:r>
        <w:rPr>
          <w:rFonts w:hint="eastAsia"/>
          <w:color w:val="auto"/>
          <w:highlight w:val="none"/>
        </w:rPr>
        <w:t>（15）被最高人民法院在“信用中国”网站（www.creditchina.gov.cn）或各级信用信息共享平台中列入失信被执行人名单；</w:t>
      </w:r>
    </w:p>
    <w:p>
      <w:pPr>
        <w:rPr>
          <w:color w:val="auto"/>
          <w:highlight w:val="none"/>
        </w:rPr>
      </w:pPr>
      <w:r>
        <w:rPr>
          <w:rFonts w:hint="eastAsia"/>
          <w:color w:val="auto"/>
          <w:highlight w:val="none"/>
        </w:rPr>
        <w:t>（17）法律法规或投标人须知前附表规定的其他情形。</w:t>
      </w:r>
    </w:p>
    <w:p>
      <w:pPr>
        <w:rPr>
          <w:color w:val="auto"/>
          <w:highlight w:val="none"/>
        </w:rPr>
      </w:pPr>
      <w:r>
        <w:rPr>
          <w:rFonts w:hint="eastAsia"/>
          <w:color w:val="auto"/>
          <w:highlight w:val="none"/>
        </w:rPr>
        <w:t>4．投标人的监理责任期及要求：</w:t>
      </w:r>
      <w:bookmarkEnd w:id="39"/>
    </w:p>
    <w:p>
      <w:pPr>
        <w:rPr>
          <w:color w:val="auto"/>
          <w:highlight w:val="none"/>
        </w:rPr>
      </w:pPr>
      <w:r>
        <w:rPr>
          <w:rFonts w:hint="eastAsia"/>
          <w:color w:val="auto"/>
          <w:highlight w:val="none"/>
        </w:rPr>
        <w:t>4.1投标人的监理责任期为委托监理合同有效期；</w:t>
      </w:r>
    </w:p>
    <w:p>
      <w:pPr>
        <w:rPr>
          <w:color w:val="auto"/>
          <w:highlight w:val="none"/>
        </w:rPr>
      </w:pPr>
      <w:r>
        <w:rPr>
          <w:rFonts w:hint="eastAsia"/>
          <w:color w:val="auto"/>
          <w:highlight w:val="none"/>
        </w:rPr>
        <w:t>4.2中标人在投标文件中拟定的总监理工程师及专业监理工程师在工程监理过程中不得更换；</w:t>
      </w:r>
    </w:p>
    <w:p>
      <w:pPr>
        <w:rPr>
          <w:color w:val="auto"/>
          <w:highlight w:val="none"/>
        </w:rPr>
      </w:pPr>
      <w:bookmarkStart w:id="40" w:name="_Toc227474144"/>
      <w:bookmarkStart w:id="41" w:name="_Toc27733"/>
      <w:r>
        <w:rPr>
          <w:rFonts w:hint="eastAsia"/>
          <w:color w:val="auto"/>
          <w:highlight w:val="none"/>
        </w:rPr>
        <w:t>5．中标人的责任和权利：</w:t>
      </w:r>
      <w:bookmarkEnd w:id="40"/>
      <w:bookmarkEnd w:id="41"/>
    </w:p>
    <w:p>
      <w:pPr>
        <w:rPr>
          <w:color w:val="auto"/>
          <w:highlight w:val="none"/>
        </w:rPr>
      </w:pPr>
      <w:r>
        <w:rPr>
          <w:rFonts w:hint="eastAsia"/>
          <w:color w:val="auto"/>
          <w:highlight w:val="none"/>
        </w:rPr>
        <w:t>5.1向招标人报送拟委派的总监理工程师及其监理机构主要成员名单、监理规划，完成约定的监理任务；</w:t>
      </w:r>
    </w:p>
    <w:p>
      <w:pPr>
        <w:rPr>
          <w:color w:val="auto"/>
          <w:highlight w:val="none"/>
        </w:rPr>
      </w:pPr>
      <w:r>
        <w:rPr>
          <w:rFonts w:hint="eastAsia"/>
          <w:color w:val="auto"/>
          <w:highlight w:val="none"/>
        </w:rPr>
        <w:t>5.2运用合理技能为招标人提供与其监理机构水平相适应的咨询意见，认真、勤奋工作，帮助招标人实现预定目标，公正地维护各方的合法权益；</w:t>
      </w:r>
    </w:p>
    <w:p>
      <w:pPr>
        <w:rPr>
          <w:color w:val="auto"/>
          <w:highlight w:val="none"/>
        </w:rPr>
      </w:pPr>
      <w:r>
        <w:rPr>
          <w:rFonts w:hint="eastAsia"/>
          <w:color w:val="auto"/>
          <w:highlight w:val="none"/>
        </w:rPr>
        <w:t>5.3未征得有关方面同意，不得泄漏与本工程业务活动有关的保密资料；</w:t>
      </w:r>
    </w:p>
    <w:p>
      <w:pPr>
        <w:rPr>
          <w:color w:val="auto"/>
          <w:highlight w:val="none"/>
        </w:rPr>
      </w:pPr>
      <w:r>
        <w:rPr>
          <w:rFonts w:hint="eastAsia"/>
          <w:color w:val="auto"/>
          <w:highlight w:val="none"/>
        </w:rPr>
        <w:t>5.4按照保质量、保工期、降低成本的原则对施工承包商的施工组织设计和技术方案提出审核意见并向招标人书面报告；</w:t>
      </w:r>
    </w:p>
    <w:p>
      <w:pPr>
        <w:rPr>
          <w:color w:val="auto"/>
          <w:highlight w:val="none"/>
        </w:rPr>
      </w:pPr>
      <w:r>
        <w:rPr>
          <w:rFonts w:hint="eastAsia"/>
          <w:color w:val="auto"/>
          <w:highlight w:val="none"/>
        </w:rPr>
        <w:t>5.5经招标人同意后发布开工令、停工令、复工令；</w:t>
      </w:r>
    </w:p>
    <w:p>
      <w:pPr>
        <w:rPr>
          <w:color w:val="auto"/>
          <w:highlight w:val="none"/>
        </w:rPr>
      </w:pPr>
      <w:r>
        <w:rPr>
          <w:rFonts w:hint="eastAsia"/>
          <w:color w:val="auto"/>
          <w:highlight w:val="none"/>
        </w:rPr>
        <w:t>5.6有对工程上使用的材料、设备以及施工质量的检验权；对于不符合施工规范和质量要求的工序、分项分部工程和不安全的施工作业，有权通知施工承包商整改、返工；对施工承包商不听监理方指令、拒不进行整改与返工的，在经过招标人同意后，有权签发暂停施工令；</w:t>
      </w:r>
    </w:p>
    <w:p>
      <w:pPr>
        <w:rPr>
          <w:color w:val="auto"/>
          <w:highlight w:val="none"/>
        </w:rPr>
      </w:pPr>
      <w:r>
        <w:rPr>
          <w:rFonts w:hint="eastAsia"/>
          <w:color w:val="auto"/>
          <w:highlight w:val="none"/>
        </w:rPr>
        <w:t>5.7监督施工单位按其合同约定工程质量等级标准施工；达到约定工程质量等级，符合所报工程等级的验收条件；</w:t>
      </w:r>
    </w:p>
    <w:p>
      <w:pPr>
        <w:rPr>
          <w:color w:val="auto"/>
          <w:highlight w:val="none"/>
        </w:rPr>
      </w:pPr>
      <w:r>
        <w:rPr>
          <w:rFonts w:hint="eastAsia"/>
          <w:color w:val="auto"/>
          <w:highlight w:val="none"/>
        </w:rPr>
        <w:t>5.8严格按照现行的国家、行业施工及验收规范、标准，监理规范施工。</w:t>
      </w:r>
    </w:p>
    <w:p>
      <w:pPr>
        <w:rPr>
          <w:color w:val="auto"/>
          <w:highlight w:val="none"/>
        </w:rPr>
      </w:pPr>
      <w:bookmarkStart w:id="42" w:name="_Toc26537"/>
      <w:bookmarkStart w:id="43" w:name="_Toc227474145"/>
      <w:r>
        <w:rPr>
          <w:rFonts w:hint="eastAsia"/>
          <w:color w:val="auto"/>
          <w:highlight w:val="none"/>
        </w:rPr>
        <w:t>6．投标费用</w:t>
      </w:r>
      <w:bookmarkEnd w:id="42"/>
      <w:bookmarkEnd w:id="43"/>
    </w:p>
    <w:p>
      <w:pPr>
        <w:rPr>
          <w:color w:val="auto"/>
          <w:highlight w:val="none"/>
        </w:rPr>
      </w:pPr>
      <w:r>
        <w:rPr>
          <w:rFonts w:hint="eastAsia"/>
          <w:color w:val="auto"/>
          <w:highlight w:val="none"/>
        </w:rPr>
        <w:t>6.1投标人应承担其编制投标文件与递交投标文件所涉及的一切费用；不论投标结果如何，招标人及招标代理人在任何情况下无义务也无责任承担这些费用；</w:t>
      </w:r>
    </w:p>
    <w:p>
      <w:pPr>
        <w:rPr>
          <w:color w:val="auto"/>
          <w:highlight w:val="none"/>
        </w:rPr>
      </w:pPr>
      <w:r>
        <w:rPr>
          <w:rFonts w:hint="eastAsia"/>
          <w:color w:val="auto"/>
          <w:highlight w:val="none"/>
        </w:rPr>
        <w:t>6.2中标与未中标的投标文件招标人均不予退还。</w:t>
      </w:r>
    </w:p>
    <w:p>
      <w:pPr>
        <w:rPr>
          <w:color w:val="auto"/>
          <w:highlight w:val="none"/>
        </w:rPr>
      </w:pPr>
      <w:bookmarkStart w:id="44" w:name="_Toc227474146"/>
      <w:bookmarkStart w:id="45" w:name="_Toc7138"/>
      <w:r>
        <w:rPr>
          <w:b/>
          <w:color w:val="auto"/>
          <w:highlight w:val="none"/>
        </w:rPr>
        <w:t>7．</w:t>
      </w:r>
      <w:r>
        <w:rPr>
          <w:rFonts w:hint="eastAsia"/>
          <w:b/>
          <w:color w:val="auto"/>
          <w:highlight w:val="none"/>
        </w:rPr>
        <w:t>开标评标时：</w:t>
      </w:r>
      <w:r>
        <w:rPr>
          <w:rFonts w:hint="eastAsia"/>
          <w:color w:val="auto"/>
          <w:highlight w:val="none"/>
        </w:rPr>
        <w:t>所有解释均依据本招标文件及有关的法律、法规。</w:t>
      </w:r>
      <w:bookmarkEnd w:id="44"/>
      <w:bookmarkEnd w:id="45"/>
    </w:p>
    <w:p>
      <w:pPr>
        <w:pStyle w:val="7"/>
        <w:rPr>
          <w:color w:val="auto"/>
          <w:highlight w:val="none"/>
        </w:rPr>
      </w:pPr>
    </w:p>
    <w:p>
      <w:pPr>
        <w:pStyle w:val="2"/>
        <w:jc w:val="left"/>
        <w:rPr>
          <w:rFonts w:hint="eastAsia"/>
          <w:color w:val="auto"/>
          <w:sz w:val="30"/>
          <w:szCs w:val="30"/>
          <w:highlight w:val="none"/>
        </w:rPr>
      </w:pPr>
      <w:bookmarkStart w:id="46" w:name="_Toc280348996"/>
      <w:bookmarkStart w:id="47" w:name="_Toc20363"/>
      <w:bookmarkStart w:id="48" w:name="_Toc536524978"/>
      <w:bookmarkStart w:id="49" w:name="_Toc32293"/>
      <w:bookmarkStart w:id="50" w:name="_Toc227474147"/>
      <w:r>
        <w:rPr>
          <w:rFonts w:hint="eastAsia"/>
          <w:color w:val="auto"/>
          <w:sz w:val="30"/>
          <w:szCs w:val="30"/>
          <w:highlight w:val="none"/>
        </w:rPr>
        <w:t>二、招标文件</w:t>
      </w:r>
      <w:bookmarkEnd w:id="46"/>
      <w:bookmarkEnd w:id="47"/>
      <w:bookmarkEnd w:id="48"/>
      <w:bookmarkEnd w:id="49"/>
      <w:bookmarkEnd w:id="50"/>
    </w:p>
    <w:p>
      <w:pPr>
        <w:rPr>
          <w:color w:val="auto"/>
          <w:highlight w:val="none"/>
        </w:rPr>
      </w:pPr>
      <w:bookmarkStart w:id="51" w:name="_Toc15044"/>
      <w:bookmarkStart w:id="52" w:name="_Toc227474148"/>
      <w:r>
        <w:rPr>
          <w:rFonts w:hint="eastAsia"/>
          <w:color w:val="auto"/>
          <w:highlight w:val="none"/>
        </w:rPr>
        <w:t>8．招标文件的组成</w:t>
      </w:r>
      <w:bookmarkEnd w:id="51"/>
      <w:bookmarkEnd w:id="52"/>
    </w:p>
    <w:p>
      <w:pPr>
        <w:rPr>
          <w:color w:val="auto"/>
          <w:highlight w:val="none"/>
        </w:rPr>
      </w:pPr>
      <w:r>
        <w:rPr>
          <w:rFonts w:hint="eastAsia"/>
          <w:color w:val="auto"/>
          <w:highlight w:val="none"/>
        </w:rPr>
        <w:t>8.1招标文件是各投标人编制投标文件的依据，也是招标人与中标人签订监理合同的依据之一；</w:t>
      </w:r>
    </w:p>
    <w:p>
      <w:pPr>
        <w:rPr>
          <w:color w:val="auto"/>
          <w:highlight w:val="none"/>
        </w:rPr>
      </w:pPr>
      <w:r>
        <w:rPr>
          <w:rFonts w:hint="eastAsia"/>
          <w:color w:val="auto"/>
          <w:highlight w:val="none"/>
        </w:rPr>
        <w:t>8.2本招标文件包括下列文件及在招标期间所有按本须知发出的补充资料和投标预备会答疑纪要。</w:t>
      </w:r>
    </w:p>
    <w:p>
      <w:pPr>
        <w:rPr>
          <w:color w:val="auto"/>
          <w:highlight w:val="none"/>
        </w:rPr>
      </w:pPr>
      <w:r>
        <w:rPr>
          <w:rFonts w:hint="eastAsia"/>
          <w:color w:val="auto"/>
          <w:highlight w:val="none"/>
        </w:rPr>
        <w:t>本招标文件包括下列内容：</w:t>
      </w:r>
    </w:p>
    <w:p>
      <w:pPr>
        <w:rPr>
          <w:color w:val="auto"/>
          <w:highlight w:val="none"/>
        </w:rPr>
      </w:pPr>
      <w:r>
        <w:rPr>
          <w:rFonts w:hint="eastAsia"/>
          <w:color w:val="auto"/>
          <w:highlight w:val="none"/>
        </w:rPr>
        <w:t>第一章 招标公告</w:t>
      </w:r>
    </w:p>
    <w:p>
      <w:pPr>
        <w:rPr>
          <w:color w:val="auto"/>
          <w:highlight w:val="none"/>
        </w:rPr>
      </w:pPr>
      <w:r>
        <w:rPr>
          <w:rFonts w:hint="eastAsia"/>
          <w:color w:val="auto"/>
          <w:highlight w:val="none"/>
        </w:rPr>
        <w:t>第二章 投标须知及投标须知前附表</w:t>
      </w:r>
    </w:p>
    <w:p>
      <w:pPr>
        <w:rPr>
          <w:color w:val="auto"/>
          <w:highlight w:val="none"/>
        </w:rPr>
      </w:pPr>
      <w:r>
        <w:rPr>
          <w:rFonts w:hint="eastAsia"/>
          <w:color w:val="auto"/>
          <w:highlight w:val="none"/>
        </w:rPr>
        <w:t>第三章 建设工程监理合同(格式)</w:t>
      </w:r>
    </w:p>
    <w:p>
      <w:pPr>
        <w:rPr>
          <w:color w:val="auto"/>
          <w:highlight w:val="none"/>
        </w:rPr>
      </w:pPr>
      <w:r>
        <w:rPr>
          <w:rFonts w:hint="eastAsia"/>
          <w:color w:val="auto"/>
          <w:highlight w:val="none"/>
        </w:rPr>
        <w:t>第四章 技术规范</w:t>
      </w:r>
    </w:p>
    <w:p>
      <w:pPr>
        <w:rPr>
          <w:color w:val="auto"/>
          <w:highlight w:val="none"/>
        </w:rPr>
      </w:pPr>
      <w:r>
        <w:rPr>
          <w:rFonts w:hint="eastAsia"/>
          <w:color w:val="auto"/>
          <w:highlight w:val="none"/>
        </w:rPr>
        <w:t>第五章 投标文件格式</w:t>
      </w:r>
    </w:p>
    <w:p>
      <w:pPr>
        <w:rPr>
          <w:color w:val="auto"/>
          <w:highlight w:val="none"/>
        </w:rPr>
      </w:pPr>
      <w:r>
        <w:rPr>
          <w:rFonts w:hint="eastAsia"/>
          <w:color w:val="auto"/>
          <w:highlight w:val="none"/>
        </w:rPr>
        <w:t>8.3投标人获取招标文件后，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pPr>
        <w:rPr>
          <w:color w:val="auto"/>
          <w:highlight w:val="none"/>
        </w:rPr>
      </w:pPr>
      <w:r>
        <w:rPr>
          <w:rFonts w:hint="eastAsia"/>
          <w:color w:val="auto"/>
          <w:highlight w:val="none"/>
        </w:rPr>
        <w:t>8.4投标人应认真阅读招标文件中所有条款内容、图纸、技术资料等，并对自己就有关文件所做出的解释负责。未按招标文件要求提交投标文件和资料的或者未对招标文件做出实质上响应的，投标人的投标文件将被拒绝，其后果自负；</w:t>
      </w:r>
    </w:p>
    <w:p>
      <w:pPr>
        <w:rPr>
          <w:color w:val="auto"/>
          <w:highlight w:val="none"/>
        </w:rPr>
      </w:pPr>
      <w:r>
        <w:rPr>
          <w:rFonts w:hint="eastAsia"/>
          <w:color w:val="auto"/>
          <w:highlight w:val="none"/>
        </w:rPr>
        <w:t>8.5招标文件及所有的补充通知、投标预备会答疑纪要将向监督部门备案；</w:t>
      </w:r>
    </w:p>
    <w:p>
      <w:pPr>
        <w:rPr>
          <w:color w:val="auto"/>
          <w:highlight w:val="none"/>
        </w:rPr>
      </w:pPr>
      <w:r>
        <w:rPr>
          <w:rFonts w:hint="eastAsia"/>
          <w:color w:val="auto"/>
          <w:highlight w:val="none"/>
        </w:rPr>
        <w:t>8.6招标文件的澄清</w:t>
      </w:r>
    </w:p>
    <w:p>
      <w:pPr>
        <w:rPr>
          <w:color w:val="auto"/>
          <w:highlight w:val="none"/>
        </w:rPr>
      </w:pPr>
      <w:bookmarkStart w:id="53" w:name="_Toc227474149"/>
      <w:bookmarkStart w:id="54" w:name="_Toc16621"/>
      <w:r>
        <w:rPr>
          <w:rFonts w:hint="eastAsia"/>
          <w:color w:val="auto"/>
          <w:highlight w:val="none"/>
        </w:rPr>
        <w:t>8.6.1招标文件的澄清将在投标人须知前附表规定的投标截止时间15日前在交易平台上发给所有购买招标文件的投标人，但不指明澄清问题的来源。如果澄清发出的时间距投标截止时间不足15天，相应延长投标截止时间。</w:t>
      </w:r>
    </w:p>
    <w:p>
      <w:pPr>
        <w:rPr>
          <w:color w:val="auto"/>
          <w:highlight w:val="none"/>
        </w:rPr>
      </w:pPr>
      <w:r>
        <w:rPr>
          <w:rFonts w:hint="eastAsia"/>
          <w:color w:val="auto"/>
          <w:highlight w:val="none"/>
        </w:rPr>
        <w:t>8.6.2投标人在收到澄清后，应在投标人须知前附表规定的时间内在交易平台上回复确认已收到该澄清。</w:t>
      </w:r>
    </w:p>
    <w:p>
      <w:pPr>
        <w:rPr>
          <w:color w:val="auto"/>
          <w:highlight w:val="none"/>
        </w:rPr>
      </w:pPr>
      <w:r>
        <w:rPr>
          <w:rFonts w:hint="eastAsia"/>
          <w:color w:val="auto"/>
          <w:highlight w:val="none"/>
        </w:rPr>
        <w:t>8.6.3除非招标人认为确有必要答复，否则，招标人有权拒绝回复投标人在投标须知前附表第24项规定的时间后的任何澄清要求。</w:t>
      </w:r>
    </w:p>
    <w:p>
      <w:pPr>
        <w:rPr>
          <w:color w:val="auto"/>
          <w:highlight w:val="none"/>
        </w:rPr>
      </w:pPr>
      <w:r>
        <w:rPr>
          <w:rFonts w:hint="eastAsia"/>
          <w:color w:val="auto"/>
          <w:highlight w:val="none"/>
        </w:rPr>
        <w:t>9．招标文件的修改</w:t>
      </w:r>
      <w:bookmarkEnd w:id="53"/>
      <w:bookmarkEnd w:id="54"/>
    </w:p>
    <w:p>
      <w:pPr>
        <w:rPr>
          <w:color w:val="auto"/>
          <w:highlight w:val="none"/>
        </w:rPr>
      </w:pPr>
      <w:r>
        <w:rPr>
          <w:rFonts w:hint="eastAsia"/>
          <w:color w:val="auto"/>
          <w:highlight w:val="none"/>
        </w:rPr>
        <w:t>9.1在投标截止时间15天前，招标人可以修改招标文件。如有修改，应在交易平台上发给所有购买招标文件的投标人。如果修改招标文件的时间距投标截止时间不足15天，相应延长投标截止时间。</w:t>
      </w:r>
    </w:p>
    <w:p>
      <w:pPr>
        <w:rPr>
          <w:color w:val="auto"/>
          <w:highlight w:val="none"/>
        </w:rPr>
      </w:pPr>
      <w:r>
        <w:rPr>
          <w:rFonts w:hint="eastAsia"/>
          <w:color w:val="auto"/>
          <w:highlight w:val="none"/>
        </w:rPr>
        <w:t>9.2投标人收到修改内容后，应在投标人须知前附表规定的时间内在交易平台上回复确认已收到该修改。</w:t>
      </w:r>
    </w:p>
    <w:p>
      <w:pPr>
        <w:rPr>
          <w:color w:val="auto"/>
          <w:highlight w:val="none"/>
        </w:rPr>
      </w:pPr>
      <w:r>
        <w:rPr>
          <w:rFonts w:hint="eastAsia"/>
          <w:color w:val="auto"/>
          <w:highlight w:val="none"/>
        </w:rPr>
        <w:t>9.3 当招标文件、答疑纪要、补充通知内容相互矛盾时，以最后发出的通知（或纪要）为准。</w:t>
      </w:r>
    </w:p>
    <w:p>
      <w:pPr>
        <w:pStyle w:val="2"/>
        <w:jc w:val="left"/>
        <w:rPr>
          <w:rFonts w:hint="eastAsia"/>
          <w:color w:val="auto"/>
          <w:sz w:val="30"/>
          <w:szCs w:val="30"/>
          <w:highlight w:val="none"/>
        </w:rPr>
      </w:pPr>
      <w:bookmarkStart w:id="55" w:name="_Toc1957"/>
      <w:bookmarkStart w:id="56" w:name="_Toc7498"/>
      <w:bookmarkStart w:id="57" w:name="_Toc227474150"/>
      <w:bookmarkStart w:id="58" w:name="_Toc536524979"/>
      <w:bookmarkStart w:id="59" w:name="_Toc280348997"/>
      <w:r>
        <w:rPr>
          <w:rFonts w:hint="eastAsia"/>
          <w:color w:val="auto"/>
          <w:sz w:val="30"/>
          <w:szCs w:val="30"/>
          <w:highlight w:val="none"/>
        </w:rPr>
        <w:t>三、投标文件的编制</w:t>
      </w:r>
      <w:bookmarkEnd w:id="55"/>
      <w:bookmarkEnd w:id="56"/>
      <w:bookmarkEnd w:id="57"/>
      <w:bookmarkEnd w:id="58"/>
      <w:bookmarkEnd w:id="59"/>
    </w:p>
    <w:p>
      <w:pPr>
        <w:rPr>
          <w:color w:val="auto"/>
          <w:highlight w:val="none"/>
        </w:rPr>
      </w:pPr>
      <w:bookmarkStart w:id="60" w:name="_Toc227474151"/>
      <w:bookmarkStart w:id="61" w:name="_Toc21972"/>
      <w:r>
        <w:rPr>
          <w:rFonts w:hint="eastAsia"/>
          <w:color w:val="auto"/>
          <w:highlight w:val="none"/>
        </w:rPr>
        <w:t>10．投标文件的语言</w:t>
      </w:r>
      <w:bookmarkEnd w:id="60"/>
      <w:bookmarkEnd w:id="61"/>
    </w:p>
    <w:p>
      <w:pPr>
        <w:rPr>
          <w:color w:val="auto"/>
          <w:highlight w:val="none"/>
        </w:rPr>
      </w:pPr>
      <w:r>
        <w:rPr>
          <w:rFonts w:hint="eastAsia"/>
          <w:color w:val="auto"/>
          <w:highlight w:val="none"/>
        </w:rPr>
        <w:t>投标文件和与投标有关的所有文件均应使用中文。</w:t>
      </w:r>
    </w:p>
    <w:p>
      <w:pPr>
        <w:rPr>
          <w:color w:val="auto"/>
          <w:highlight w:val="none"/>
        </w:rPr>
      </w:pPr>
      <w:bookmarkStart w:id="62" w:name="_Toc227474152"/>
      <w:bookmarkStart w:id="63" w:name="_Toc14960"/>
      <w:r>
        <w:rPr>
          <w:rFonts w:hint="eastAsia"/>
          <w:color w:val="auto"/>
          <w:highlight w:val="none"/>
        </w:rPr>
        <w:t>11．投标文件计量单位</w:t>
      </w:r>
      <w:bookmarkEnd w:id="62"/>
      <w:bookmarkEnd w:id="63"/>
    </w:p>
    <w:p>
      <w:pPr>
        <w:rPr>
          <w:color w:val="auto"/>
          <w:highlight w:val="none"/>
        </w:rPr>
      </w:pPr>
      <w:r>
        <w:rPr>
          <w:rFonts w:hint="eastAsia"/>
          <w:color w:val="auto"/>
          <w:highlight w:val="none"/>
        </w:rPr>
        <w:t>除在招标文件的技术条件中另有规定外，计量单位均使用中华人民共和国法定计量单位。</w:t>
      </w:r>
    </w:p>
    <w:p>
      <w:pPr>
        <w:rPr>
          <w:color w:val="auto"/>
          <w:highlight w:val="none"/>
        </w:rPr>
      </w:pPr>
      <w:bookmarkStart w:id="64" w:name="_Toc15508"/>
      <w:bookmarkStart w:id="65" w:name="_Toc227474153"/>
      <w:r>
        <w:rPr>
          <w:rFonts w:hint="eastAsia"/>
          <w:color w:val="auto"/>
          <w:highlight w:val="none"/>
        </w:rPr>
        <w:t>12．投标文件的组成</w:t>
      </w:r>
      <w:bookmarkEnd w:id="64"/>
      <w:bookmarkEnd w:id="65"/>
    </w:p>
    <w:p>
      <w:pPr>
        <w:rPr>
          <w:color w:val="auto"/>
          <w:highlight w:val="none"/>
        </w:rPr>
      </w:pPr>
      <w:bookmarkStart w:id="66" w:name="_Toc3573"/>
      <w:bookmarkStart w:id="67" w:name="_Toc227474154"/>
      <w:r>
        <w:rPr>
          <w:rFonts w:hint="eastAsia"/>
          <w:color w:val="auto"/>
          <w:highlight w:val="none"/>
        </w:rPr>
        <w:t>（1）投标函及投标函附录；</w:t>
      </w:r>
    </w:p>
    <w:p>
      <w:pPr>
        <w:rPr>
          <w:color w:val="auto"/>
          <w:highlight w:val="none"/>
        </w:rPr>
      </w:pPr>
      <w:r>
        <w:rPr>
          <w:rFonts w:hint="eastAsia"/>
          <w:color w:val="auto"/>
          <w:highlight w:val="none"/>
        </w:rPr>
        <w:t>（2）法定代表人身份证明；</w:t>
      </w:r>
    </w:p>
    <w:p>
      <w:pPr>
        <w:rPr>
          <w:color w:val="auto"/>
          <w:highlight w:val="none"/>
        </w:rPr>
      </w:pPr>
      <w:r>
        <w:rPr>
          <w:rFonts w:hint="eastAsia"/>
          <w:color w:val="auto"/>
          <w:highlight w:val="none"/>
        </w:rPr>
        <w:t>（3）委托代理人授权委托书；</w:t>
      </w:r>
    </w:p>
    <w:p>
      <w:pPr>
        <w:rPr>
          <w:color w:val="auto"/>
          <w:highlight w:val="none"/>
        </w:rPr>
      </w:pPr>
      <w:r>
        <w:rPr>
          <w:rFonts w:hint="eastAsia"/>
          <w:color w:val="auto"/>
          <w:highlight w:val="none"/>
        </w:rPr>
        <w:t>（4）投标保证金；</w:t>
      </w:r>
    </w:p>
    <w:p>
      <w:pPr>
        <w:rPr>
          <w:color w:val="auto"/>
          <w:highlight w:val="none"/>
        </w:rPr>
      </w:pPr>
      <w:r>
        <w:rPr>
          <w:rFonts w:hint="eastAsia"/>
          <w:color w:val="auto"/>
          <w:highlight w:val="none"/>
        </w:rPr>
        <w:t>（5）技术标（监理大纲）；</w:t>
      </w:r>
    </w:p>
    <w:p>
      <w:pPr>
        <w:rPr>
          <w:color w:val="auto"/>
          <w:highlight w:val="none"/>
        </w:rPr>
      </w:pPr>
      <w:r>
        <w:rPr>
          <w:rFonts w:hint="eastAsia"/>
          <w:color w:val="auto"/>
          <w:highlight w:val="none"/>
        </w:rPr>
        <w:t>（6）技术规范；</w:t>
      </w:r>
    </w:p>
    <w:p>
      <w:pPr>
        <w:rPr>
          <w:color w:val="auto"/>
          <w:highlight w:val="none"/>
        </w:rPr>
      </w:pPr>
      <w:r>
        <w:rPr>
          <w:rFonts w:hint="eastAsia"/>
          <w:color w:val="auto"/>
          <w:highlight w:val="none"/>
        </w:rPr>
        <w:t>（7）项目管理机构；</w:t>
      </w:r>
    </w:p>
    <w:p>
      <w:pPr>
        <w:rPr>
          <w:color w:val="auto"/>
          <w:highlight w:val="none"/>
        </w:rPr>
      </w:pPr>
      <w:r>
        <w:rPr>
          <w:rFonts w:hint="eastAsia"/>
          <w:color w:val="auto"/>
          <w:highlight w:val="none"/>
        </w:rPr>
        <w:t>（8）资格审查资料；</w:t>
      </w:r>
    </w:p>
    <w:p>
      <w:pPr>
        <w:rPr>
          <w:color w:val="auto"/>
          <w:highlight w:val="none"/>
        </w:rPr>
      </w:pPr>
      <w:r>
        <w:rPr>
          <w:rFonts w:hint="eastAsia"/>
          <w:color w:val="auto"/>
          <w:highlight w:val="none"/>
        </w:rPr>
        <w:t>（9）其它资料；</w:t>
      </w:r>
    </w:p>
    <w:p>
      <w:pPr>
        <w:rPr>
          <w:color w:val="auto"/>
          <w:highlight w:val="none"/>
        </w:rPr>
      </w:pPr>
      <w:r>
        <w:rPr>
          <w:rFonts w:hint="eastAsia"/>
          <w:color w:val="auto"/>
          <w:highlight w:val="none"/>
        </w:rPr>
        <w:t>13．投标报价</w:t>
      </w:r>
      <w:bookmarkEnd w:id="66"/>
      <w:bookmarkEnd w:id="67"/>
    </w:p>
    <w:p>
      <w:pPr>
        <w:rPr>
          <w:color w:val="auto"/>
          <w:highlight w:val="none"/>
        </w:rPr>
      </w:pPr>
      <w:r>
        <w:rPr>
          <w:rFonts w:hint="eastAsia"/>
          <w:color w:val="auto"/>
          <w:highlight w:val="none"/>
        </w:rPr>
        <w:t>13.1投标人监理费投标报价应按金额报价。</w:t>
      </w:r>
    </w:p>
    <w:p>
      <w:pPr>
        <w:rPr>
          <w:color w:val="auto"/>
          <w:highlight w:val="none"/>
        </w:rPr>
      </w:pPr>
      <w:r>
        <w:rPr>
          <w:rFonts w:hint="eastAsia"/>
          <w:color w:val="auto"/>
          <w:highlight w:val="none"/>
        </w:rPr>
        <w:t>13.2投标人的监理酬金是在监理服务期内（双方约定的工期监控目标+合理的工程延期）投标人按合同规定的范围所提供全部服务所需的费用。</w:t>
      </w:r>
    </w:p>
    <w:p>
      <w:pPr>
        <w:rPr>
          <w:color w:val="auto"/>
          <w:highlight w:val="none"/>
        </w:rPr>
      </w:pPr>
      <w:r>
        <w:rPr>
          <w:rFonts w:hint="eastAsia"/>
          <w:color w:val="auto"/>
          <w:highlight w:val="none"/>
        </w:rPr>
        <w:t>13.3本项目招标设招标控制价，高于招标控制价的投标报价其投标被拒绝。</w:t>
      </w:r>
    </w:p>
    <w:p>
      <w:pPr>
        <w:rPr>
          <w:color w:val="auto"/>
          <w:highlight w:val="none"/>
        </w:rPr>
      </w:pPr>
      <w:r>
        <w:rPr>
          <w:rFonts w:hint="eastAsia"/>
          <w:color w:val="auto"/>
          <w:highlight w:val="none"/>
        </w:rPr>
        <w:t>13.4投标人只能提交一个报价，招标人不接受任何选择报价；</w:t>
      </w:r>
    </w:p>
    <w:p>
      <w:pPr>
        <w:rPr>
          <w:color w:val="auto"/>
          <w:highlight w:val="none"/>
        </w:rPr>
      </w:pPr>
      <w:bookmarkStart w:id="68" w:name="_Toc227474155"/>
      <w:bookmarkStart w:id="69" w:name="_Toc7002"/>
      <w:r>
        <w:rPr>
          <w:rFonts w:hint="eastAsia"/>
          <w:color w:val="auto"/>
          <w:highlight w:val="none"/>
        </w:rPr>
        <w:t>14．投标货币</w:t>
      </w:r>
      <w:bookmarkEnd w:id="68"/>
      <w:bookmarkEnd w:id="69"/>
    </w:p>
    <w:p>
      <w:pPr>
        <w:rPr>
          <w:color w:val="auto"/>
          <w:highlight w:val="none"/>
        </w:rPr>
      </w:pPr>
      <w:r>
        <w:rPr>
          <w:rFonts w:hint="eastAsia"/>
          <w:color w:val="auto"/>
          <w:highlight w:val="none"/>
        </w:rPr>
        <w:t>14.1本工程的投标货币均以人民币计算。</w:t>
      </w:r>
    </w:p>
    <w:p>
      <w:pPr>
        <w:rPr>
          <w:color w:val="auto"/>
          <w:highlight w:val="none"/>
        </w:rPr>
      </w:pPr>
      <w:bookmarkStart w:id="70" w:name="_Toc227474156"/>
      <w:bookmarkStart w:id="71" w:name="_Toc5059"/>
      <w:r>
        <w:rPr>
          <w:rFonts w:hint="eastAsia"/>
          <w:color w:val="auto"/>
          <w:highlight w:val="none"/>
        </w:rPr>
        <w:t>15．投标保证金</w:t>
      </w:r>
      <w:bookmarkEnd w:id="70"/>
      <w:bookmarkEnd w:id="71"/>
    </w:p>
    <w:p>
      <w:pPr>
        <w:rPr>
          <w:color w:val="auto"/>
          <w:highlight w:val="none"/>
        </w:rPr>
      </w:pPr>
      <w:r>
        <w:rPr>
          <w:rFonts w:hint="eastAsia"/>
          <w:color w:val="auto"/>
          <w:highlight w:val="none"/>
        </w:rPr>
        <w:t>15.1 保证金作为投标文件的组成部分，投标人应按前附表的规定缴纳投标保证金并获取相应证明；</w:t>
      </w:r>
    </w:p>
    <w:p>
      <w:pPr>
        <w:rPr>
          <w:color w:val="auto"/>
          <w:highlight w:val="none"/>
        </w:rPr>
      </w:pPr>
      <w:r>
        <w:rPr>
          <w:rFonts w:hint="eastAsia"/>
          <w:color w:val="auto"/>
          <w:highlight w:val="none"/>
        </w:rPr>
        <w:t>15.2 投标保证金提交时间及地点：见投标须知前附表；</w:t>
      </w:r>
    </w:p>
    <w:p>
      <w:pPr>
        <w:rPr>
          <w:color w:val="auto"/>
          <w:highlight w:val="none"/>
        </w:rPr>
      </w:pPr>
      <w:r>
        <w:rPr>
          <w:rFonts w:hint="eastAsia"/>
          <w:color w:val="auto"/>
          <w:highlight w:val="none"/>
        </w:rPr>
        <w:t>15.3 招标人将拒绝未按要求提供投标保证金的投标文件；</w:t>
      </w:r>
    </w:p>
    <w:p>
      <w:pPr>
        <w:rPr>
          <w:color w:val="auto"/>
          <w:highlight w:val="none"/>
        </w:rPr>
      </w:pPr>
      <w:r>
        <w:rPr>
          <w:rFonts w:hint="eastAsia"/>
          <w:color w:val="auto"/>
          <w:highlight w:val="none"/>
        </w:rPr>
        <w:t>15.4 投标保证金的退还：</w:t>
      </w:r>
    </w:p>
    <w:p>
      <w:pPr>
        <w:rPr>
          <w:color w:val="auto"/>
          <w:highlight w:val="none"/>
        </w:rPr>
      </w:pPr>
      <w:r>
        <w:rPr>
          <w:rFonts w:hint="eastAsia"/>
          <w:color w:val="auto"/>
          <w:highlight w:val="none"/>
        </w:rPr>
        <w:t>15.4.1招标人与中标人签订合同后</w:t>
      </w:r>
      <w:r>
        <w:rPr>
          <w:color w:val="auto"/>
          <w:highlight w:val="none"/>
        </w:rPr>
        <w:t>5</w:t>
      </w:r>
      <w:r>
        <w:rPr>
          <w:rFonts w:hint="eastAsia"/>
          <w:color w:val="auto"/>
          <w:highlight w:val="none"/>
        </w:rPr>
        <w:t>个工作日内，向未中标的投标人和中标人（无息）退还投标保证金。</w:t>
      </w:r>
    </w:p>
    <w:p>
      <w:pPr>
        <w:rPr>
          <w:color w:val="auto"/>
          <w:highlight w:val="none"/>
        </w:rPr>
      </w:pPr>
      <w:r>
        <w:rPr>
          <w:rFonts w:hint="eastAsia"/>
          <w:color w:val="auto"/>
          <w:highlight w:val="none"/>
        </w:rPr>
        <w:t>15.5 如有下列情况，将没收投标保证金：</w:t>
      </w:r>
    </w:p>
    <w:p>
      <w:pPr>
        <w:rPr>
          <w:color w:val="auto"/>
          <w:highlight w:val="none"/>
        </w:rPr>
      </w:pPr>
      <w:r>
        <w:rPr>
          <w:rFonts w:hint="eastAsia"/>
          <w:color w:val="auto"/>
          <w:highlight w:val="none"/>
        </w:rPr>
        <w:t>15.5.1投标人在投标有效期内撤回其投标文件；</w:t>
      </w:r>
    </w:p>
    <w:p>
      <w:pPr>
        <w:rPr>
          <w:color w:val="auto"/>
          <w:kern w:val="0"/>
          <w:highlight w:val="none"/>
        </w:rPr>
      </w:pPr>
      <w:r>
        <w:rPr>
          <w:rFonts w:hint="eastAsia"/>
          <w:color w:val="auto"/>
          <w:kern w:val="0"/>
          <w:highlight w:val="none"/>
        </w:rPr>
        <w:t>15.5.2</w:t>
      </w:r>
      <w:r>
        <w:rPr>
          <w:rFonts w:hint="eastAsia"/>
          <w:color w:val="auto"/>
          <w:highlight w:val="none"/>
        </w:rPr>
        <w:t>中标人在规定期限内无故不与招标人签署监理合同（因不可抗力原因除外）。</w:t>
      </w:r>
    </w:p>
    <w:p>
      <w:pPr>
        <w:rPr>
          <w:color w:val="auto"/>
          <w:highlight w:val="none"/>
        </w:rPr>
      </w:pPr>
      <w:r>
        <w:rPr>
          <w:rFonts w:hint="eastAsia"/>
          <w:color w:val="auto"/>
          <w:highlight w:val="none"/>
        </w:rPr>
        <w:t>15.5.3有串标、围标、弄虚作假等情况的。</w:t>
      </w:r>
    </w:p>
    <w:p>
      <w:pPr>
        <w:rPr>
          <w:color w:val="auto"/>
          <w:kern w:val="0"/>
          <w:highlight w:val="none"/>
        </w:rPr>
      </w:pPr>
      <w:r>
        <w:rPr>
          <w:rFonts w:hint="eastAsia"/>
          <w:color w:val="auto"/>
          <w:highlight w:val="none"/>
        </w:rPr>
        <w:t>15.5.4法律法规约定的其他情形。</w:t>
      </w:r>
    </w:p>
    <w:p>
      <w:pPr>
        <w:rPr>
          <w:color w:val="auto"/>
          <w:highlight w:val="none"/>
        </w:rPr>
      </w:pPr>
      <w:bookmarkStart w:id="72" w:name="_Toc227474157"/>
      <w:bookmarkStart w:id="73" w:name="_Toc6442"/>
      <w:r>
        <w:rPr>
          <w:rFonts w:hint="eastAsia"/>
          <w:color w:val="auto"/>
          <w:highlight w:val="none"/>
        </w:rPr>
        <w:t>16. 投标文件的</w:t>
      </w:r>
      <w:bookmarkEnd w:id="72"/>
      <w:bookmarkEnd w:id="73"/>
      <w:r>
        <w:rPr>
          <w:rFonts w:hint="eastAsia"/>
          <w:color w:val="auto"/>
          <w:highlight w:val="none"/>
        </w:rPr>
        <w:t>编制</w:t>
      </w:r>
    </w:p>
    <w:p>
      <w:pPr>
        <w:rPr>
          <w:color w:val="auto"/>
          <w:highlight w:val="none"/>
        </w:rPr>
      </w:pPr>
      <w:r>
        <w:rPr>
          <w:rFonts w:hint="eastAsia"/>
          <w:color w:val="auto"/>
          <w:highlight w:val="none"/>
        </w:rPr>
        <w:t>16.1投标文件应按第五章“投标文件格式”使用驻马店市公共资源交易系统投标文件制作专用工具软件编制。其中，投标函附录在满足招标文件实质性要求的基础上，可以提出比招标文件要求更有利于招标人的承诺。</w:t>
      </w:r>
    </w:p>
    <w:p>
      <w:pPr>
        <w:rPr>
          <w:color w:val="auto"/>
          <w:highlight w:val="none"/>
        </w:rPr>
      </w:pPr>
      <w:r>
        <w:rPr>
          <w:rFonts w:hint="eastAsia"/>
          <w:color w:val="auto"/>
          <w:highlight w:val="none"/>
        </w:rPr>
        <w:t>16.2投标文件应当对招标文件有关工期、投标有效期、质量要求、技术标准和要求、招标范围等实质性内容作出响应。</w:t>
      </w:r>
    </w:p>
    <w:p>
      <w:pPr>
        <w:rPr>
          <w:color w:val="auto"/>
          <w:highlight w:val="none"/>
        </w:rPr>
      </w:pPr>
      <w:r>
        <w:rPr>
          <w:rFonts w:hint="eastAsia"/>
          <w:color w:val="auto"/>
          <w:highlight w:val="none"/>
        </w:rPr>
        <w:t xml:space="preserve">16.3电子投标文件 </w:t>
      </w:r>
    </w:p>
    <w:p>
      <w:pPr>
        <w:rPr>
          <w:color w:val="auto"/>
          <w:highlight w:val="none"/>
        </w:rPr>
      </w:pPr>
      <w:r>
        <w:rPr>
          <w:rFonts w:hint="eastAsia"/>
          <w:color w:val="auto"/>
          <w:highlight w:val="none"/>
        </w:rPr>
        <w:t xml:space="preserve">（1）经过加密的电子投标文件上传件为正本。 </w:t>
      </w:r>
    </w:p>
    <w:p>
      <w:pPr>
        <w:rPr>
          <w:color w:val="auto"/>
          <w:highlight w:val="none"/>
        </w:rPr>
      </w:pPr>
      <w:r>
        <w:rPr>
          <w:rFonts w:hint="eastAsia"/>
          <w:color w:val="auto"/>
          <w:highlight w:val="none"/>
        </w:rPr>
        <w:t xml:space="preserve">（2）所有要求投标人加盖公章的地方都须加盖投标人单位的 CA 印章。 </w:t>
      </w:r>
    </w:p>
    <w:p>
      <w:pPr>
        <w:rPr>
          <w:color w:val="auto"/>
          <w:highlight w:val="none"/>
        </w:rPr>
      </w:pPr>
      <w:r>
        <w:rPr>
          <w:rFonts w:hint="eastAsia"/>
          <w:color w:val="auto"/>
          <w:highlight w:val="none"/>
        </w:rPr>
        <w:t>（3）所有要求法定代表人签字的地方都须加盖法定代表人CA 印章， 需要委托代理人签字的可由委托代理人签字后以图片的形式扫描上传。</w:t>
      </w:r>
    </w:p>
    <w:p>
      <w:pPr>
        <w:rPr>
          <w:color w:val="auto"/>
          <w:highlight w:val="none"/>
        </w:rPr>
      </w:pPr>
      <w:r>
        <w:rPr>
          <w:rFonts w:hint="eastAsia"/>
          <w:color w:val="auto"/>
          <w:highlight w:val="none"/>
        </w:rPr>
        <w:t>（4）电子投标文件上传件，因投标人自身原因，导致电子投标文件上传件出现问题，其投标文件作无效标处理。若专家已完成评审，发现投标人没有交纳投标保证金则取消其中标候选人资格。</w:t>
      </w:r>
    </w:p>
    <w:p>
      <w:pPr>
        <w:rPr>
          <w:color w:val="auto"/>
          <w:highlight w:val="none"/>
        </w:rPr>
      </w:pPr>
      <w:r>
        <w:rPr>
          <w:rFonts w:hint="eastAsia"/>
          <w:color w:val="auto"/>
          <w:highlight w:val="none"/>
        </w:rPr>
        <w:t>16.4投标文件份数：加密的电子投标文件壹份（*.zmdtf 格式，在会员系统指定位置上传）。</w:t>
      </w:r>
    </w:p>
    <w:p>
      <w:pPr>
        <w:rPr>
          <w:color w:val="auto"/>
          <w:highlight w:val="none"/>
        </w:rPr>
      </w:pPr>
      <w:bookmarkStart w:id="74" w:name="_Toc227474158"/>
      <w:bookmarkStart w:id="75" w:name="_Toc3002"/>
      <w:r>
        <w:rPr>
          <w:rFonts w:hint="eastAsia"/>
          <w:color w:val="auto"/>
          <w:highlight w:val="none"/>
        </w:rPr>
        <w:t>17．现场勘察和投标预备会</w:t>
      </w:r>
      <w:bookmarkEnd w:id="74"/>
      <w:bookmarkEnd w:id="75"/>
    </w:p>
    <w:p>
      <w:pPr>
        <w:rPr>
          <w:color w:val="auto"/>
          <w:highlight w:val="none"/>
        </w:rPr>
      </w:pPr>
      <w:r>
        <w:rPr>
          <w:rFonts w:hint="eastAsia"/>
          <w:color w:val="auto"/>
          <w:highlight w:val="none"/>
        </w:rPr>
        <w:t>17.1 招标人发放招标文件后，将按前附表规定的日期和地点组织勘察现场和召开投标预备会，投标人应派代表出席；</w:t>
      </w:r>
    </w:p>
    <w:p>
      <w:pPr>
        <w:rPr>
          <w:color w:val="auto"/>
          <w:highlight w:val="none"/>
        </w:rPr>
      </w:pPr>
      <w:r>
        <w:rPr>
          <w:rFonts w:hint="eastAsia"/>
          <w:color w:val="auto"/>
          <w:highlight w:val="none"/>
        </w:rPr>
        <w:t>17.2 投标人应对工程现场和周围环境进行勘察，以获取须投标人自己负责的有关编制投标文件和签署合同所需的所有资料，并在投标文件中综合考虑可能影响项目建设周期和投标报价的应由承包人负责承担的风险，中标后不得以不完全了解工程现场和周围环境等为理由提出延长工期或其他经济补偿的要求；</w:t>
      </w:r>
    </w:p>
    <w:p>
      <w:pPr>
        <w:rPr>
          <w:color w:val="auto"/>
          <w:highlight w:val="none"/>
        </w:rPr>
      </w:pPr>
      <w:r>
        <w:rPr>
          <w:rFonts w:hint="eastAsia"/>
          <w:color w:val="auto"/>
          <w:highlight w:val="none"/>
        </w:rPr>
        <w:t>17.3投标人应自行承担因参加投标预备会以及勘察现场而发生的所有费用及风险；</w:t>
      </w:r>
    </w:p>
    <w:p>
      <w:pPr>
        <w:rPr>
          <w:color w:val="auto"/>
          <w:highlight w:val="none"/>
        </w:rPr>
      </w:pPr>
      <w:r>
        <w:rPr>
          <w:rFonts w:hint="eastAsia"/>
          <w:color w:val="auto"/>
          <w:highlight w:val="none"/>
        </w:rPr>
        <w:t>17.4 招标人向投标人提供的有关工程现场的数据和资料，是招标人现有的能使投标人利用的资料，招标人对投标人由此所做出的推论、理解和结论概不负责。</w:t>
      </w:r>
    </w:p>
    <w:p>
      <w:pPr>
        <w:pStyle w:val="2"/>
        <w:rPr>
          <w:color w:val="auto"/>
          <w:highlight w:val="none"/>
        </w:rPr>
      </w:pPr>
      <w:bookmarkStart w:id="76" w:name="_Toc32688"/>
      <w:bookmarkStart w:id="77" w:name="_Toc280348998"/>
      <w:bookmarkStart w:id="78" w:name="_Toc227474159"/>
      <w:bookmarkStart w:id="79" w:name="_Toc536524980"/>
    </w:p>
    <w:p>
      <w:pPr>
        <w:pStyle w:val="2"/>
        <w:jc w:val="left"/>
        <w:rPr>
          <w:rFonts w:hint="eastAsia"/>
          <w:color w:val="auto"/>
          <w:sz w:val="30"/>
          <w:szCs w:val="30"/>
          <w:highlight w:val="none"/>
        </w:rPr>
      </w:pPr>
      <w:bookmarkStart w:id="80" w:name="_Toc28254"/>
      <w:r>
        <w:rPr>
          <w:rFonts w:hint="eastAsia"/>
          <w:color w:val="auto"/>
          <w:sz w:val="30"/>
          <w:szCs w:val="30"/>
          <w:highlight w:val="none"/>
        </w:rPr>
        <w:t>四、投标文件的递交</w:t>
      </w:r>
      <w:bookmarkEnd w:id="76"/>
      <w:bookmarkEnd w:id="77"/>
      <w:bookmarkEnd w:id="78"/>
      <w:bookmarkEnd w:id="79"/>
      <w:bookmarkEnd w:id="80"/>
    </w:p>
    <w:p>
      <w:pPr>
        <w:rPr>
          <w:color w:val="auto"/>
          <w:highlight w:val="none"/>
        </w:rPr>
      </w:pPr>
      <w:bookmarkStart w:id="81" w:name="_Toc227474160"/>
      <w:bookmarkStart w:id="82" w:name="_Toc1300"/>
      <w:r>
        <w:rPr>
          <w:rFonts w:hint="eastAsia"/>
          <w:color w:val="auto"/>
          <w:highlight w:val="none"/>
        </w:rPr>
        <w:t>18．投标文件的密封与标记</w:t>
      </w:r>
      <w:bookmarkEnd w:id="81"/>
      <w:bookmarkEnd w:id="82"/>
    </w:p>
    <w:p>
      <w:pPr>
        <w:rPr>
          <w:color w:val="auto"/>
          <w:highlight w:val="none"/>
        </w:rPr>
      </w:pPr>
      <w:bookmarkStart w:id="83" w:name="_Toc17541"/>
      <w:bookmarkStart w:id="84" w:name="_Toc227474161"/>
      <w:r>
        <w:rPr>
          <w:rFonts w:hint="eastAsia"/>
          <w:color w:val="auto"/>
          <w:highlight w:val="none"/>
        </w:rPr>
        <w:t>18.1 网上上传的电子投标文件应使用数字证书认证并加密；如网上上传的投标文件未按本章第16.3、16.4项要求加密和数字证书认证的投标文件，招标人将不予受理。</w:t>
      </w:r>
    </w:p>
    <w:p>
      <w:pPr>
        <w:rPr>
          <w:color w:val="auto"/>
          <w:highlight w:val="none"/>
        </w:rPr>
      </w:pPr>
      <w:r>
        <w:rPr>
          <w:rFonts w:hint="eastAsia"/>
          <w:color w:val="auto"/>
          <w:highlight w:val="none"/>
        </w:rPr>
        <w:t>18.2 未按本投标人须知前附表要求密封和加写标记的投标文件，招标人不予接受。</w:t>
      </w:r>
    </w:p>
    <w:p>
      <w:pPr>
        <w:rPr>
          <w:color w:val="auto"/>
          <w:highlight w:val="none"/>
        </w:rPr>
      </w:pPr>
      <w:r>
        <w:rPr>
          <w:rFonts w:hint="eastAsia"/>
          <w:color w:val="auto"/>
          <w:highlight w:val="none"/>
        </w:rPr>
        <w:t>19.投标文件的递交</w:t>
      </w:r>
      <w:bookmarkEnd w:id="83"/>
      <w:bookmarkEnd w:id="84"/>
    </w:p>
    <w:p>
      <w:pPr>
        <w:rPr>
          <w:color w:val="auto"/>
          <w:highlight w:val="none"/>
        </w:rPr>
      </w:pPr>
      <w:bookmarkStart w:id="85" w:name="_Toc32008"/>
      <w:bookmarkStart w:id="86" w:name="_Toc227474162"/>
      <w:r>
        <w:rPr>
          <w:rFonts w:hint="eastAsia"/>
          <w:color w:val="auto"/>
          <w:highlight w:val="none"/>
        </w:rPr>
        <w:t>19.1 投标人应在投标人须知前附表规定的投标截止时间前递交投标文件。</w:t>
      </w:r>
    </w:p>
    <w:p>
      <w:pPr>
        <w:rPr>
          <w:color w:val="auto"/>
          <w:highlight w:val="none"/>
        </w:rPr>
      </w:pPr>
      <w:r>
        <w:rPr>
          <w:rFonts w:hint="eastAsia"/>
          <w:color w:val="auto"/>
          <w:highlight w:val="none"/>
        </w:rPr>
        <w:t>19.2 投标人递交投标文件的地点：见投标人须知前附表。</w:t>
      </w:r>
    </w:p>
    <w:p>
      <w:pPr>
        <w:rPr>
          <w:color w:val="auto"/>
          <w:highlight w:val="none"/>
        </w:rPr>
      </w:pPr>
      <w:r>
        <w:rPr>
          <w:rFonts w:hint="eastAsia"/>
          <w:color w:val="auto"/>
          <w:highlight w:val="none"/>
        </w:rPr>
        <w:t>19.3 投标人递交投标文件的同时，需在投标人业务系统的资格审查材料中提交资格审查和业绩信誉核验所需证件（证明）扫描件。</w:t>
      </w:r>
    </w:p>
    <w:p>
      <w:pPr>
        <w:rPr>
          <w:color w:val="auto"/>
          <w:highlight w:val="none"/>
        </w:rPr>
      </w:pPr>
      <w:r>
        <w:rPr>
          <w:rFonts w:hint="eastAsia"/>
          <w:color w:val="auto"/>
          <w:highlight w:val="none"/>
        </w:rPr>
        <w:t>19.4 除投标人须知前附表另有规定外，投标人所递交的投标文件不予退还。</w:t>
      </w:r>
    </w:p>
    <w:p>
      <w:pPr>
        <w:rPr>
          <w:color w:val="auto"/>
          <w:highlight w:val="none"/>
        </w:rPr>
      </w:pPr>
      <w:r>
        <w:rPr>
          <w:rFonts w:hint="eastAsia"/>
          <w:color w:val="auto"/>
          <w:highlight w:val="none"/>
        </w:rPr>
        <w:t>19.5 逾期送达的或者未送达指定地点的投标文件，招标人不予受理。</w:t>
      </w:r>
    </w:p>
    <w:p>
      <w:pPr>
        <w:rPr>
          <w:color w:val="auto"/>
          <w:highlight w:val="none"/>
        </w:rPr>
      </w:pPr>
      <w:r>
        <w:rPr>
          <w:rFonts w:hint="eastAsia"/>
          <w:color w:val="auto"/>
          <w:highlight w:val="none"/>
        </w:rPr>
        <w:t>20．投标截止时间</w:t>
      </w:r>
      <w:bookmarkEnd w:id="85"/>
      <w:bookmarkEnd w:id="86"/>
    </w:p>
    <w:p>
      <w:pPr>
        <w:rPr>
          <w:color w:val="auto"/>
          <w:highlight w:val="none"/>
        </w:rPr>
      </w:pPr>
      <w:r>
        <w:rPr>
          <w:rFonts w:hint="eastAsia"/>
          <w:color w:val="auto"/>
          <w:highlight w:val="none"/>
        </w:rPr>
        <w:t>20.1 投标人应按前附表所规定的投标文件递交截止时间之前将投标文件上传。</w:t>
      </w:r>
    </w:p>
    <w:p>
      <w:pPr>
        <w:rPr>
          <w:color w:val="auto"/>
          <w:highlight w:val="none"/>
        </w:rPr>
      </w:pPr>
      <w:r>
        <w:rPr>
          <w:rFonts w:hint="eastAsia"/>
          <w:color w:val="auto"/>
          <w:highlight w:val="none"/>
        </w:rPr>
        <w:t>20.2 投标截止时间止，招标人收到的投标文件少于3家的，招标人将依法重新组织招标。</w:t>
      </w:r>
    </w:p>
    <w:p>
      <w:pPr>
        <w:rPr>
          <w:color w:val="auto"/>
          <w:highlight w:val="none"/>
        </w:rPr>
      </w:pPr>
      <w:bookmarkStart w:id="87" w:name="_Toc227474163"/>
      <w:bookmarkStart w:id="88" w:name="_Toc32235"/>
      <w:r>
        <w:rPr>
          <w:rFonts w:hint="eastAsia"/>
          <w:color w:val="auto"/>
          <w:highlight w:val="none"/>
        </w:rPr>
        <w:t>21．迟交的投标文件</w:t>
      </w:r>
      <w:bookmarkEnd w:id="87"/>
      <w:bookmarkEnd w:id="88"/>
    </w:p>
    <w:p>
      <w:pPr>
        <w:rPr>
          <w:color w:val="auto"/>
          <w:highlight w:val="none"/>
        </w:rPr>
      </w:pPr>
      <w:r>
        <w:rPr>
          <w:rFonts w:hint="eastAsia"/>
          <w:color w:val="auto"/>
          <w:highlight w:val="none"/>
        </w:rPr>
        <w:t>21.1招标人在本须知第20条规定的投标截止时间以后收到的投标文件，将被拒绝并退回给投标人。</w:t>
      </w:r>
    </w:p>
    <w:p>
      <w:pPr>
        <w:pStyle w:val="46"/>
        <w:numPr>
          <w:ilvl w:val="0"/>
          <w:numId w:val="2"/>
        </w:numPr>
        <w:ind w:firstLineChars="0"/>
        <w:rPr>
          <w:color w:val="auto"/>
          <w:highlight w:val="none"/>
        </w:rPr>
      </w:pPr>
      <w:bookmarkStart w:id="89" w:name="_Toc3888"/>
      <w:bookmarkStart w:id="90" w:name="_Toc227474164"/>
      <w:r>
        <w:rPr>
          <w:rFonts w:hint="eastAsia"/>
          <w:color w:val="auto"/>
          <w:highlight w:val="none"/>
        </w:rPr>
        <w:t>投标文件的修改、补充与撤回</w:t>
      </w:r>
      <w:bookmarkEnd w:id="89"/>
      <w:bookmarkEnd w:id="90"/>
    </w:p>
    <w:p>
      <w:pPr>
        <w:rPr>
          <w:b/>
          <w:color w:val="auto"/>
          <w:highlight w:val="none"/>
        </w:rPr>
      </w:pPr>
      <w:r>
        <w:rPr>
          <w:rFonts w:hint="eastAsia"/>
          <w:color w:val="auto"/>
          <w:kern w:val="0"/>
          <w:highlight w:val="none"/>
        </w:rPr>
        <w:t>在</w:t>
      </w:r>
      <w:r>
        <w:rPr>
          <w:rFonts w:hint="eastAsia"/>
          <w:color w:val="auto"/>
          <w:highlight w:val="none"/>
        </w:rPr>
        <w:t>投标人须知前附表规定</w:t>
      </w:r>
      <w:r>
        <w:rPr>
          <w:rFonts w:hint="eastAsia"/>
          <w:color w:val="auto"/>
          <w:kern w:val="0"/>
          <w:highlight w:val="none"/>
        </w:rPr>
        <w:t>的投标截止时间前，</w:t>
      </w:r>
      <w:r>
        <w:rPr>
          <w:rFonts w:hint="eastAsia"/>
          <w:color w:val="auto"/>
          <w:highlight w:val="none"/>
        </w:rPr>
        <w:t>投标人可以多次修改或撤回已递交的投标文件，最终投标文件以投标截止时间前完成上传至驻马店市公共资源交易中心交易系统最后一份投标文件为准。</w:t>
      </w:r>
    </w:p>
    <w:p>
      <w:pPr>
        <w:pStyle w:val="2"/>
        <w:jc w:val="left"/>
        <w:rPr>
          <w:rFonts w:hint="eastAsia"/>
          <w:color w:val="auto"/>
          <w:sz w:val="30"/>
          <w:szCs w:val="30"/>
          <w:highlight w:val="none"/>
        </w:rPr>
      </w:pPr>
      <w:bookmarkStart w:id="91" w:name="_Toc227474165"/>
      <w:bookmarkStart w:id="92" w:name="_Toc536524981"/>
      <w:bookmarkStart w:id="93" w:name="_Toc9731"/>
      <w:bookmarkStart w:id="94" w:name="_Toc280348999"/>
      <w:bookmarkStart w:id="95" w:name="_Toc29831"/>
      <w:r>
        <w:rPr>
          <w:rFonts w:hint="eastAsia"/>
          <w:color w:val="auto"/>
          <w:sz w:val="30"/>
          <w:szCs w:val="30"/>
          <w:highlight w:val="none"/>
        </w:rPr>
        <w:t>五、开  标</w:t>
      </w:r>
      <w:bookmarkEnd w:id="91"/>
      <w:bookmarkEnd w:id="92"/>
      <w:bookmarkEnd w:id="93"/>
      <w:bookmarkEnd w:id="94"/>
      <w:bookmarkEnd w:id="95"/>
    </w:p>
    <w:p>
      <w:pPr>
        <w:rPr>
          <w:color w:val="auto"/>
          <w:highlight w:val="none"/>
        </w:rPr>
      </w:pPr>
      <w:bookmarkStart w:id="96" w:name="_Toc11857"/>
      <w:bookmarkStart w:id="97" w:name="_Toc227474166"/>
      <w:r>
        <w:rPr>
          <w:rFonts w:hint="eastAsia"/>
          <w:color w:val="auto"/>
          <w:highlight w:val="none"/>
        </w:rPr>
        <w:t>23．</w:t>
      </w:r>
      <w:bookmarkEnd w:id="96"/>
      <w:bookmarkEnd w:id="97"/>
      <w:bookmarkStart w:id="98" w:name="_Toc4891"/>
      <w:bookmarkStart w:id="99" w:name="_Toc26447395"/>
      <w:r>
        <w:rPr>
          <w:rFonts w:hint="eastAsia"/>
          <w:color w:val="auto"/>
          <w:highlight w:val="none"/>
        </w:rPr>
        <w:t>开标的时间、地点和要求</w:t>
      </w:r>
      <w:bookmarkEnd w:id="98"/>
      <w:bookmarkEnd w:id="99"/>
    </w:p>
    <w:p>
      <w:pPr>
        <w:rPr>
          <w:rFonts w:ascii="宋体" w:hAnsi="宋体" w:cs="宋体"/>
          <w:color w:val="auto"/>
          <w:highlight w:val="none"/>
        </w:rPr>
      </w:pPr>
      <w:r>
        <w:rPr>
          <w:rFonts w:hint="eastAsia" w:ascii="宋体" w:hAnsi="宋体" w:cs="宋体"/>
          <w:color w:val="auto"/>
          <w:highlight w:val="none"/>
        </w:rPr>
        <w:t>23.1 招标人在本章第20.1项规定的投标截止时间（开标时间）和投标人须知前附表规定的地点开标。投标人的法定代表人或其委托代理人</w:t>
      </w:r>
      <w:r>
        <w:rPr>
          <w:rFonts w:hint="eastAsia"/>
          <w:color w:val="auto"/>
          <w:highlight w:val="none"/>
        </w:rPr>
        <w:t>无需到达开标现场，仅需在任意地点通过驻马店不见面开标系统及相应的配套硬件设备（摄像头、话筒、麦克风等），使用CA密钥完成远程解密、评标办法与系数抽取、文件传输、提疑澄清、开标唱标、结果公布等交互环节。</w:t>
      </w:r>
    </w:p>
    <w:p>
      <w:pPr>
        <w:rPr>
          <w:bCs/>
          <w:color w:val="auto"/>
          <w:highlight w:val="none"/>
        </w:rPr>
      </w:pPr>
      <w:r>
        <w:rPr>
          <w:rFonts w:hint="eastAsia"/>
          <w:color w:val="auto"/>
          <w:highlight w:val="none"/>
        </w:rPr>
        <w:t>法定代表人或法定代表人授权委托人参与远程交互，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hint="eastAsia"/>
          <w:bCs/>
          <w:color w:val="auto"/>
          <w:highlight w:val="none"/>
        </w:rPr>
        <w:t>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pPr>
        <w:rPr>
          <w:color w:val="auto"/>
          <w:highlight w:val="none"/>
        </w:rPr>
      </w:pPr>
      <w:r>
        <w:rPr>
          <w:rFonts w:hint="eastAsia"/>
          <w:color w:val="auto"/>
          <w:highlight w:val="none"/>
        </w:rPr>
        <w:t>23.2远程开标前，投标人务必在驻马店市公共资源交易电子交易平台投标文件上传模块中使用“模拟解密”功能，验证本机远程自助解密环境。</w:t>
      </w:r>
    </w:p>
    <w:p>
      <w:pPr>
        <w:rPr>
          <w:color w:val="auto"/>
          <w:highlight w:val="none"/>
        </w:rPr>
      </w:pPr>
      <w:r>
        <w:rPr>
          <w:rFonts w:hint="eastAsia"/>
          <w:color w:val="auto"/>
          <w:highlight w:val="none"/>
        </w:rPr>
        <w:t>23.3逾期上传/送达的或者未上传/未送达指定地点的投标文件，招标人不予受理。投标人须在投标人须知前附表规定的时间内完成解密。</w:t>
      </w:r>
    </w:p>
    <w:p>
      <w:pPr>
        <w:rPr>
          <w:color w:val="auto"/>
          <w:highlight w:val="none"/>
        </w:rPr>
      </w:pPr>
      <w:r>
        <w:rPr>
          <w:rFonts w:hint="eastAsia"/>
          <w:color w:val="auto"/>
          <w:highlight w:val="none"/>
        </w:rPr>
        <w:t>23.4开标程序：</w:t>
      </w:r>
    </w:p>
    <w:p>
      <w:pPr>
        <w:rPr>
          <w:color w:val="auto"/>
          <w:highlight w:val="none"/>
        </w:rPr>
      </w:pPr>
      <w:r>
        <w:rPr>
          <w:rFonts w:hint="eastAsia"/>
          <w:color w:val="auto"/>
          <w:highlight w:val="none"/>
        </w:rPr>
        <w:t>23.4.1本工程采用</w:t>
      </w:r>
      <w:r>
        <w:rPr>
          <w:rFonts w:hint="eastAsia" w:ascii="宋体" w:hAnsi="宋体" w:cs="宋体"/>
          <w:color w:val="auto"/>
          <w:highlight w:val="none"/>
        </w:rPr>
        <w:t>远程不见面</w:t>
      </w:r>
      <w:r>
        <w:rPr>
          <w:rFonts w:hint="eastAsia"/>
          <w:color w:val="auto"/>
          <w:highlight w:val="none"/>
        </w:rPr>
        <w:t>电子开标。投标截止时间到达后，各投标人按不见面开标系统提示程序进行开标。</w:t>
      </w:r>
    </w:p>
    <w:p>
      <w:pPr>
        <w:rPr>
          <w:color w:val="auto"/>
          <w:highlight w:val="none"/>
        </w:rPr>
      </w:pPr>
      <w:r>
        <w:rPr>
          <w:rFonts w:hint="eastAsia"/>
          <w:color w:val="auto"/>
          <w:highlight w:val="none"/>
        </w:rPr>
        <w:t>23.4.2若因招标人原因或网上招投标平台发生故障，导致无法按时完成投标文件解密或开、评标工作无法进行的，可根据实际情况相应延迟解密时间或调整开、评标时间。</w:t>
      </w:r>
    </w:p>
    <w:p>
      <w:pPr>
        <w:rPr>
          <w:color w:val="auto"/>
          <w:highlight w:val="none"/>
        </w:rPr>
      </w:pPr>
      <w:r>
        <w:rPr>
          <w:rFonts w:hint="eastAsia"/>
          <w:color w:val="auto"/>
          <w:highlight w:val="none"/>
        </w:rPr>
        <w:t>23.4.3开标时出现下列情况的，招标人将拒绝其投标文件。</w:t>
      </w:r>
    </w:p>
    <w:p>
      <w:pPr>
        <w:rPr>
          <w:color w:val="auto"/>
          <w:highlight w:val="none"/>
        </w:rPr>
      </w:pPr>
      <w:r>
        <w:rPr>
          <w:rFonts w:hint="eastAsia"/>
          <w:color w:val="auto"/>
          <w:highlight w:val="none"/>
        </w:rPr>
        <w:t>（1）经检查数字证书无效的投标文件；</w:t>
      </w:r>
    </w:p>
    <w:p>
      <w:pPr>
        <w:rPr>
          <w:color w:val="auto"/>
          <w:highlight w:val="none"/>
        </w:rPr>
      </w:pPr>
      <w:r>
        <w:rPr>
          <w:rFonts w:hint="eastAsia"/>
          <w:color w:val="auto"/>
          <w:highlight w:val="none"/>
        </w:rPr>
        <w:t>（2）投标人未按投标人须知表 23项规定的时间内因投标人自身原因，导致电子投标文件上传件出现问题无法正常解密、解密失败或解密超时的；</w:t>
      </w:r>
    </w:p>
    <w:p>
      <w:pPr>
        <w:rPr>
          <w:color w:val="auto"/>
          <w:highlight w:val="none"/>
        </w:rPr>
      </w:pPr>
      <w:r>
        <w:rPr>
          <w:rFonts w:hint="eastAsia"/>
          <w:color w:val="auto"/>
          <w:highlight w:val="none"/>
        </w:rPr>
        <w:t>23.4.4纸质开标</w:t>
      </w:r>
    </w:p>
    <w:p>
      <w:pPr>
        <w:rPr>
          <w:color w:val="auto"/>
          <w:highlight w:val="none"/>
        </w:rPr>
      </w:pPr>
      <w:r>
        <w:rPr>
          <w:rFonts w:hint="eastAsia"/>
          <w:color w:val="auto"/>
          <w:highlight w:val="none"/>
        </w:rPr>
        <w:t>本项目不适用。</w:t>
      </w:r>
    </w:p>
    <w:p>
      <w:pPr>
        <w:rPr>
          <w:color w:val="auto"/>
          <w:highlight w:val="none"/>
        </w:rPr>
      </w:pPr>
      <w:bookmarkStart w:id="100" w:name="_Toc26886"/>
      <w:bookmarkStart w:id="101" w:name="_Toc227474167"/>
      <w:r>
        <w:rPr>
          <w:rFonts w:hint="eastAsia"/>
          <w:color w:val="auto"/>
          <w:highlight w:val="none"/>
        </w:rPr>
        <w:t xml:space="preserve">24. </w:t>
      </w:r>
      <w:bookmarkEnd w:id="100"/>
      <w:bookmarkEnd w:id="101"/>
      <w:r>
        <w:rPr>
          <w:rFonts w:hint="eastAsia"/>
          <w:color w:val="auto"/>
          <w:highlight w:val="none"/>
        </w:rPr>
        <w:t>开标异议</w:t>
      </w:r>
    </w:p>
    <w:p>
      <w:pPr>
        <w:rPr>
          <w:color w:val="auto"/>
          <w:highlight w:val="none"/>
        </w:rPr>
      </w:pPr>
      <w:r>
        <w:rPr>
          <w:rFonts w:hint="eastAsia"/>
          <w:color w:val="auto"/>
          <w:highlight w:val="none"/>
        </w:rPr>
        <w:t>投标人对开标有异议的，可在开标期间通过不见面开标大厅进行网上提问，招标人当场作出答复。</w:t>
      </w:r>
    </w:p>
    <w:p>
      <w:pPr>
        <w:pStyle w:val="7"/>
        <w:rPr>
          <w:color w:val="auto"/>
          <w:highlight w:val="none"/>
        </w:rPr>
      </w:pPr>
    </w:p>
    <w:p>
      <w:pPr>
        <w:pStyle w:val="2"/>
        <w:jc w:val="left"/>
        <w:rPr>
          <w:rFonts w:hint="eastAsia"/>
          <w:color w:val="auto"/>
          <w:sz w:val="30"/>
          <w:szCs w:val="30"/>
          <w:highlight w:val="none"/>
        </w:rPr>
      </w:pPr>
      <w:bookmarkStart w:id="102" w:name="_Toc280349000"/>
      <w:bookmarkStart w:id="103" w:name="_Toc20538"/>
      <w:bookmarkStart w:id="104" w:name="_Toc28656"/>
      <w:bookmarkStart w:id="105" w:name="_Toc536524982"/>
      <w:bookmarkStart w:id="106" w:name="_Toc227474168"/>
      <w:r>
        <w:rPr>
          <w:rFonts w:hint="eastAsia"/>
          <w:color w:val="auto"/>
          <w:sz w:val="30"/>
          <w:szCs w:val="30"/>
          <w:highlight w:val="none"/>
        </w:rPr>
        <w:t>六、评  标</w:t>
      </w:r>
      <w:bookmarkEnd w:id="102"/>
      <w:bookmarkEnd w:id="103"/>
      <w:bookmarkEnd w:id="104"/>
      <w:bookmarkEnd w:id="105"/>
      <w:bookmarkEnd w:id="106"/>
    </w:p>
    <w:p>
      <w:pPr>
        <w:rPr>
          <w:color w:val="auto"/>
          <w:highlight w:val="none"/>
        </w:rPr>
      </w:pPr>
      <w:bookmarkStart w:id="107" w:name="_Toc227474169"/>
      <w:bookmarkStart w:id="108" w:name="_Toc24083"/>
      <w:r>
        <w:rPr>
          <w:rFonts w:hint="eastAsia"/>
          <w:color w:val="auto"/>
          <w:highlight w:val="none"/>
        </w:rPr>
        <w:t>25．评标委员会与评标</w:t>
      </w:r>
      <w:bookmarkEnd w:id="107"/>
      <w:bookmarkEnd w:id="108"/>
    </w:p>
    <w:p>
      <w:pPr>
        <w:rPr>
          <w:color w:val="auto"/>
          <w:highlight w:val="none"/>
        </w:rPr>
      </w:pPr>
      <w:r>
        <w:rPr>
          <w:rFonts w:hint="eastAsia"/>
          <w:color w:val="auto"/>
          <w:highlight w:val="none"/>
        </w:rPr>
        <w:t>25.1评标由招标人依法组建的评标委员会负责。评标委员会由有关技术、经济等方面的专家组成。评标委员会成员人数以及技术、经济等方面专家的确定方式见投标人须知前附表。</w:t>
      </w:r>
    </w:p>
    <w:p>
      <w:pPr>
        <w:rPr>
          <w:color w:val="auto"/>
          <w:highlight w:val="none"/>
        </w:rPr>
      </w:pPr>
      <w:r>
        <w:rPr>
          <w:rFonts w:hint="eastAsia"/>
          <w:color w:val="auto"/>
          <w:highlight w:val="none"/>
        </w:rPr>
        <w:t>25.2评标委员会成员有下列情形之一的，应当回避：</w:t>
      </w:r>
    </w:p>
    <w:p>
      <w:pPr>
        <w:rPr>
          <w:color w:val="auto"/>
          <w:highlight w:val="none"/>
        </w:rPr>
      </w:pPr>
      <w:r>
        <w:rPr>
          <w:rFonts w:hint="eastAsia"/>
          <w:color w:val="auto"/>
          <w:highlight w:val="none"/>
        </w:rPr>
        <w:t>（1）投标人的主要负责人的近亲属；</w:t>
      </w:r>
    </w:p>
    <w:p>
      <w:pPr>
        <w:rPr>
          <w:color w:val="auto"/>
          <w:highlight w:val="none"/>
        </w:rPr>
      </w:pPr>
      <w:r>
        <w:rPr>
          <w:rFonts w:hint="eastAsia"/>
          <w:color w:val="auto"/>
          <w:highlight w:val="none"/>
        </w:rPr>
        <w:t>（2）项目主管部门或者行政监督部门的人员；</w:t>
      </w:r>
    </w:p>
    <w:p>
      <w:pPr>
        <w:rPr>
          <w:color w:val="auto"/>
          <w:highlight w:val="none"/>
        </w:rPr>
      </w:pPr>
      <w:r>
        <w:rPr>
          <w:rFonts w:hint="eastAsia"/>
          <w:color w:val="auto"/>
          <w:highlight w:val="none"/>
        </w:rPr>
        <w:t>（3）与投标人有经济利益关系，可能影响对投标公正评审的；</w:t>
      </w:r>
    </w:p>
    <w:p>
      <w:pPr>
        <w:rPr>
          <w:color w:val="auto"/>
          <w:highlight w:val="none"/>
        </w:rPr>
      </w:pPr>
      <w:r>
        <w:rPr>
          <w:rFonts w:hint="eastAsia"/>
          <w:color w:val="auto"/>
          <w:highlight w:val="none"/>
        </w:rPr>
        <w:t>（4）曾因在招标、评标以及其他与招标投标有关活动中从事违法行为而受过行政处罚或刑事处罚的。</w:t>
      </w:r>
    </w:p>
    <w:p>
      <w:pPr>
        <w:rPr>
          <w:color w:val="auto"/>
          <w:highlight w:val="none"/>
        </w:rPr>
      </w:pPr>
      <w:r>
        <w:rPr>
          <w:rFonts w:hint="eastAsia"/>
          <w:color w:val="auto"/>
          <w:highlight w:val="none"/>
        </w:rPr>
        <w:t>（5）“信用中国”网站（www.creditchina,gov,cn）记录为失信被执行人的。</w:t>
      </w:r>
    </w:p>
    <w:p>
      <w:pPr>
        <w:rPr>
          <w:color w:val="auto"/>
          <w:highlight w:val="none"/>
        </w:rPr>
      </w:pPr>
      <w:r>
        <w:rPr>
          <w:rFonts w:hint="eastAsia"/>
          <w:color w:val="auto"/>
          <w:highlight w:val="none"/>
        </w:rPr>
        <w:t>25.3 评标委员会成员应当本着实事求是的精神，客观、公正地履行职责，遵守职业道德，并对所提出的评审意见承担个人责任。</w:t>
      </w:r>
    </w:p>
    <w:p>
      <w:pPr>
        <w:rPr>
          <w:color w:val="auto"/>
          <w:highlight w:val="none"/>
        </w:rPr>
      </w:pPr>
      <w:bookmarkStart w:id="109" w:name="_Toc3545"/>
      <w:bookmarkStart w:id="110" w:name="_Toc227474170"/>
      <w:r>
        <w:rPr>
          <w:rFonts w:hint="eastAsia"/>
          <w:color w:val="auto"/>
          <w:highlight w:val="none"/>
        </w:rPr>
        <w:t>26．评标过程的保密</w:t>
      </w:r>
      <w:bookmarkEnd w:id="109"/>
      <w:bookmarkEnd w:id="110"/>
    </w:p>
    <w:p>
      <w:pPr>
        <w:rPr>
          <w:color w:val="auto"/>
          <w:highlight w:val="none"/>
        </w:rPr>
      </w:pPr>
      <w:r>
        <w:rPr>
          <w:rFonts w:hint="eastAsia"/>
          <w:color w:val="auto"/>
          <w:highlight w:val="none"/>
        </w:rPr>
        <w:t>26.1 开标后，直至授予中标人合同为止，凡属于对投标文件的审查、澄清、评价和比较有关的资料以及中标候选人的推荐情况，与评标有关的其他任何情况均严格保密；</w:t>
      </w:r>
    </w:p>
    <w:p>
      <w:pPr>
        <w:rPr>
          <w:color w:val="auto"/>
          <w:highlight w:val="none"/>
        </w:rPr>
      </w:pPr>
      <w:r>
        <w:rPr>
          <w:rFonts w:hint="eastAsia"/>
          <w:color w:val="auto"/>
          <w:highlight w:val="none"/>
        </w:rPr>
        <w:t>26.2 在投标文件的评审和比较、中标候选人推荐以及授予合同的过程中，投标人向招标人和评标委员会施加影响的任何行为，都将会导致其投标被拒绝；</w:t>
      </w:r>
    </w:p>
    <w:p>
      <w:pPr>
        <w:rPr>
          <w:color w:val="auto"/>
          <w:highlight w:val="none"/>
        </w:rPr>
      </w:pPr>
      <w:bookmarkStart w:id="111" w:name="_Toc18309"/>
      <w:bookmarkStart w:id="112" w:name="_Toc227474171"/>
      <w:r>
        <w:rPr>
          <w:rFonts w:hint="eastAsia"/>
          <w:color w:val="auto"/>
          <w:highlight w:val="none"/>
        </w:rPr>
        <w:t>27．投标文件的澄清</w:t>
      </w:r>
      <w:bookmarkEnd w:id="111"/>
      <w:bookmarkEnd w:id="112"/>
    </w:p>
    <w:p>
      <w:pPr>
        <w:rPr>
          <w:b/>
          <w:color w:val="auto"/>
          <w:highlight w:val="none"/>
        </w:rPr>
      </w:pPr>
      <w:r>
        <w:rPr>
          <w:rFonts w:hint="eastAsia"/>
          <w:color w:val="auto"/>
          <w:highlight w:val="none"/>
        </w:rPr>
        <w:t>为了有助于投标文件的审查、评价和比较，评标委员会可以以书面形式个别要求投标人对投标文件含义不明确的内容作必要的澄清或说明，投标人应以书面形式进行澄清或说明，但不得超出投标文件的范围或改变投标文件的实质性内容。</w:t>
      </w:r>
      <w:bookmarkStart w:id="113" w:name="_Toc227474172"/>
      <w:bookmarkStart w:id="114" w:name="_Toc182"/>
    </w:p>
    <w:p>
      <w:pPr>
        <w:rPr>
          <w:color w:val="auto"/>
          <w:highlight w:val="none"/>
        </w:rPr>
      </w:pPr>
      <w:r>
        <w:rPr>
          <w:rFonts w:hint="eastAsia"/>
          <w:color w:val="auto"/>
          <w:highlight w:val="none"/>
        </w:rPr>
        <w:t>28．</w:t>
      </w:r>
      <w:bookmarkEnd w:id="113"/>
      <w:bookmarkEnd w:id="114"/>
      <w:r>
        <w:rPr>
          <w:rFonts w:hint="eastAsia"/>
          <w:color w:val="auto"/>
          <w:highlight w:val="none"/>
        </w:rPr>
        <w:t>评标</w:t>
      </w:r>
    </w:p>
    <w:p>
      <w:pPr>
        <w:rPr>
          <w:color w:val="auto"/>
          <w:highlight w:val="none"/>
        </w:rPr>
      </w:pPr>
      <w:bookmarkStart w:id="115" w:name="_Toc12651"/>
      <w:bookmarkStart w:id="116" w:name="_Toc227474174"/>
      <w:r>
        <w:rPr>
          <w:rFonts w:hint="eastAsia"/>
          <w:color w:val="auto"/>
          <w:highlight w:val="none"/>
        </w:rPr>
        <w:t>评标委员会按照本章第29条款“</w:t>
      </w:r>
      <w:r>
        <w:rPr>
          <w:rFonts w:hint="eastAsia"/>
          <w:b/>
          <w:color w:val="auto"/>
          <w:highlight w:val="none"/>
        </w:rPr>
        <w:t>评标办法及标准</w:t>
      </w:r>
      <w:r>
        <w:rPr>
          <w:rFonts w:hint="eastAsia"/>
          <w:color w:val="auto"/>
          <w:highlight w:val="none"/>
        </w:rPr>
        <w:t>”规定的方法、评审因素、标准和程序对投标文件进行评审。本章第29条款“</w:t>
      </w:r>
      <w:r>
        <w:rPr>
          <w:rFonts w:hint="eastAsia"/>
          <w:b/>
          <w:color w:val="auto"/>
          <w:highlight w:val="none"/>
        </w:rPr>
        <w:t>评标办法及标准</w:t>
      </w:r>
      <w:r>
        <w:rPr>
          <w:rFonts w:hint="eastAsia"/>
          <w:color w:val="auto"/>
          <w:highlight w:val="none"/>
        </w:rPr>
        <w:t>”没有规定的方法、评审因素和标准，不作为评标依据。</w:t>
      </w:r>
    </w:p>
    <w:p>
      <w:pPr>
        <w:rPr>
          <w:color w:val="auto"/>
          <w:highlight w:val="none"/>
        </w:rPr>
      </w:pPr>
      <w:r>
        <w:rPr>
          <w:rFonts w:hint="eastAsia"/>
          <w:color w:val="auto"/>
          <w:highlight w:val="none"/>
        </w:rPr>
        <w:t>29.评标办法及标准</w:t>
      </w:r>
      <w:bookmarkEnd w:id="115"/>
      <w:bookmarkEnd w:id="116"/>
    </w:p>
    <w:p>
      <w:pPr>
        <w:rPr>
          <w:color w:val="auto"/>
          <w:highlight w:val="none"/>
        </w:rPr>
      </w:pPr>
      <w:bookmarkStart w:id="117" w:name="_Toc227474180"/>
      <w:bookmarkStart w:id="118" w:name="_Toc698"/>
      <w:r>
        <w:rPr>
          <w:rFonts w:hint="eastAsia"/>
          <w:color w:val="auto"/>
          <w:highlight w:val="none"/>
        </w:rPr>
        <w:t>本工程监理评标，采用综合评估法：</w:t>
      </w:r>
    </w:p>
    <w:p>
      <w:pPr>
        <w:rPr>
          <w:color w:val="auto"/>
          <w:highlight w:val="none"/>
        </w:rPr>
      </w:pPr>
      <w:r>
        <w:rPr>
          <w:rFonts w:hint="eastAsia"/>
          <w:color w:val="auto"/>
          <w:highlight w:val="none"/>
        </w:rPr>
        <w:t>29.1评标办法前附表</w:t>
      </w:r>
    </w:p>
    <w:tbl>
      <w:tblPr>
        <w:tblStyle w:val="25"/>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046"/>
        <w:gridCol w:w="1112"/>
        <w:gridCol w:w="1010"/>
        <w:gridCol w:w="5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5" w:type="dxa"/>
            <w:gridSpan w:val="2"/>
            <w:vAlign w:val="center"/>
          </w:tcPr>
          <w:p>
            <w:pPr>
              <w:ind w:left="0" w:leftChars="0" w:firstLine="0" w:firstLineChars="0"/>
              <w:jc w:val="center"/>
              <w:rPr>
                <w:color w:val="auto"/>
                <w:highlight w:val="none"/>
              </w:rPr>
            </w:pPr>
            <w:bookmarkStart w:id="119" w:name="_Toc427507122"/>
            <w:bookmarkStart w:id="120" w:name="_Toc299439352"/>
            <w:bookmarkStart w:id="121" w:name="_Toc228337131"/>
            <w:bookmarkStart w:id="122" w:name="_Toc227492277"/>
            <w:bookmarkStart w:id="123" w:name="_Toc228881194"/>
            <w:bookmarkStart w:id="124" w:name="_Toc228591690"/>
            <w:bookmarkStart w:id="125" w:name="_Toc272772607"/>
            <w:bookmarkStart w:id="126" w:name="_Toc227657520"/>
            <w:bookmarkStart w:id="127" w:name="_Toc228589196"/>
            <w:bookmarkStart w:id="128" w:name="_Toc214433920"/>
            <w:bookmarkStart w:id="129" w:name="_Toc228591542"/>
            <w:r>
              <w:rPr>
                <w:color w:val="auto"/>
                <w:highlight w:val="none"/>
              </w:rPr>
              <w:t>条款号</w:t>
            </w:r>
          </w:p>
        </w:tc>
        <w:tc>
          <w:tcPr>
            <w:tcW w:w="2122" w:type="dxa"/>
            <w:gridSpan w:val="2"/>
            <w:vAlign w:val="center"/>
          </w:tcPr>
          <w:p>
            <w:pPr>
              <w:ind w:left="0" w:leftChars="0" w:firstLine="0" w:firstLineChars="0"/>
              <w:jc w:val="center"/>
              <w:rPr>
                <w:color w:val="auto"/>
                <w:highlight w:val="none"/>
              </w:rPr>
            </w:pPr>
            <w:r>
              <w:rPr>
                <w:color w:val="auto"/>
                <w:highlight w:val="none"/>
              </w:rPr>
              <w:t>评审因素</w:t>
            </w:r>
          </w:p>
        </w:tc>
        <w:tc>
          <w:tcPr>
            <w:tcW w:w="5931" w:type="dxa"/>
            <w:vAlign w:val="center"/>
          </w:tcPr>
          <w:p>
            <w:pPr>
              <w:ind w:left="0" w:leftChars="0" w:firstLine="0" w:firstLineChars="0"/>
              <w:jc w:val="center"/>
              <w:rPr>
                <w:color w:val="auto"/>
                <w:highlight w:val="none"/>
              </w:rPr>
            </w:pPr>
            <w:r>
              <w:rPr>
                <w:color w:val="auto"/>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39" w:type="dxa"/>
            <w:vMerge w:val="restart"/>
            <w:vAlign w:val="center"/>
          </w:tcPr>
          <w:p>
            <w:pPr>
              <w:ind w:left="0" w:leftChars="0" w:firstLine="0" w:firstLineChars="0"/>
              <w:rPr>
                <w:rFonts w:hint="eastAsia"/>
                <w:color w:val="auto"/>
                <w:highlight w:val="none"/>
              </w:rPr>
            </w:pPr>
            <w:r>
              <w:rPr>
                <w:rFonts w:hint="eastAsia"/>
                <w:color w:val="auto"/>
                <w:highlight w:val="none"/>
              </w:rPr>
              <w:t>1</w:t>
            </w:r>
          </w:p>
        </w:tc>
        <w:tc>
          <w:tcPr>
            <w:tcW w:w="1046" w:type="dxa"/>
            <w:vMerge w:val="restart"/>
            <w:vAlign w:val="center"/>
          </w:tcPr>
          <w:p>
            <w:pPr>
              <w:ind w:left="0" w:leftChars="0" w:firstLine="0" w:firstLineChars="0"/>
              <w:rPr>
                <w:rFonts w:hint="eastAsia"/>
                <w:color w:val="auto"/>
                <w:highlight w:val="none"/>
              </w:rPr>
            </w:pPr>
            <w:r>
              <w:rPr>
                <w:rFonts w:hint="eastAsia"/>
                <w:color w:val="auto"/>
                <w:highlight w:val="none"/>
              </w:rPr>
              <w:t>形式评审标准</w:t>
            </w: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投标人名称</w:t>
            </w:r>
          </w:p>
        </w:tc>
        <w:tc>
          <w:tcPr>
            <w:tcW w:w="5931" w:type="dxa"/>
            <w:vAlign w:val="center"/>
          </w:tcPr>
          <w:p>
            <w:pPr>
              <w:ind w:left="0" w:leftChars="0" w:firstLine="0" w:firstLineChars="0"/>
              <w:rPr>
                <w:rFonts w:hint="eastAsia"/>
                <w:color w:val="auto"/>
                <w:highlight w:val="none"/>
              </w:rPr>
            </w:pPr>
            <w:r>
              <w:rPr>
                <w:rFonts w:hint="eastAsia"/>
                <w:color w:val="auto"/>
                <w:highlight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投标函及投标函附录</w:t>
            </w:r>
          </w:p>
        </w:tc>
        <w:tc>
          <w:tcPr>
            <w:tcW w:w="5931" w:type="dxa"/>
            <w:vAlign w:val="center"/>
          </w:tcPr>
          <w:p>
            <w:pPr>
              <w:ind w:left="0" w:leftChars="0" w:firstLine="0" w:firstLineChars="0"/>
              <w:rPr>
                <w:rFonts w:hint="eastAsia"/>
                <w:color w:val="auto"/>
                <w:highlight w:val="none"/>
              </w:rPr>
            </w:pPr>
            <w:r>
              <w:rPr>
                <w:rFonts w:hint="eastAsia"/>
                <w:color w:val="auto"/>
                <w:highlight w:val="none"/>
              </w:rPr>
              <w:t>按招标文件格式要求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投标文件格式</w:t>
            </w:r>
          </w:p>
        </w:tc>
        <w:tc>
          <w:tcPr>
            <w:tcW w:w="5931" w:type="dxa"/>
            <w:vAlign w:val="center"/>
          </w:tcPr>
          <w:p>
            <w:pPr>
              <w:ind w:left="0" w:leftChars="0" w:firstLine="0" w:firstLineChars="0"/>
              <w:rPr>
                <w:rFonts w:hint="eastAsia"/>
                <w:color w:val="auto"/>
                <w:highlight w:val="none"/>
              </w:rPr>
            </w:pPr>
            <w:r>
              <w:rPr>
                <w:rFonts w:hint="eastAsia"/>
                <w:color w:val="auto"/>
                <w:highlight w:val="none"/>
              </w:rPr>
              <w:t>符合第五章“投标文件格式”的要求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报价唯一</w:t>
            </w:r>
          </w:p>
        </w:tc>
        <w:tc>
          <w:tcPr>
            <w:tcW w:w="5931" w:type="dxa"/>
            <w:vAlign w:val="center"/>
          </w:tcPr>
          <w:p>
            <w:pPr>
              <w:ind w:left="0" w:leftChars="0" w:firstLine="0" w:firstLineChars="0"/>
              <w:rPr>
                <w:rFonts w:hint="eastAsia"/>
                <w:color w:val="auto"/>
                <w:highlight w:val="none"/>
              </w:rPr>
            </w:pPr>
            <w:r>
              <w:rPr>
                <w:rFonts w:hint="eastAsia"/>
                <w:color w:val="auto"/>
                <w:highlight w:val="none"/>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9" w:type="dxa"/>
            <w:vMerge w:val="restart"/>
            <w:vAlign w:val="center"/>
          </w:tcPr>
          <w:p>
            <w:pPr>
              <w:ind w:left="0" w:leftChars="0" w:firstLine="0" w:firstLineChars="0"/>
              <w:rPr>
                <w:rFonts w:hint="eastAsia"/>
                <w:color w:val="auto"/>
                <w:highlight w:val="none"/>
              </w:rPr>
            </w:pPr>
            <w:r>
              <w:rPr>
                <w:rFonts w:hint="eastAsia"/>
                <w:color w:val="auto"/>
                <w:highlight w:val="none"/>
              </w:rPr>
              <w:t>2</w:t>
            </w:r>
          </w:p>
        </w:tc>
        <w:tc>
          <w:tcPr>
            <w:tcW w:w="1046" w:type="dxa"/>
            <w:vMerge w:val="restart"/>
            <w:vAlign w:val="center"/>
          </w:tcPr>
          <w:p>
            <w:pPr>
              <w:ind w:left="0" w:leftChars="0" w:firstLine="0" w:firstLineChars="0"/>
              <w:rPr>
                <w:rFonts w:hint="eastAsia"/>
                <w:color w:val="auto"/>
                <w:highlight w:val="none"/>
              </w:rPr>
            </w:pPr>
            <w:r>
              <w:rPr>
                <w:rFonts w:hint="eastAsia"/>
                <w:color w:val="auto"/>
                <w:highlight w:val="none"/>
              </w:rPr>
              <w:t>资格评审标准</w:t>
            </w: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营业执照</w:t>
            </w:r>
          </w:p>
        </w:tc>
        <w:tc>
          <w:tcPr>
            <w:tcW w:w="5931" w:type="dxa"/>
            <w:vAlign w:val="center"/>
          </w:tcPr>
          <w:p>
            <w:pPr>
              <w:ind w:left="0" w:leftChars="0" w:firstLine="0" w:firstLineChars="0"/>
              <w:rPr>
                <w:rFonts w:hint="eastAsia"/>
                <w:color w:val="auto"/>
                <w:highlight w:val="none"/>
              </w:rPr>
            </w:pPr>
            <w:r>
              <w:rPr>
                <w:rFonts w:hint="eastAsia"/>
                <w:color w:val="auto"/>
                <w:highlight w:val="none"/>
              </w:rPr>
              <w:t>具有独立法人资格，具有有效的营业执照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资质要求</w:t>
            </w:r>
          </w:p>
        </w:tc>
        <w:tc>
          <w:tcPr>
            <w:tcW w:w="5931" w:type="dxa"/>
            <w:vAlign w:val="center"/>
          </w:tcPr>
          <w:p>
            <w:pPr>
              <w:ind w:left="0" w:leftChars="0" w:firstLine="0" w:firstLineChars="0"/>
              <w:rPr>
                <w:rFonts w:hint="eastAsia"/>
                <w:color w:val="auto"/>
                <w:highlight w:val="none"/>
              </w:rPr>
            </w:pPr>
            <w:r>
              <w:rPr>
                <w:rFonts w:hint="eastAsia"/>
                <w:color w:val="auto"/>
                <w:highlight w:val="none"/>
              </w:rPr>
              <w:t>具备水利部颁发的水利工程施工监理甲级资质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拟派项目总监理</w:t>
            </w:r>
          </w:p>
          <w:p>
            <w:pPr>
              <w:ind w:left="0" w:leftChars="0" w:firstLine="0" w:firstLineChars="0"/>
              <w:rPr>
                <w:rFonts w:hint="eastAsia"/>
                <w:color w:val="auto"/>
                <w:highlight w:val="none"/>
              </w:rPr>
            </w:pPr>
            <w:r>
              <w:rPr>
                <w:rFonts w:hint="eastAsia"/>
                <w:color w:val="auto"/>
                <w:highlight w:val="none"/>
              </w:rPr>
              <w:t>工程师</w:t>
            </w:r>
          </w:p>
        </w:tc>
        <w:tc>
          <w:tcPr>
            <w:tcW w:w="5931" w:type="dxa"/>
            <w:vAlign w:val="center"/>
          </w:tcPr>
          <w:p>
            <w:pPr>
              <w:ind w:left="0" w:leftChars="0" w:firstLine="0" w:firstLineChars="0"/>
              <w:rPr>
                <w:rFonts w:hint="eastAsia"/>
                <w:color w:val="auto"/>
                <w:highlight w:val="none"/>
              </w:rPr>
            </w:pPr>
            <w:r>
              <w:rPr>
                <w:rFonts w:hint="eastAsia"/>
                <w:color w:val="auto"/>
                <w:highlight w:val="none"/>
              </w:rPr>
              <w:t>拟派项目总监理工程师应同时具备水利工程注册监理工程师资格证书和水利类专业高级或以上技术职称，且无其他在建工程（提供无在建承诺书）；应为本单位人员（提供2023年10月1日以来社保部门出具的6个月的社保缴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投标人及其主要执（从）业人员</w:t>
            </w:r>
          </w:p>
        </w:tc>
        <w:tc>
          <w:tcPr>
            <w:tcW w:w="5931" w:type="dxa"/>
            <w:vAlign w:val="center"/>
          </w:tcPr>
          <w:p>
            <w:pPr>
              <w:ind w:left="0" w:leftChars="0" w:firstLine="0" w:firstLineChars="0"/>
              <w:rPr>
                <w:rFonts w:hint="eastAsia"/>
                <w:color w:val="auto"/>
                <w:highlight w:val="none"/>
              </w:rPr>
            </w:pPr>
            <w:r>
              <w:rPr>
                <w:rFonts w:hint="eastAsia"/>
                <w:color w:val="auto"/>
                <w:highlight w:val="none"/>
              </w:rPr>
              <w:t>投标人及其主要执（从）业人员须在“水利建设市场监管平台”进行信息公开（以网上公示为准，提供网页截图）；投标人如授权委托代理人，委托代理人须为“水利建设市场监管平台”公开的人员；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财务要求</w:t>
            </w:r>
          </w:p>
        </w:tc>
        <w:tc>
          <w:tcPr>
            <w:tcW w:w="5931" w:type="dxa"/>
            <w:vAlign w:val="center"/>
          </w:tcPr>
          <w:p>
            <w:pPr>
              <w:ind w:left="0" w:leftChars="0" w:firstLine="0" w:firstLineChars="0"/>
              <w:rPr>
                <w:rFonts w:hint="eastAsia"/>
                <w:color w:val="auto"/>
                <w:highlight w:val="none"/>
              </w:rPr>
            </w:pPr>
            <w:r>
              <w:rPr>
                <w:rFonts w:hint="eastAsia"/>
                <w:color w:val="auto"/>
                <w:highlight w:val="none"/>
              </w:rPr>
              <w:t>投标人财务状况良好，提供企业近三年（2021年度、2022年度、2023年度）经会计师事务所或审计机构审计完整的年度财务审计报告（成立时间不足三年的按实际成立以来年限提供）；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信誉要求</w:t>
            </w:r>
          </w:p>
        </w:tc>
        <w:tc>
          <w:tcPr>
            <w:tcW w:w="5931" w:type="dxa"/>
            <w:vAlign w:val="center"/>
          </w:tcPr>
          <w:p>
            <w:pPr>
              <w:ind w:left="0" w:leftChars="0" w:firstLine="0" w:firstLineChars="0"/>
              <w:rPr>
                <w:rFonts w:hint="eastAsia"/>
                <w:color w:val="auto"/>
                <w:highlight w:val="none"/>
              </w:rPr>
            </w:pPr>
            <w:r>
              <w:rPr>
                <w:rFonts w:hint="eastAsia"/>
                <w:color w:val="auto"/>
                <w:highlight w:val="none"/>
              </w:rPr>
              <w:t>(1)投标企业被列入“中国执行信息公开网——全国法院失信被执行人名单信息公布与查询平台”失信被执行人的、“中国政府采购网——政府采购严重违法失信行为记录名单”的、被列入“国家税务总局——重大税收违法失信案件信息公布栏”重大税收违法失信主体的，依法禁止参加本项目投标活动；</w:t>
            </w:r>
          </w:p>
          <w:p>
            <w:pPr>
              <w:ind w:left="0" w:leftChars="0" w:firstLine="0" w:firstLineChars="0"/>
              <w:rPr>
                <w:rFonts w:hint="eastAsia"/>
                <w:color w:val="auto"/>
                <w:highlight w:val="none"/>
              </w:rPr>
            </w:pPr>
            <w:r>
              <w:rPr>
                <w:rFonts w:hint="eastAsia"/>
                <w:color w:val="auto"/>
                <w:highlight w:val="none"/>
              </w:rPr>
              <w:t>(2)投标企业被列入“信用中国-严重失信主体名单查询 、信用河南失信惩戒对象名单、全国水利建设市场监管平台黑名单”的，禁止其参与本项目投标活动；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739" w:type="dxa"/>
            <w:vMerge w:val="continue"/>
            <w:vAlign w:val="center"/>
          </w:tcPr>
          <w:p>
            <w:pPr>
              <w:rPr>
                <w:color w:val="auto"/>
                <w:highlight w:val="none"/>
              </w:rPr>
            </w:pPr>
          </w:p>
        </w:tc>
        <w:tc>
          <w:tcPr>
            <w:tcW w:w="1046" w:type="dxa"/>
            <w:vMerge w:val="continue"/>
            <w:vAlign w:val="center"/>
          </w:tcPr>
          <w:p>
            <w:pPr>
              <w:rPr>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无行贿犯罪承诺函</w:t>
            </w:r>
          </w:p>
        </w:tc>
        <w:tc>
          <w:tcPr>
            <w:tcW w:w="5931" w:type="dxa"/>
            <w:vAlign w:val="center"/>
          </w:tcPr>
          <w:p>
            <w:pPr>
              <w:ind w:left="0" w:leftChars="0" w:firstLine="0" w:firstLineChars="0"/>
              <w:rPr>
                <w:rFonts w:hint="eastAsia"/>
                <w:color w:val="auto"/>
                <w:highlight w:val="none"/>
              </w:rPr>
            </w:pPr>
            <w:r>
              <w:rPr>
                <w:rFonts w:hint="eastAsia"/>
                <w:color w:val="auto"/>
                <w:highlight w:val="none"/>
              </w:rPr>
              <w:t>投标人须出具“无行贿犯罪承诺函”，承诺对象包括法人、法定代表人、拟派项目总监、委托代理人，并对其真实性负责，若承诺不实，所造成的一切后果由投标人自行承担，出具时间应是本公告发布之后（格式见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39" w:type="dxa"/>
            <w:vMerge w:val="restart"/>
            <w:vAlign w:val="center"/>
          </w:tcPr>
          <w:p>
            <w:pPr>
              <w:ind w:left="0" w:leftChars="0" w:firstLine="0" w:firstLineChars="0"/>
              <w:rPr>
                <w:rFonts w:hint="eastAsia"/>
                <w:color w:val="auto"/>
                <w:highlight w:val="none"/>
              </w:rPr>
            </w:pPr>
          </w:p>
          <w:p>
            <w:pPr>
              <w:ind w:left="0" w:leftChars="0" w:firstLine="0" w:firstLineChars="0"/>
              <w:rPr>
                <w:rFonts w:hint="eastAsia"/>
                <w:color w:val="auto"/>
                <w:highlight w:val="none"/>
              </w:rPr>
            </w:pPr>
          </w:p>
          <w:p>
            <w:pPr>
              <w:ind w:left="0" w:leftChars="0" w:firstLine="0" w:firstLineChars="0"/>
              <w:rPr>
                <w:rFonts w:hint="eastAsia"/>
                <w:color w:val="auto"/>
                <w:highlight w:val="none"/>
              </w:rPr>
            </w:pPr>
            <w:r>
              <w:rPr>
                <w:rFonts w:hint="eastAsia"/>
                <w:color w:val="auto"/>
                <w:highlight w:val="none"/>
              </w:rPr>
              <w:t>3</w:t>
            </w:r>
          </w:p>
        </w:tc>
        <w:tc>
          <w:tcPr>
            <w:tcW w:w="1046" w:type="dxa"/>
            <w:vMerge w:val="restart"/>
            <w:vAlign w:val="center"/>
          </w:tcPr>
          <w:p>
            <w:pPr>
              <w:ind w:left="0" w:leftChars="0" w:firstLine="0" w:firstLineChars="0"/>
              <w:rPr>
                <w:rFonts w:hint="eastAsia"/>
                <w:color w:val="auto"/>
                <w:highlight w:val="none"/>
              </w:rPr>
            </w:pPr>
            <w:r>
              <w:rPr>
                <w:rFonts w:hint="eastAsia"/>
                <w:color w:val="auto"/>
                <w:highlight w:val="none"/>
              </w:rPr>
              <w:t>响应性评审标准</w:t>
            </w: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投标内容</w:t>
            </w:r>
          </w:p>
        </w:tc>
        <w:tc>
          <w:tcPr>
            <w:tcW w:w="5931" w:type="dxa"/>
            <w:vAlign w:val="center"/>
          </w:tcPr>
          <w:p>
            <w:pPr>
              <w:ind w:left="0" w:leftChars="0" w:firstLine="0" w:firstLineChars="0"/>
              <w:rPr>
                <w:rFonts w:hint="eastAsia"/>
                <w:color w:val="auto"/>
                <w:highlight w:val="none"/>
              </w:rPr>
            </w:pPr>
            <w:r>
              <w:rPr>
                <w:rFonts w:hint="eastAsia"/>
                <w:color w:val="auto"/>
                <w:highlight w:val="none"/>
              </w:rPr>
              <w:t>工程施工阶段及保修阶段（含缺陷责任期）的全过程监理服务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监理服务期限</w:t>
            </w:r>
          </w:p>
        </w:tc>
        <w:tc>
          <w:tcPr>
            <w:tcW w:w="5931" w:type="dxa"/>
            <w:vAlign w:val="center"/>
          </w:tcPr>
          <w:p>
            <w:pPr>
              <w:ind w:left="0" w:leftChars="0" w:firstLine="0" w:firstLineChars="0"/>
              <w:rPr>
                <w:rFonts w:hint="eastAsia"/>
                <w:color w:val="auto"/>
                <w:highlight w:val="none"/>
              </w:rPr>
            </w:pPr>
            <w:r>
              <w:rPr>
                <w:rFonts w:hint="eastAsia"/>
                <w:color w:val="auto"/>
                <w:highlight w:val="none"/>
              </w:rPr>
              <w:t>工程施工阶段及缺陷责任期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质量监控目标</w:t>
            </w:r>
          </w:p>
        </w:tc>
        <w:tc>
          <w:tcPr>
            <w:tcW w:w="5931" w:type="dxa"/>
            <w:vAlign w:val="center"/>
          </w:tcPr>
          <w:p>
            <w:pPr>
              <w:ind w:left="0" w:leftChars="0" w:firstLine="0" w:firstLineChars="0"/>
              <w:rPr>
                <w:rFonts w:hint="eastAsia"/>
                <w:color w:val="auto"/>
                <w:highlight w:val="none"/>
              </w:rPr>
            </w:pPr>
            <w:r>
              <w:rPr>
                <w:rFonts w:hint="eastAsia"/>
                <w:color w:val="auto"/>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工期监控目标</w:t>
            </w:r>
          </w:p>
        </w:tc>
        <w:tc>
          <w:tcPr>
            <w:tcW w:w="5931" w:type="dxa"/>
            <w:vAlign w:val="center"/>
          </w:tcPr>
          <w:p>
            <w:pPr>
              <w:ind w:left="0" w:leftChars="0" w:firstLine="0" w:firstLineChars="0"/>
              <w:rPr>
                <w:rFonts w:hint="eastAsia"/>
                <w:color w:val="auto"/>
                <w:highlight w:val="none"/>
              </w:rPr>
            </w:pPr>
            <w:r>
              <w:rPr>
                <w:rFonts w:hint="eastAsia"/>
                <w:color w:val="auto"/>
                <w:highlight w:val="none"/>
              </w:rPr>
              <w:t>同工程施工工期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投资控制目标</w:t>
            </w:r>
          </w:p>
        </w:tc>
        <w:tc>
          <w:tcPr>
            <w:tcW w:w="5931" w:type="dxa"/>
            <w:vAlign w:val="center"/>
          </w:tcPr>
          <w:p>
            <w:pPr>
              <w:ind w:left="0" w:leftChars="0" w:firstLine="0" w:firstLineChars="0"/>
              <w:rPr>
                <w:rFonts w:hint="eastAsia"/>
                <w:color w:val="auto"/>
                <w:highlight w:val="none"/>
              </w:rPr>
            </w:pPr>
            <w:r>
              <w:rPr>
                <w:rFonts w:hint="eastAsia"/>
                <w:color w:val="auto"/>
                <w:highlight w:val="none"/>
              </w:rPr>
              <w:t>控制在承包人与发包人签订的合同价内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安全控制目标</w:t>
            </w:r>
          </w:p>
        </w:tc>
        <w:tc>
          <w:tcPr>
            <w:tcW w:w="5931" w:type="dxa"/>
            <w:vAlign w:val="center"/>
          </w:tcPr>
          <w:p>
            <w:pPr>
              <w:ind w:left="0" w:leftChars="0" w:firstLine="0" w:firstLineChars="0"/>
              <w:rPr>
                <w:rFonts w:hint="eastAsia"/>
                <w:color w:val="auto"/>
                <w:highlight w:val="none"/>
              </w:rPr>
            </w:pPr>
            <w:r>
              <w:rPr>
                <w:rFonts w:hint="eastAsia"/>
                <w:color w:val="auto"/>
                <w:highlight w:val="none"/>
              </w:rPr>
              <w:t>无安全事故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投标有效期</w:t>
            </w:r>
          </w:p>
        </w:tc>
        <w:tc>
          <w:tcPr>
            <w:tcW w:w="5931" w:type="dxa"/>
            <w:vAlign w:val="center"/>
          </w:tcPr>
          <w:p>
            <w:pPr>
              <w:ind w:left="0" w:leftChars="0" w:firstLine="0" w:firstLineChars="0"/>
              <w:rPr>
                <w:rFonts w:hint="eastAsia"/>
                <w:color w:val="auto"/>
                <w:highlight w:val="none"/>
              </w:rPr>
            </w:pPr>
            <w:r>
              <w:rPr>
                <w:rFonts w:hint="eastAsia"/>
                <w:color w:val="auto"/>
                <w:highlight w:val="none"/>
              </w:rPr>
              <w:t>60日历天（从投标截止之日算起）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投标保证金</w:t>
            </w:r>
          </w:p>
        </w:tc>
        <w:tc>
          <w:tcPr>
            <w:tcW w:w="5931" w:type="dxa"/>
            <w:vAlign w:val="center"/>
          </w:tcPr>
          <w:p>
            <w:pPr>
              <w:ind w:left="0" w:leftChars="0" w:firstLine="0" w:firstLineChars="0"/>
              <w:rPr>
                <w:rFonts w:hint="eastAsia"/>
                <w:color w:val="auto"/>
                <w:highlight w:val="none"/>
              </w:rPr>
            </w:pPr>
            <w:r>
              <w:rPr>
                <w:rFonts w:hint="eastAsia"/>
                <w:color w:val="auto"/>
                <w:highlight w:val="none"/>
              </w:rPr>
              <w:t>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9" w:type="dxa"/>
            <w:vMerge w:val="continue"/>
            <w:vAlign w:val="center"/>
          </w:tcPr>
          <w:p>
            <w:pPr>
              <w:ind w:left="0" w:leftChars="0" w:firstLine="0" w:firstLineChars="0"/>
              <w:rPr>
                <w:rFonts w:hint="eastAsia"/>
                <w:color w:val="auto"/>
                <w:highlight w:val="none"/>
              </w:rPr>
            </w:pPr>
          </w:p>
        </w:tc>
        <w:tc>
          <w:tcPr>
            <w:tcW w:w="1046" w:type="dxa"/>
            <w:vMerge w:val="continue"/>
            <w:vAlign w:val="center"/>
          </w:tcPr>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其他要求</w:t>
            </w:r>
          </w:p>
        </w:tc>
        <w:tc>
          <w:tcPr>
            <w:tcW w:w="5931" w:type="dxa"/>
            <w:vAlign w:val="center"/>
          </w:tcPr>
          <w:p>
            <w:pPr>
              <w:ind w:left="0" w:leftChars="0" w:firstLine="0" w:firstLineChars="0"/>
              <w:rPr>
                <w:rFonts w:hint="eastAsia"/>
                <w:color w:val="auto"/>
                <w:highlight w:val="none"/>
              </w:rPr>
            </w:pPr>
            <w:r>
              <w:rPr>
                <w:rFonts w:hint="eastAsia"/>
                <w:color w:val="auto"/>
                <w:highlight w:val="none"/>
              </w:rPr>
              <w:t>符合招标文件的其他要求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739" w:type="dxa"/>
            <w:vAlign w:val="center"/>
          </w:tcPr>
          <w:p>
            <w:pPr>
              <w:ind w:left="0" w:leftChars="0" w:firstLine="0" w:firstLineChars="0"/>
              <w:rPr>
                <w:rFonts w:hint="eastAsia"/>
                <w:color w:val="auto"/>
                <w:highlight w:val="none"/>
              </w:rPr>
            </w:pPr>
            <w:r>
              <w:rPr>
                <w:rFonts w:hint="eastAsia"/>
                <w:color w:val="auto"/>
                <w:highlight w:val="none"/>
              </w:rPr>
              <w:t>4</w:t>
            </w:r>
          </w:p>
        </w:tc>
        <w:tc>
          <w:tcPr>
            <w:tcW w:w="1046" w:type="dxa"/>
            <w:vAlign w:val="center"/>
          </w:tcPr>
          <w:p>
            <w:pPr>
              <w:ind w:left="0" w:leftChars="0" w:firstLine="0" w:firstLineChars="0"/>
              <w:rPr>
                <w:rFonts w:hint="eastAsia"/>
                <w:color w:val="auto"/>
                <w:highlight w:val="none"/>
              </w:rPr>
            </w:pPr>
            <w:r>
              <w:rPr>
                <w:rFonts w:hint="eastAsia"/>
                <w:color w:val="auto"/>
                <w:highlight w:val="none"/>
              </w:rPr>
              <w:t>分值</w:t>
            </w:r>
          </w:p>
          <w:p>
            <w:pPr>
              <w:ind w:left="0" w:leftChars="0" w:firstLine="0" w:firstLineChars="0"/>
              <w:rPr>
                <w:rFonts w:hint="eastAsia"/>
                <w:color w:val="auto"/>
                <w:highlight w:val="none"/>
              </w:rPr>
            </w:pPr>
            <w:r>
              <w:rPr>
                <w:rFonts w:hint="eastAsia"/>
                <w:color w:val="auto"/>
                <w:highlight w:val="none"/>
              </w:rPr>
              <w:t>构成</w:t>
            </w:r>
          </w:p>
        </w:tc>
        <w:tc>
          <w:tcPr>
            <w:tcW w:w="8053" w:type="dxa"/>
            <w:gridSpan w:val="3"/>
            <w:vAlign w:val="center"/>
          </w:tcPr>
          <w:p>
            <w:pPr>
              <w:ind w:left="0" w:leftChars="0" w:firstLine="0" w:firstLineChars="0"/>
              <w:rPr>
                <w:rFonts w:hint="eastAsia"/>
                <w:color w:val="auto"/>
                <w:highlight w:val="none"/>
              </w:rPr>
            </w:pPr>
            <w:r>
              <w:rPr>
                <w:rFonts w:hint="eastAsia"/>
                <w:color w:val="auto"/>
                <w:highlight w:val="none"/>
              </w:rPr>
              <w:t>1.技术标35分；  2.项目管理机构15分；  3.投标报价40分；</w:t>
            </w:r>
          </w:p>
          <w:p>
            <w:pPr>
              <w:ind w:left="0" w:leftChars="0" w:firstLine="0" w:firstLineChars="0"/>
              <w:rPr>
                <w:rFonts w:hint="eastAsia"/>
                <w:color w:val="auto"/>
                <w:highlight w:val="none"/>
              </w:rPr>
            </w:pPr>
            <w:r>
              <w:rPr>
                <w:rFonts w:hint="eastAsia"/>
                <w:color w:val="auto"/>
                <w:highlight w:val="none"/>
              </w:rPr>
              <w:t>4.投标人业绩10分。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39" w:type="dxa"/>
            <w:vMerge w:val="restart"/>
            <w:vAlign w:val="center"/>
          </w:tcPr>
          <w:p>
            <w:pPr>
              <w:ind w:left="0" w:leftChars="0" w:firstLine="0" w:firstLineChars="0"/>
              <w:rPr>
                <w:rFonts w:hint="eastAsia"/>
                <w:color w:val="auto"/>
                <w:highlight w:val="none"/>
              </w:rPr>
            </w:pPr>
            <w:r>
              <w:rPr>
                <w:rFonts w:hint="eastAsia"/>
                <w:color w:val="auto"/>
                <w:highlight w:val="none"/>
              </w:rPr>
              <w:t>4.1</w:t>
            </w:r>
          </w:p>
        </w:tc>
        <w:tc>
          <w:tcPr>
            <w:tcW w:w="1046" w:type="dxa"/>
            <w:vMerge w:val="restart"/>
            <w:vAlign w:val="center"/>
          </w:tcPr>
          <w:p>
            <w:pPr>
              <w:ind w:left="0" w:leftChars="0" w:firstLine="0" w:firstLineChars="0"/>
              <w:rPr>
                <w:rFonts w:hint="eastAsia"/>
                <w:color w:val="auto"/>
                <w:highlight w:val="none"/>
              </w:rPr>
            </w:pPr>
          </w:p>
          <w:p>
            <w:pPr>
              <w:ind w:left="0" w:leftChars="0" w:firstLine="0" w:firstLineChars="0"/>
              <w:rPr>
                <w:rFonts w:hint="eastAsia"/>
                <w:color w:val="auto"/>
                <w:highlight w:val="none"/>
              </w:rPr>
            </w:pPr>
            <w:r>
              <w:rPr>
                <w:rFonts w:hint="eastAsia"/>
                <w:color w:val="auto"/>
                <w:highlight w:val="none"/>
              </w:rPr>
              <w:t>技</w:t>
            </w:r>
          </w:p>
          <w:p>
            <w:pPr>
              <w:ind w:left="0" w:leftChars="0" w:firstLine="0" w:firstLineChars="0"/>
              <w:rPr>
                <w:rFonts w:hint="eastAsia"/>
                <w:color w:val="auto"/>
                <w:highlight w:val="none"/>
              </w:rPr>
            </w:pPr>
            <w:r>
              <w:rPr>
                <w:rFonts w:hint="eastAsia"/>
                <w:color w:val="auto"/>
                <w:highlight w:val="none"/>
              </w:rPr>
              <w:t>术</w:t>
            </w:r>
          </w:p>
          <w:p>
            <w:pPr>
              <w:ind w:left="0" w:leftChars="0" w:firstLine="0" w:firstLineChars="0"/>
              <w:rPr>
                <w:rFonts w:hint="eastAsia"/>
                <w:color w:val="auto"/>
                <w:highlight w:val="none"/>
              </w:rPr>
            </w:pPr>
            <w:r>
              <w:rPr>
                <w:rFonts w:hint="eastAsia"/>
                <w:color w:val="auto"/>
                <w:highlight w:val="none"/>
              </w:rPr>
              <w:t>标</w:t>
            </w:r>
          </w:p>
          <w:p>
            <w:pPr>
              <w:ind w:left="0" w:leftChars="0" w:firstLine="0" w:firstLineChars="0"/>
              <w:rPr>
                <w:rFonts w:hint="eastAsia"/>
                <w:color w:val="auto"/>
                <w:highlight w:val="none"/>
              </w:rPr>
            </w:pPr>
            <w:r>
              <w:rPr>
                <w:rFonts w:hint="eastAsia"/>
                <w:color w:val="auto"/>
                <w:highlight w:val="none"/>
              </w:rPr>
              <w:t>监</w:t>
            </w:r>
          </w:p>
          <w:p>
            <w:pPr>
              <w:ind w:left="0" w:leftChars="0" w:firstLine="0" w:firstLineChars="0"/>
              <w:rPr>
                <w:rFonts w:hint="eastAsia"/>
                <w:color w:val="auto"/>
                <w:highlight w:val="none"/>
              </w:rPr>
            </w:pPr>
            <w:r>
              <w:rPr>
                <w:rFonts w:hint="eastAsia"/>
                <w:color w:val="auto"/>
                <w:highlight w:val="none"/>
              </w:rPr>
              <w:t>理</w:t>
            </w:r>
          </w:p>
          <w:p>
            <w:pPr>
              <w:ind w:left="0" w:leftChars="0" w:firstLine="0" w:firstLineChars="0"/>
              <w:rPr>
                <w:rFonts w:hint="eastAsia"/>
                <w:color w:val="auto"/>
                <w:highlight w:val="none"/>
              </w:rPr>
            </w:pPr>
            <w:r>
              <w:rPr>
                <w:rFonts w:hint="eastAsia"/>
                <w:color w:val="auto"/>
                <w:highlight w:val="none"/>
              </w:rPr>
              <w:t>大</w:t>
            </w:r>
          </w:p>
          <w:p>
            <w:pPr>
              <w:ind w:left="0" w:leftChars="0" w:firstLine="0" w:firstLineChars="0"/>
              <w:rPr>
                <w:rFonts w:hint="eastAsia"/>
                <w:color w:val="auto"/>
                <w:highlight w:val="none"/>
              </w:rPr>
            </w:pPr>
            <w:r>
              <w:rPr>
                <w:rFonts w:hint="eastAsia"/>
                <w:color w:val="auto"/>
                <w:highlight w:val="none"/>
              </w:rPr>
              <w:t>纲</w:t>
            </w:r>
          </w:p>
          <w:p>
            <w:pPr>
              <w:ind w:left="0" w:leftChars="0" w:firstLine="0" w:firstLineChars="0"/>
              <w:rPr>
                <w:rFonts w:hint="eastAsia"/>
                <w:color w:val="auto"/>
                <w:highlight w:val="none"/>
              </w:rPr>
            </w:pPr>
            <w:r>
              <w:rPr>
                <w:rFonts w:hint="eastAsia"/>
                <w:color w:val="auto"/>
                <w:highlight w:val="none"/>
              </w:rPr>
              <w:t>评审</w:t>
            </w:r>
          </w:p>
          <w:p>
            <w:pPr>
              <w:ind w:left="0" w:leftChars="0" w:firstLine="0" w:firstLineChars="0"/>
              <w:rPr>
                <w:rFonts w:hint="eastAsia"/>
                <w:color w:val="auto"/>
                <w:highlight w:val="none"/>
              </w:rPr>
            </w:pPr>
            <w:r>
              <w:rPr>
                <w:rFonts w:hint="eastAsia"/>
                <w:color w:val="auto"/>
                <w:highlight w:val="none"/>
              </w:rPr>
              <w:t>标准</w:t>
            </w:r>
          </w:p>
          <w:p>
            <w:pPr>
              <w:ind w:left="0" w:leftChars="0" w:firstLine="0" w:firstLineChars="0"/>
              <w:rPr>
                <w:rFonts w:hint="eastAsia"/>
                <w:color w:val="auto"/>
                <w:highlight w:val="none"/>
              </w:rPr>
            </w:pPr>
            <w:r>
              <w:rPr>
                <w:rFonts w:hint="eastAsia"/>
                <w:color w:val="auto"/>
                <w:highlight w:val="none"/>
              </w:rPr>
              <w:t>（35分）</w:t>
            </w:r>
          </w:p>
          <w:p>
            <w:pPr>
              <w:ind w:left="0" w:leftChars="0" w:firstLine="0" w:firstLineChars="0"/>
              <w:rPr>
                <w:rFonts w:hint="eastAsia"/>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现场旁站监理措施</w:t>
            </w:r>
          </w:p>
          <w:p>
            <w:pPr>
              <w:ind w:left="0" w:leftChars="0" w:firstLine="0" w:firstLineChars="0"/>
              <w:rPr>
                <w:rFonts w:hint="eastAsia"/>
                <w:color w:val="auto"/>
                <w:highlight w:val="none"/>
              </w:rPr>
            </w:pPr>
            <w:r>
              <w:rPr>
                <w:rFonts w:hint="eastAsia"/>
                <w:color w:val="auto"/>
                <w:highlight w:val="none"/>
              </w:rPr>
              <w:t>（3分）</w:t>
            </w:r>
          </w:p>
        </w:tc>
        <w:tc>
          <w:tcPr>
            <w:tcW w:w="5931" w:type="dxa"/>
            <w:vAlign w:val="center"/>
          </w:tcPr>
          <w:p>
            <w:pPr>
              <w:ind w:left="0" w:leftChars="0" w:firstLine="0" w:firstLineChars="0"/>
              <w:rPr>
                <w:rFonts w:hint="eastAsia"/>
                <w:color w:val="auto"/>
                <w:highlight w:val="none"/>
              </w:rPr>
            </w:pPr>
            <w:r>
              <w:rPr>
                <w:rFonts w:hint="eastAsia"/>
                <w:color w:val="auto"/>
                <w:highlight w:val="none"/>
              </w:rPr>
              <w:t>合理得2-3分，一般得1分，缺项不得分。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739" w:type="dxa"/>
            <w:vMerge w:val="continue"/>
            <w:vAlign w:val="center"/>
          </w:tcPr>
          <w:p>
            <w:pPr>
              <w:rPr>
                <w:color w:val="auto"/>
                <w:highlight w:val="none"/>
              </w:rPr>
            </w:pPr>
          </w:p>
        </w:tc>
        <w:tc>
          <w:tcPr>
            <w:tcW w:w="1046" w:type="dxa"/>
            <w:vMerge w:val="continue"/>
            <w:vAlign w:val="center"/>
          </w:tcPr>
          <w:p>
            <w:pPr>
              <w:rPr>
                <w:color w:val="auto"/>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工程质量控制措施</w:t>
            </w:r>
          </w:p>
          <w:p>
            <w:pPr>
              <w:ind w:left="0" w:leftChars="0" w:firstLine="0" w:firstLineChars="0"/>
              <w:rPr>
                <w:rFonts w:hint="eastAsia"/>
                <w:color w:val="auto"/>
                <w:highlight w:val="none"/>
              </w:rPr>
            </w:pPr>
            <w:r>
              <w:rPr>
                <w:rFonts w:hint="eastAsia"/>
                <w:color w:val="auto"/>
                <w:highlight w:val="none"/>
              </w:rPr>
              <w:t>（5分）</w:t>
            </w:r>
          </w:p>
        </w:tc>
        <w:tc>
          <w:tcPr>
            <w:tcW w:w="5931" w:type="dxa"/>
            <w:vAlign w:val="center"/>
          </w:tcPr>
          <w:p>
            <w:pPr>
              <w:ind w:left="0" w:leftChars="0" w:firstLine="0" w:firstLineChars="0"/>
              <w:rPr>
                <w:rFonts w:hint="eastAsia"/>
                <w:color w:val="auto"/>
                <w:highlight w:val="none"/>
              </w:rPr>
            </w:pPr>
            <w:r>
              <w:rPr>
                <w:rFonts w:hint="eastAsia"/>
                <w:color w:val="auto"/>
                <w:highlight w:val="none"/>
              </w:rPr>
              <w:t>合理得4-5分，较合理得2-3分，一般得1分，缺项不得分。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39" w:type="dxa"/>
            <w:vMerge w:val="continue"/>
            <w:vAlign w:val="center"/>
          </w:tcPr>
          <w:p>
            <w:pPr>
              <w:pStyle w:val="32"/>
              <w:spacing w:line="360" w:lineRule="auto"/>
              <w:rPr>
                <w:color w:val="auto"/>
                <w:sz w:val="21"/>
                <w:szCs w:val="21"/>
                <w:highlight w:val="none"/>
              </w:rPr>
            </w:pPr>
          </w:p>
        </w:tc>
        <w:tc>
          <w:tcPr>
            <w:tcW w:w="1046" w:type="dxa"/>
            <w:vMerge w:val="continue"/>
            <w:vAlign w:val="center"/>
          </w:tcPr>
          <w:p>
            <w:pPr>
              <w:pStyle w:val="32"/>
              <w:spacing w:line="360" w:lineRule="auto"/>
              <w:rPr>
                <w:color w:val="auto"/>
                <w:sz w:val="21"/>
                <w:szCs w:val="21"/>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工程进度控制措施</w:t>
            </w:r>
          </w:p>
          <w:p>
            <w:pPr>
              <w:ind w:left="0" w:leftChars="0" w:firstLine="0" w:firstLineChars="0"/>
              <w:rPr>
                <w:rFonts w:hint="eastAsia"/>
                <w:color w:val="auto"/>
                <w:highlight w:val="none"/>
              </w:rPr>
            </w:pPr>
            <w:r>
              <w:rPr>
                <w:rFonts w:hint="eastAsia"/>
                <w:color w:val="auto"/>
                <w:highlight w:val="none"/>
              </w:rPr>
              <w:t>（5分）</w:t>
            </w:r>
          </w:p>
        </w:tc>
        <w:tc>
          <w:tcPr>
            <w:tcW w:w="5931" w:type="dxa"/>
            <w:vAlign w:val="center"/>
          </w:tcPr>
          <w:p>
            <w:pPr>
              <w:ind w:left="0" w:leftChars="0" w:firstLine="0" w:firstLineChars="0"/>
              <w:rPr>
                <w:rFonts w:hint="eastAsia"/>
                <w:color w:val="auto"/>
                <w:highlight w:val="none"/>
              </w:rPr>
            </w:pPr>
            <w:r>
              <w:rPr>
                <w:rFonts w:hint="eastAsia"/>
                <w:color w:val="auto"/>
                <w:highlight w:val="none"/>
              </w:rPr>
              <w:t>合理得4-5分，较合理得2-3分，一般得1分，缺项不得分。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39" w:type="dxa"/>
            <w:vMerge w:val="continue"/>
            <w:vAlign w:val="center"/>
          </w:tcPr>
          <w:p>
            <w:pPr>
              <w:pStyle w:val="32"/>
              <w:spacing w:line="360" w:lineRule="auto"/>
              <w:rPr>
                <w:color w:val="auto"/>
                <w:sz w:val="21"/>
                <w:szCs w:val="21"/>
                <w:highlight w:val="none"/>
              </w:rPr>
            </w:pPr>
          </w:p>
        </w:tc>
        <w:tc>
          <w:tcPr>
            <w:tcW w:w="1046" w:type="dxa"/>
            <w:vMerge w:val="continue"/>
            <w:vAlign w:val="center"/>
          </w:tcPr>
          <w:p>
            <w:pPr>
              <w:pStyle w:val="32"/>
              <w:spacing w:line="360" w:lineRule="auto"/>
              <w:rPr>
                <w:color w:val="auto"/>
                <w:sz w:val="21"/>
                <w:szCs w:val="21"/>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工程投资控制措施</w:t>
            </w:r>
          </w:p>
          <w:p>
            <w:pPr>
              <w:ind w:left="0" w:leftChars="0" w:firstLine="0" w:firstLineChars="0"/>
              <w:rPr>
                <w:rFonts w:hint="eastAsia"/>
                <w:color w:val="auto"/>
                <w:highlight w:val="none"/>
              </w:rPr>
            </w:pPr>
            <w:r>
              <w:rPr>
                <w:rFonts w:hint="eastAsia"/>
                <w:color w:val="auto"/>
                <w:highlight w:val="none"/>
              </w:rPr>
              <w:t>（5分）</w:t>
            </w:r>
          </w:p>
        </w:tc>
        <w:tc>
          <w:tcPr>
            <w:tcW w:w="5931" w:type="dxa"/>
            <w:vAlign w:val="center"/>
          </w:tcPr>
          <w:p>
            <w:pPr>
              <w:ind w:left="0" w:leftChars="0" w:firstLine="0" w:firstLineChars="0"/>
              <w:rPr>
                <w:rFonts w:hint="eastAsia"/>
                <w:color w:val="auto"/>
                <w:highlight w:val="none"/>
              </w:rPr>
            </w:pPr>
            <w:r>
              <w:rPr>
                <w:rFonts w:hint="eastAsia"/>
                <w:color w:val="auto"/>
                <w:highlight w:val="none"/>
              </w:rPr>
              <w:t>合理得4-5分，较合理得2-3分，一般得1分，缺项不得分。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739" w:type="dxa"/>
            <w:vMerge w:val="continue"/>
            <w:vAlign w:val="center"/>
          </w:tcPr>
          <w:p>
            <w:pPr>
              <w:pStyle w:val="32"/>
              <w:spacing w:line="360" w:lineRule="auto"/>
              <w:rPr>
                <w:color w:val="auto"/>
                <w:sz w:val="21"/>
                <w:szCs w:val="21"/>
                <w:highlight w:val="none"/>
              </w:rPr>
            </w:pPr>
          </w:p>
        </w:tc>
        <w:tc>
          <w:tcPr>
            <w:tcW w:w="1046" w:type="dxa"/>
            <w:vMerge w:val="continue"/>
            <w:vAlign w:val="center"/>
          </w:tcPr>
          <w:p>
            <w:pPr>
              <w:pStyle w:val="32"/>
              <w:spacing w:line="360" w:lineRule="auto"/>
              <w:rPr>
                <w:color w:val="auto"/>
                <w:sz w:val="21"/>
                <w:szCs w:val="21"/>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安全生产管理措施</w:t>
            </w:r>
          </w:p>
          <w:p>
            <w:pPr>
              <w:ind w:left="0" w:leftChars="0" w:firstLine="0" w:firstLineChars="0"/>
              <w:rPr>
                <w:rFonts w:hint="eastAsia"/>
                <w:color w:val="auto"/>
                <w:highlight w:val="none"/>
              </w:rPr>
            </w:pPr>
            <w:r>
              <w:rPr>
                <w:rFonts w:hint="eastAsia"/>
                <w:color w:val="auto"/>
                <w:highlight w:val="none"/>
              </w:rPr>
              <w:t>（5分）</w:t>
            </w:r>
          </w:p>
        </w:tc>
        <w:tc>
          <w:tcPr>
            <w:tcW w:w="5931" w:type="dxa"/>
            <w:vAlign w:val="center"/>
          </w:tcPr>
          <w:p>
            <w:pPr>
              <w:ind w:left="0" w:leftChars="0" w:firstLine="0" w:firstLineChars="0"/>
              <w:rPr>
                <w:rFonts w:hint="eastAsia"/>
                <w:color w:val="auto"/>
                <w:highlight w:val="none"/>
              </w:rPr>
            </w:pPr>
            <w:r>
              <w:rPr>
                <w:rFonts w:hint="eastAsia"/>
                <w:color w:val="auto"/>
                <w:highlight w:val="none"/>
              </w:rPr>
              <w:t>合理得4-5分，较合理得2-3分，一般得1分，缺项不得分。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39" w:type="dxa"/>
            <w:vMerge w:val="continue"/>
            <w:vAlign w:val="center"/>
          </w:tcPr>
          <w:p>
            <w:pPr>
              <w:pStyle w:val="32"/>
              <w:spacing w:line="360" w:lineRule="auto"/>
              <w:rPr>
                <w:color w:val="auto"/>
                <w:sz w:val="21"/>
                <w:szCs w:val="21"/>
                <w:highlight w:val="none"/>
              </w:rPr>
            </w:pPr>
          </w:p>
        </w:tc>
        <w:tc>
          <w:tcPr>
            <w:tcW w:w="1046" w:type="dxa"/>
            <w:vMerge w:val="continue"/>
            <w:vAlign w:val="center"/>
          </w:tcPr>
          <w:p>
            <w:pPr>
              <w:pStyle w:val="32"/>
              <w:spacing w:line="360" w:lineRule="auto"/>
              <w:rPr>
                <w:color w:val="auto"/>
                <w:sz w:val="21"/>
                <w:szCs w:val="21"/>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合同和信息管理措施</w:t>
            </w:r>
          </w:p>
          <w:p>
            <w:pPr>
              <w:ind w:left="0" w:leftChars="0" w:firstLine="0" w:firstLineChars="0"/>
              <w:rPr>
                <w:rFonts w:hint="eastAsia"/>
                <w:color w:val="auto"/>
                <w:highlight w:val="none"/>
              </w:rPr>
            </w:pPr>
            <w:r>
              <w:rPr>
                <w:rFonts w:hint="eastAsia"/>
                <w:color w:val="auto"/>
                <w:highlight w:val="none"/>
              </w:rPr>
              <w:t>（3分）</w:t>
            </w:r>
          </w:p>
        </w:tc>
        <w:tc>
          <w:tcPr>
            <w:tcW w:w="5931" w:type="dxa"/>
            <w:vAlign w:val="center"/>
          </w:tcPr>
          <w:p>
            <w:pPr>
              <w:ind w:left="0" w:leftChars="0" w:firstLine="0" w:firstLineChars="0"/>
              <w:rPr>
                <w:rFonts w:hint="eastAsia"/>
                <w:color w:val="auto"/>
                <w:highlight w:val="none"/>
              </w:rPr>
            </w:pPr>
            <w:r>
              <w:rPr>
                <w:rFonts w:hint="eastAsia"/>
                <w:color w:val="auto"/>
                <w:highlight w:val="none"/>
              </w:rPr>
              <w:t>合理得2-3分，一般得1分，缺项不得分。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39" w:type="dxa"/>
            <w:vMerge w:val="continue"/>
            <w:vAlign w:val="center"/>
          </w:tcPr>
          <w:p>
            <w:pPr>
              <w:pStyle w:val="32"/>
              <w:spacing w:line="360" w:lineRule="auto"/>
              <w:rPr>
                <w:color w:val="auto"/>
                <w:sz w:val="21"/>
                <w:szCs w:val="21"/>
                <w:highlight w:val="none"/>
              </w:rPr>
            </w:pPr>
          </w:p>
        </w:tc>
        <w:tc>
          <w:tcPr>
            <w:tcW w:w="1046" w:type="dxa"/>
            <w:vMerge w:val="continue"/>
            <w:vAlign w:val="center"/>
          </w:tcPr>
          <w:p>
            <w:pPr>
              <w:pStyle w:val="32"/>
              <w:spacing w:line="360" w:lineRule="auto"/>
              <w:rPr>
                <w:color w:val="auto"/>
                <w:sz w:val="21"/>
                <w:szCs w:val="21"/>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拟投入的仪器和设备</w:t>
            </w:r>
          </w:p>
          <w:p>
            <w:pPr>
              <w:ind w:left="0" w:leftChars="0" w:firstLine="0" w:firstLineChars="0"/>
              <w:rPr>
                <w:rFonts w:hint="eastAsia"/>
                <w:color w:val="auto"/>
                <w:highlight w:val="none"/>
              </w:rPr>
            </w:pPr>
            <w:r>
              <w:rPr>
                <w:rFonts w:hint="eastAsia"/>
                <w:color w:val="auto"/>
                <w:highlight w:val="none"/>
              </w:rPr>
              <w:t>（3分）</w:t>
            </w:r>
          </w:p>
        </w:tc>
        <w:tc>
          <w:tcPr>
            <w:tcW w:w="5931" w:type="dxa"/>
            <w:vAlign w:val="center"/>
          </w:tcPr>
          <w:p>
            <w:pPr>
              <w:ind w:left="0" w:leftChars="0" w:firstLine="0" w:firstLineChars="0"/>
              <w:rPr>
                <w:rFonts w:hint="eastAsia"/>
                <w:color w:val="auto"/>
                <w:highlight w:val="none"/>
              </w:rPr>
            </w:pPr>
            <w:r>
              <w:rPr>
                <w:rFonts w:hint="eastAsia"/>
                <w:color w:val="auto"/>
                <w:highlight w:val="none"/>
              </w:rPr>
              <w:t>合理得2-3分，一般得1分，缺项不得分。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39" w:type="dxa"/>
            <w:vMerge w:val="continue"/>
            <w:vAlign w:val="center"/>
          </w:tcPr>
          <w:p>
            <w:pPr>
              <w:pStyle w:val="32"/>
              <w:spacing w:line="360" w:lineRule="auto"/>
              <w:rPr>
                <w:color w:val="auto"/>
                <w:sz w:val="21"/>
                <w:szCs w:val="21"/>
                <w:highlight w:val="none"/>
              </w:rPr>
            </w:pPr>
          </w:p>
        </w:tc>
        <w:tc>
          <w:tcPr>
            <w:tcW w:w="1046" w:type="dxa"/>
            <w:vMerge w:val="continue"/>
            <w:vAlign w:val="center"/>
          </w:tcPr>
          <w:p>
            <w:pPr>
              <w:pStyle w:val="32"/>
              <w:spacing w:line="360" w:lineRule="auto"/>
              <w:rPr>
                <w:color w:val="auto"/>
                <w:sz w:val="21"/>
                <w:szCs w:val="21"/>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组织协调的手段和方法（3分）</w:t>
            </w:r>
          </w:p>
        </w:tc>
        <w:tc>
          <w:tcPr>
            <w:tcW w:w="5931" w:type="dxa"/>
            <w:vAlign w:val="center"/>
          </w:tcPr>
          <w:p>
            <w:pPr>
              <w:ind w:left="0" w:leftChars="0" w:firstLine="0" w:firstLineChars="0"/>
              <w:rPr>
                <w:rFonts w:hint="eastAsia"/>
                <w:color w:val="auto"/>
                <w:highlight w:val="none"/>
              </w:rPr>
            </w:pPr>
            <w:r>
              <w:rPr>
                <w:rFonts w:hint="eastAsia"/>
                <w:color w:val="auto"/>
                <w:highlight w:val="none"/>
              </w:rPr>
              <w:t>合理得2-3分，一般得1分，缺项不得分。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39" w:type="dxa"/>
            <w:vMerge w:val="continue"/>
            <w:vAlign w:val="center"/>
          </w:tcPr>
          <w:p>
            <w:pPr>
              <w:pStyle w:val="32"/>
              <w:spacing w:line="360" w:lineRule="auto"/>
              <w:rPr>
                <w:color w:val="auto"/>
                <w:sz w:val="21"/>
                <w:szCs w:val="21"/>
                <w:highlight w:val="none"/>
              </w:rPr>
            </w:pPr>
          </w:p>
        </w:tc>
        <w:tc>
          <w:tcPr>
            <w:tcW w:w="1046" w:type="dxa"/>
            <w:vMerge w:val="continue"/>
            <w:vAlign w:val="center"/>
          </w:tcPr>
          <w:p>
            <w:pPr>
              <w:pStyle w:val="32"/>
              <w:spacing w:line="360" w:lineRule="auto"/>
              <w:rPr>
                <w:color w:val="auto"/>
                <w:sz w:val="21"/>
                <w:szCs w:val="21"/>
                <w:highlight w:val="none"/>
              </w:rPr>
            </w:pPr>
          </w:p>
        </w:tc>
        <w:tc>
          <w:tcPr>
            <w:tcW w:w="2122" w:type="dxa"/>
            <w:gridSpan w:val="2"/>
            <w:vAlign w:val="center"/>
          </w:tcPr>
          <w:p>
            <w:pPr>
              <w:ind w:left="0" w:leftChars="0" w:firstLine="0" w:firstLineChars="0"/>
              <w:rPr>
                <w:rFonts w:hint="eastAsia"/>
                <w:color w:val="auto"/>
                <w:highlight w:val="none"/>
              </w:rPr>
            </w:pPr>
            <w:r>
              <w:rPr>
                <w:rFonts w:hint="eastAsia"/>
                <w:color w:val="auto"/>
                <w:highlight w:val="none"/>
              </w:rPr>
              <w:t>对工程建设的建议</w:t>
            </w:r>
          </w:p>
          <w:p>
            <w:pPr>
              <w:ind w:left="0" w:leftChars="0" w:firstLine="0" w:firstLineChars="0"/>
              <w:rPr>
                <w:rFonts w:hint="eastAsia"/>
                <w:color w:val="auto"/>
                <w:highlight w:val="none"/>
              </w:rPr>
            </w:pPr>
            <w:r>
              <w:rPr>
                <w:rFonts w:hint="eastAsia"/>
                <w:color w:val="auto"/>
                <w:highlight w:val="none"/>
              </w:rPr>
              <w:t>（3分）</w:t>
            </w:r>
          </w:p>
        </w:tc>
        <w:tc>
          <w:tcPr>
            <w:tcW w:w="5931" w:type="dxa"/>
            <w:vAlign w:val="center"/>
          </w:tcPr>
          <w:p>
            <w:pPr>
              <w:ind w:left="0" w:leftChars="0" w:firstLine="0" w:firstLineChars="0"/>
              <w:rPr>
                <w:rFonts w:hint="eastAsia"/>
                <w:color w:val="auto"/>
                <w:highlight w:val="none"/>
              </w:rPr>
            </w:pPr>
            <w:r>
              <w:rPr>
                <w:rFonts w:hint="eastAsia"/>
                <w:color w:val="auto"/>
                <w:highlight w:val="none"/>
              </w:rPr>
              <w:t>合理得2-3分，一般得1分，缺项不得分。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jc w:val="center"/>
        </w:trPr>
        <w:tc>
          <w:tcPr>
            <w:tcW w:w="739" w:type="dxa"/>
            <w:vMerge w:val="restart"/>
            <w:vAlign w:val="center"/>
          </w:tcPr>
          <w:p>
            <w:pPr>
              <w:pStyle w:val="32"/>
              <w:spacing w:line="360" w:lineRule="auto"/>
              <w:jc w:val="center"/>
              <w:rPr>
                <w:rFonts w:hAnsi="宋体"/>
                <w:b/>
                <w:bCs/>
                <w:color w:val="auto"/>
                <w:kern w:val="2"/>
                <w:sz w:val="21"/>
                <w:szCs w:val="21"/>
                <w:highlight w:val="none"/>
              </w:rPr>
            </w:pPr>
          </w:p>
          <w:p>
            <w:pPr>
              <w:rPr>
                <w:b/>
                <w:bCs/>
                <w:color w:val="auto"/>
                <w:kern w:val="1"/>
                <w:highlight w:val="none"/>
              </w:rPr>
            </w:pPr>
            <w:r>
              <w:rPr>
                <w:rFonts w:hint="eastAsia"/>
                <w:color w:val="auto"/>
                <w:highlight w:val="none"/>
              </w:rPr>
              <w:t>4.2</w:t>
            </w:r>
          </w:p>
        </w:tc>
        <w:tc>
          <w:tcPr>
            <w:tcW w:w="2158" w:type="dxa"/>
            <w:gridSpan w:val="2"/>
            <w:vMerge w:val="restart"/>
          </w:tcPr>
          <w:p>
            <w:pPr>
              <w:pStyle w:val="35"/>
              <w:rPr>
                <w:color w:val="auto"/>
                <w:highlight w:val="none"/>
              </w:rPr>
            </w:pPr>
          </w:p>
          <w:p>
            <w:pPr>
              <w:pStyle w:val="35"/>
              <w:rPr>
                <w:color w:val="auto"/>
                <w:highlight w:val="none"/>
              </w:rPr>
            </w:pPr>
            <w:r>
              <w:rPr>
                <w:rFonts w:hint="eastAsia"/>
                <w:color w:val="auto"/>
                <w:highlight w:val="none"/>
              </w:rPr>
              <w:t>项目管理机构</w:t>
            </w:r>
          </w:p>
          <w:p>
            <w:pPr>
              <w:pStyle w:val="35"/>
              <w:rPr>
                <w:b/>
                <w:color w:val="auto"/>
                <w:highlight w:val="none"/>
              </w:rPr>
            </w:pPr>
            <w:r>
              <w:rPr>
                <w:rFonts w:hint="eastAsia"/>
                <w:color w:val="auto"/>
                <w:highlight w:val="none"/>
              </w:rPr>
              <w:t>（15分）</w:t>
            </w:r>
          </w:p>
        </w:tc>
        <w:tc>
          <w:tcPr>
            <w:tcW w:w="6941" w:type="dxa"/>
            <w:gridSpan w:val="2"/>
            <w:vAlign w:val="center"/>
          </w:tcPr>
          <w:p>
            <w:pPr>
              <w:pStyle w:val="35"/>
              <w:numPr>
                <w:ilvl w:val="0"/>
                <w:numId w:val="0"/>
              </w:numPr>
              <w:spacing w:line="360" w:lineRule="auto"/>
              <w:jc w:val="left"/>
              <w:rPr>
                <w:rFonts w:hint="eastAsia" w:ascii="宋体" w:hAnsi="宋体" w:cs="宋体"/>
                <w:b/>
                <w:bCs/>
                <w:snapToGrid w:val="0"/>
                <w:color w:val="auto"/>
                <w:kern w:val="0"/>
                <w:sz w:val="21"/>
                <w:szCs w:val="21"/>
                <w:highlight w:val="none"/>
                <w:lang w:val="en-US" w:eastAsia="zh-CN" w:bidi="ar-SA"/>
              </w:rPr>
            </w:pPr>
            <w:r>
              <w:rPr>
                <w:rFonts w:hint="eastAsia" w:ascii="宋体" w:hAnsi="宋体" w:cs="宋体"/>
                <w:b/>
                <w:bCs/>
                <w:snapToGrid w:val="0"/>
                <w:color w:val="auto"/>
                <w:kern w:val="0"/>
                <w:sz w:val="21"/>
                <w:szCs w:val="21"/>
                <w:highlight w:val="none"/>
                <w:lang w:val="en-US" w:eastAsia="zh-CN" w:bidi="ar-SA"/>
              </w:rPr>
              <w:t>监理1标段：</w:t>
            </w:r>
          </w:p>
          <w:p>
            <w:pPr>
              <w:pStyle w:val="35"/>
              <w:numPr>
                <w:ilvl w:val="0"/>
                <w:numId w:val="0"/>
              </w:numPr>
              <w:spacing w:line="360" w:lineRule="auto"/>
              <w:ind w:firstLine="420" w:firstLineChars="200"/>
              <w:jc w:val="left"/>
              <w:rPr>
                <w:rFonts w:hint="eastAsia" w:ascii="宋体" w:hAnsi="宋体" w:cs="宋体"/>
                <w:snapToGrid w:val="0"/>
                <w:color w:val="auto"/>
                <w:kern w:val="0"/>
                <w:szCs w:val="21"/>
                <w:highlight w:val="none"/>
                <w:lang w:val="en-US" w:eastAsia="zh-CN"/>
              </w:rPr>
            </w:pPr>
            <w:r>
              <w:rPr>
                <w:rFonts w:hint="eastAsia" w:ascii="宋体" w:hAnsi="宋体" w:cs="宋体"/>
                <w:snapToGrid w:val="0"/>
                <w:color w:val="auto"/>
                <w:kern w:val="0"/>
                <w:szCs w:val="21"/>
                <w:highlight w:val="none"/>
                <w:lang w:val="en-US" w:eastAsia="zh-CN"/>
              </w:rPr>
              <w:t>拟投入水利工程注册监理工程师</w:t>
            </w:r>
            <w:r>
              <w:rPr>
                <w:rFonts w:hint="eastAsia" w:cs="宋体"/>
                <w:snapToGrid w:val="0"/>
                <w:color w:val="auto"/>
                <w:kern w:val="0"/>
                <w:szCs w:val="21"/>
                <w:highlight w:val="none"/>
                <w:lang w:val="en-US" w:eastAsia="zh-CN"/>
              </w:rPr>
              <w:t>5</w:t>
            </w:r>
            <w:r>
              <w:rPr>
                <w:rFonts w:hint="eastAsia" w:ascii="宋体" w:hAnsi="宋体" w:cs="宋体"/>
                <w:snapToGrid w:val="0"/>
                <w:color w:val="auto"/>
                <w:kern w:val="0"/>
                <w:szCs w:val="21"/>
                <w:highlight w:val="none"/>
                <w:lang w:val="en-US" w:eastAsia="zh-CN"/>
              </w:rPr>
              <w:t>人（不含总监），得5分，少于</w:t>
            </w:r>
            <w:r>
              <w:rPr>
                <w:rFonts w:hint="eastAsia" w:cs="宋体"/>
                <w:snapToGrid w:val="0"/>
                <w:color w:val="auto"/>
                <w:kern w:val="0"/>
                <w:szCs w:val="21"/>
                <w:highlight w:val="none"/>
                <w:lang w:val="en-US" w:eastAsia="zh-CN"/>
              </w:rPr>
              <w:t>5</w:t>
            </w:r>
            <w:r>
              <w:rPr>
                <w:rFonts w:hint="eastAsia" w:ascii="宋体" w:hAnsi="宋体" w:cs="宋体"/>
                <w:snapToGrid w:val="0"/>
                <w:color w:val="auto"/>
                <w:kern w:val="0"/>
                <w:szCs w:val="21"/>
                <w:highlight w:val="none"/>
                <w:lang w:val="en-US" w:eastAsia="zh-CN"/>
              </w:rPr>
              <w:t>人不得分；</w:t>
            </w:r>
            <w:r>
              <w:rPr>
                <w:rFonts w:hint="eastAsia" w:cs="宋体"/>
                <w:snapToGrid w:val="0"/>
                <w:color w:val="auto"/>
                <w:kern w:val="0"/>
                <w:szCs w:val="21"/>
                <w:highlight w:val="none"/>
                <w:lang w:val="en-US" w:eastAsia="zh-CN"/>
              </w:rPr>
              <w:t>在5人的基础上</w:t>
            </w:r>
            <w:r>
              <w:rPr>
                <w:rFonts w:hint="eastAsia" w:ascii="宋体" w:hAnsi="宋体" w:cs="宋体"/>
                <w:snapToGrid w:val="0"/>
                <w:color w:val="auto"/>
                <w:kern w:val="0"/>
                <w:szCs w:val="21"/>
                <w:highlight w:val="none"/>
                <w:lang w:val="en-US" w:eastAsia="zh-CN"/>
              </w:rPr>
              <w:t>每增加1人加1分，最多加5分。（提供注册监理工程师证书扫描件）；拟投入的</w:t>
            </w:r>
            <w:r>
              <w:rPr>
                <w:rFonts w:hint="eastAsia" w:cs="宋体"/>
                <w:snapToGrid w:val="0"/>
                <w:color w:val="auto"/>
                <w:kern w:val="0"/>
                <w:szCs w:val="21"/>
                <w:highlight w:val="none"/>
                <w:lang w:val="en-US" w:eastAsia="zh-CN"/>
              </w:rPr>
              <w:t>所有</w:t>
            </w:r>
            <w:r>
              <w:rPr>
                <w:rFonts w:hint="eastAsia" w:ascii="宋体" w:hAnsi="宋体" w:cs="宋体"/>
                <w:snapToGrid w:val="0"/>
                <w:color w:val="auto"/>
                <w:kern w:val="0"/>
                <w:szCs w:val="21"/>
                <w:highlight w:val="none"/>
                <w:lang w:val="en-US" w:eastAsia="zh-CN"/>
              </w:rPr>
              <w:t>注册监理工程师中，缺少水土保持工程</w:t>
            </w:r>
            <w:r>
              <w:rPr>
                <w:rFonts w:hint="eastAsia" w:cs="宋体"/>
                <w:snapToGrid w:val="0"/>
                <w:color w:val="auto"/>
                <w:kern w:val="0"/>
                <w:szCs w:val="21"/>
                <w:highlight w:val="none"/>
                <w:lang w:val="en-US" w:eastAsia="zh-CN"/>
              </w:rPr>
              <w:t>施工监理</w:t>
            </w:r>
            <w:r>
              <w:rPr>
                <w:rFonts w:hint="eastAsia" w:ascii="宋体" w:hAnsi="宋体" w:cs="宋体"/>
                <w:snapToGrid w:val="0"/>
                <w:color w:val="auto"/>
                <w:kern w:val="0"/>
                <w:szCs w:val="21"/>
                <w:highlight w:val="none"/>
                <w:lang w:val="en-US" w:eastAsia="zh-CN"/>
              </w:rPr>
              <w:t>专业的扣1分</w:t>
            </w:r>
            <w:r>
              <w:rPr>
                <w:rFonts w:hint="eastAsia" w:cs="宋体"/>
                <w:snapToGrid w:val="0"/>
                <w:color w:val="auto"/>
                <w:kern w:val="0"/>
                <w:szCs w:val="21"/>
                <w:highlight w:val="none"/>
                <w:lang w:val="en-US" w:eastAsia="zh-CN"/>
              </w:rPr>
              <w:t>，最多扣1分</w:t>
            </w:r>
            <w:r>
              <w:rPr>
                <w:rFonts w:hint="eastAsia" w:ascii="宋体" w:hAnsi="宋体" w:cs="宋体"/>
                <w:snapToGrid w:val="0"/>
                <w:color w:val="auto"/>
                <w:kern w:val="0"/>
                <w:szCs w:val="21"/>
                <w:highlight w:val="none"/>
                <w:lang w:val="en-US" w:eastAsia="zh-CN"/>
              </w:rPr>
              <w:t>。</w:t>
            </w:r>
          </w:p>
          <w:p>
            <w:pPr>
              <w:pStyle w:val="35"/>
              <w:numPr>
                <w:ilvl w:val="0"/>
                <w:numId w:val="0"/>
              </w:numPr>
              <w:spacing w:line="360" w:lineRule="auto"/>
              <w:jc w:val="left"/>
              <w:rPr>
                <w:rFonts w:hint="eastAsia" w:ascii="宋体" w:hAnsi="宋体" w:cs="宋体"/>
                <w:b/>
                <w:bCs/>
                <w:snapToGrid w:val="0"/>
                <w:color w:val="auto"/>
                <w:kern w:val="0"/>
                <w:sz w:val="21"/>
                <w:szCs w:val="21"/>
                <w:highlight w:val="none"/>
                <w:lang w:val="en-US" w:eastAsia="zh-CN" w:bidi="ar-SA"/>
              </w:rPr>
            </w:pPr>
            <w:r>
              <w:rPr>
                <w:rFonts w:hint="eastAsia" w:ascii="宋体" w:hAnsi="宋体" w:cs="宋体"/>
                <w:b/>
                <w:bCs/>
                <w:snapToGrid w:val="0"/>
                <w:color w:val="auto"/>
                <w:kern w:val="0"/>
                <w:sz w:val="21"/>
                <w:szCs w:val="21"/>
                <w:highlight w:val="none"/>
                <w:lang w:val="en-US" w:eastAsia="zh-CN" w:bidi="ar-SA"/>
              </w:rPr>
              <w:t>监理2标段：</w:t>
            </w:r>
          </w:p>
          <w:p>
            <w:pPr>
              <w:pStyle w:val="35"/>
              <w:numPr>
                <w:ilvl w:val="0"/>
                <w:numId w:val="0"/>
              </w:numPr>
              <w:spacing w:line="360" w:lineRule="auto"/>
              <w:ind w:firstLine="420" w:firstLineChars="200"/>
              <w:jc w:val="left"/>
              <w:rPr>
                <w:rFonts w:hint="eastAsia"/>
                <w:color w:val="auto"/>
                <w:highlight w:val="none"/>
                <w:lang w:eastAsia="zh-CN"/>
              </w:rPr>
            </w:pPr>
            <w:r>
              <w:rPr>
                <w:rFonts w:hint="eastAsia" w:ascii="宋体" w:hAnsi="宋体" w:cs="宋体"/>
                <w:snapToGrid w:val="0"/>
                <w:color w:val="auto"/>
                <w:kern w:val="0"/>
                <w:szCs w:val="21"/>
                <w:highlight w:val="none"/>
                <w:lang w:val="en-US" w:eastAsia="zh-CN"/>
              </w:rPr>
              <w:t>拟投入水利工程注册监理工程师</w:t>
            </w:r>
            <w:r>
              <w:rPr>
                <w:rFonts w:hint="eastAsia" w:cs="宋体"/>
                <w:snapToGrid w:val="0"/>
                <w:color w:val="auto"/>
                <w:kern w:val="0"/>
                <w:szCs w:val="21"/>
                <w:highlight w:val="none"/>
                <w:lang w:val="en-US" w:eastAsia="zh-CN"/>
              </w:rPr>
              <w:t>6</w:t>
            </w:r>
            <w:r>
              <w:rPr>
                <w:rFonts w:hint="eastAsia" w:ascii="宋体" w:hAnsi="宋体" w:cs="宋体"/>
                <w:snapToGrid w:val="0"/>
                <w:color w:val="auto"/>
                <w:kern w:val="0"/>
                <w:szCs w:val="21"/>
                <w:highlight w:val="none"/>
                <w:lang w:val="en-US" w:eastAsia="zh-CN"/>
              </w:rPr>
              <w:t>人（不含总监），得5分，少于</w:t>
            </w:r>
            <w:r>
              <w:rPr>
                <w:rFonts w:hint="eastAsia" w:cs="宋体"/>
                <w:snapToGrid w:val="0"/>
                <w:color w:val="auto"/>
                <w:kern w:val="0"/>
                <w:szCs w:val="21"/>
                <w:highlight w:val="none"/>
                <w:lang w:val="en-US" w:eastAsia="zh-CN"/>
              </w:rPr>
              <w:t>6</w:t>
            </w:r>
            <w:r>
              <w:rPr>
                <w:rFonts w:hint="eastAsia" w:ascii="宋体" w:hAnsi="宋体" w:cs="宋体"/>
                <w:snapToGrid w:val="0"/>
                <w:color w:val="auto"/>
                <w:kern w:val="0"/>
                <w:szCs w:val="21"/>
                <w:highlight w:val="none"/>
                <w:lang w:val="en-US" w:eastAsia="zh-CN"/>
              </w:rPr>
              <w:t>人不得分；每增加1人加1分，最多加5分。（</w:t>
            </w:r>
            <w:r>
              <w:rPr>
                <w:rFonts w:hint="eastAsia"/>
                <w:color w:val="auto"/>
                <w:highlight w:val="none"/>
                <w:lang w:val="en-US" w:eastAsia="zh-CN"/>
              </w:rPr>
              <w:t>以上均</w:t>
            </w:r>
            <w:r>
              <w:rPr>
                <w:rFonts w:hint="eastAsia"/>
                <w:color w:val="auto"/>
                <w:highlight w:val="none"/>
              </w:rPr>
              <w:t>须提供注册证书扫描件</w:t>
            </w:r>
            <w:r>
              <w:rPr>
                <w:rFonts w:hint="eastAsia" w:ascii="宋体" w:hAnsi="宋体" w:cs="宋体"/>
                <w:snapToGrid w:val="0"/>
                <w:color w:val="auto"/>
                <w:kern w:val="0"/>
                <w:szCs w:val="21"/>
                <w:highlight w:val="none"/>
                <w:lang w:val="en-US" w:eastAsia="zh-CN"/>
              </w:rPr>
              <w:t>）；拟投入的</w:t>
            </w:r>
            <w:r>
              <w:rPr>
                <w:rFonts w:hint="eastAsia" w:cs="宋体"/>
                <w:snapToGrid w:val="0"/>
                <w:color w:val="auto"/>
                <w:kern w:val="0"/>
                <w:szCs w:val="21"/>
                <w:highlight w:val="none"/>
                <w:lang w:val="en-US" w:eastAsia="zh-CN"/>
              </w:rPr>
              <w:t>所有</w:t>
            </w:r>
            <w:r>
              <w:rPr>
                <w:rFonts w:hint="eastAsia" w:ascii="宋体" w:hAnsi="宋体" w:cs="宋体"/>
                <w:snapToGrid w:val="0"/>
                <w:color w:val="auto"/>
                <w:kern w:val="0"/>
                <w:szCs w:val="21"/>
                <w:highlight w:val="none"/>
                <w:lang w:val="en-US" w:eastAsia="zh-CN"/>
              </w:rPr>
              <w:t>注册监理工程师中，缺少水土保持工程</w:t>
            </w:r>
            <w:r>
              <w:rPr>
                <w:rFonts w:hint="eastAsia" w:cs="宋体"/>
                <w:snapToGrid w:val="0"/>
                <w:color w:val="auto"/>
                <w:kern w:val="0"/>
                <w:szCs w:val="21"/>
                <w:highlight w:val="none"/>
                <w:lang w:val="en-US" w:eastAsia="zh-CN"/>
              </w:rPr>
              <w:t>施工监理</w:t>
            </w:r>
            <w:r>
              <w:rPr>
                <w:rFonts w:hint="eastAsia" w:ascii="宋体" w:hAnsi="宋体" w:cs="宋体"/>
                <w:snapToGrid w:val="0"/>
                <w:color w:val="auto"/>
                <w:kern w:val="0"/>
                <w:szCs w:val="21"/>
                <w:highlight w:val="none"/>
                <w:lang w:val="en-US" w:eastAsia="zh-CN"/>
              </w:rPr>
              <w:t>专业</w:t>
            </w:r>
            <w:r>
              <w:rPr>
                <w:rFonts w:hint="eastAsia" w:cs="宋体"/>
                <w:snapToGrid w:val="0"/>
                <w:color w:val="auto"/>
                <w:kern w:val="0"/>
                <w:szCs w:val="21"/>
                <w:highlight w:val="none"/>
                <w:lang w:val="en-US" w:eastAsia="zh-CN"/>
              </w:rPr>
              <w:t>、</w:t>
            </w:r>
            <w:r>
              <w:rPr>
                <w:rFonts w:hint="eastAsia" w:ascii="宋体" w:hAnsi="宋体" w:cs="宋体"/>
                <w:snapToGrid w:val="0"/>
                <w:color w:val="auto"/>
                <w:kern w:val="0"/>
                <w:szCs w:val="21"/>
                <w:highlight w:val="none"/>
                <w:lang w:val="en-US" w:eastAsia="zh-CN"/>
              </w:rPr>
              <w:t>机电及金属结构设备制造监理专业的</w:t>
            </w:r>
            <w:r>
              <w:rPr>
                <w:rFonts w:hint="eastAsia" w:cs="宋体"/>
                <w:snapToGrid w:val="0"/>
                <w:color w:val="auto"/>
                <w:kern w:val="0"/>
                <w:szCs w:val="21"/>
                <w:highlight w:val="none"/>
                <w:lang w:val="en-US" w:eastAsia="zh-CN"/>
              </w:rPr>
              <w:t>，缺少一项</w:t>
            </w:r>
            <w:r>
              <w:rPr>
                <w:rFonts w:hint="eastAsia" w:ascii="宋体" w:hAnsi="宋体" w:cs="宋体"/>
                <w:snapToGrid w:val="0"/>
                <w:color w:val="auto"/>
                <w:kern w:val="0"/>
                <w:szCs w:val="21"/>
                <w:highlight w:val="none"/>
                <w:lang w:val="en-US" w:eastAsia="zh-CN"/>
              </w:rPr>
              <w:t>扣1分</w:t>
            </w:r>
            <w:r>
              <w:rPr>
                <w:rFonts w:hint="eastAsia" w:cs="宋体"/>
                <w:snapToGrid w:val="0"/>
                <w:color w:val="auto"/>
                <w:kern w:val="0"/>
                <w:szCs w:val="21"/>
                <w:highlight w:val="none"/>
                <w:lang w:val="en-US" w:eastAsia="zh-CN"/>
              </w:rPr>
              <w:t>，最多扣2分</w:t>
            </w:r>
            <w:r>
              <w:rPr>
                <w:rFonts w:hint="eastAsia" w:ascii="宋体" w:hAnsi="宋体" w:cs="宋体"/>
                <w:snapToGrid w:val="0"/>
                <w:color w:val="auto"/>
                <w:kern w:val="0"/>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739" w:type="dxa"/>
            <w:vMerge w:val="continue"/>
            <w:vAlign w:val="center"/>
          </w:tcPr>
          <w:p>
            <w:pPr>
              <w:rPr>
                <w:color w:val="auto"/>
                <w:highlight w:val="none"/>
              </w:rPr>
            </w:pPr>
          </w:p>
        </w:tc>
        <w:tc>
          <w:tcPr>
            <w:tcW w:w="2158" w:type="dxa"/>
            <w:gridSpan w:val="2"/>
            <w:vMerge w:val="continue"/>
          </w:tcPr>
          <w:p>
            <w:pPr>
              <w:pStyle w:val="35"/>
              <w:rPr>
                <w:color w:val="auto"/>
                <w:highlight w:val="none"/>
              </w:rPr>
            </w:pPr>
          </w:p>
        </w:tc>
        <w:tc>
          <w:tcPr>
            <w:tcW w:w="6941" w:type="dxa"/>
            <w:gridSpan w:val="2"/>
            <w:vAlign w:val="center"/>
          </w:tcPr>
          <w:p>
            <w:pPr>
              <w:pStyle w:val="35"/>
              <w:rPr>
                <w:color w:val="auto"/>
                <w:highlight w:val="none"/>
              </w:rPr>
            </w:pPr>
            <w:r>
              <w:rPr>
                <w:rFonts w:hint="eastAsia"/>
                <w:color w:val="auto"/>
                <w:highlight w:val="none"/>
              </w:rPr>
              <w:t>拟投入监理员8人，得3分，少于8人不得分；每增加1人加0.5分，最多加2分。（须提供监理员证书或助理工程师及以上职称证书原件）；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0" w:hRule="atLeast"/>
          <w:jc w:val="center"/>
        </w:trPr>
        <w:tc>
          <w:tcPr>
            <w:tcW w:w="739" w:type="dxa"/>
            <w:vMerge w:val="restart"/>
            <w:vAlign w:val="center"/>
          </w:tcPr>
          <w:p>
            <w:pPr>
              <w:ind w:left="0" w:leftChars="0" w:firstLine="0" w:firstLineChars="0"/>
              <w:rPr>
                <w:color w:val="auto"/>
                <w:highlight w:val="none"/>
              </w:rPr>
            </w:pPr>
            <w:r>
              <w:rPr>
                <w:rFonts w:hint="eastAsia"/>
                <w:color w:val="auto"/>
                <w:highlight w:val="none"/>
              </w:rPr>
              <w:t>4.3</w:t>
            </w:r>
          </w:p>
        </w:tc>
        <w:tc>
          <w:tcPr>
            <w:tcW w:w="1046" w:type="dxa"/>
            <w:vMerge w:val="restart"/>
            <w:vAlign w:val="center"/>
          </w:tcPr>
          <w:p>
            <w:pPr>
              <w:pStyle w:val="32"/>
              <w:spacing w:line="360" w:lineRule="auto"/>
              <w:jc w:val="center"/>
              <w:rPr>
                <w:rFonts w:hAnsi="宋体"/>
                <w:b/>
                <w:bCs/>
                <w:color w:val="auto"/>
                <w:kern w:val="2"/>
                <w:sz w:val="21"/>
                <w:szCs w:val="21"/>
                <w:highlight w:val="none"/>
              </w:rPr>
            </w:pPr>
            <w:r>
              <w:rPr>
                <w:rFonts w:hint="eastAsia" w:hAnsi="宋体"/>
                <w:b/>
                <w:bCs/>
                <w:color w:val="auto"/>
                <w:kern w:val="2"/>
                <w:sz w:val="21"/>
                <w:szCs w:val="21"/>
                <w:highlight w:val="none"/>
              </w:rPr>
              <w:t>投</w:t>
            </w:r>
          </w:p>
          <w:p>
            <w:pPr>
              <w:pStyle w:val="32"/>
              <w:spacing w:line="360" w:lineRule="auto"/>
              <w:jc w:val="center"/>
              <w:rPr>
                <w:rFonts w:hAnsi="宋体"/>
                <w:b/>
                <w:bCs/>
                <w:color w:val="auto"/>
                <w:kern w:val="2"/>
                <w:sz w:val="21"/>
                <w:szCs w:val="21"/>
                <w:highlight w:val="none"/>
              </w:rPr>
            </w:pPr>
            <w:r>
              <w:rPr>
                <w:rFonts w:hint="eastAsia" w:hAnsi="宋体"/>
                <w:b/>
                <w:bCs/>
                <w:color w:val="auto"/>
                <w:kern w:val="2"/>
                <w:sz w:val="21"/>
                <w:szCs w:val="21"/>
                <w:highlight w:val="none"/>
              </w:rPr>
              <w:t>标</w:t>
            </w:r>
          </w:p>
          <w:p>
            <w:pPr>
              <w:pStyle w:val="32"/>
              <w:spacing w:line="360" w:lineRule="auto"/>
              <w:jc w:val="center"/>
              <w:rPr>
                <w:rFonts w:hAnsi="宋体"/>
                <w:b/>
                <w:bCs/>
                <w:color w:val="auto"/>
                <w:kern w:val="2"/>
                <w:sz w:val="21"/>
                <w:szCs w:val="21"/>
                <w:highlight w:val="none"/>
              </w:rPr>
            </w:pPr>
            <w:r>
              <w:rPr>
                <w:rFonts w:hint="eastAsia" w:hAnsi="宋体"/>
                <w:b/>
                <w:bCs/>
                <w:color w:val="auto"/>
                <w:kern w:val="2"/>
                <w:sz w:val="21"/>
                <w:szCs w:val="21"/>
                <w:highlight w:val="none"/>
              </w:rPr>
              <w:t>报</w:t>
            </w:r>
          </w:p>
          <w:p>
            <w:pPr>
              <w:pStyle w:val="32"/>
              <w:spacing w:line="360" w:lineRule="auto"/>
              <w:jc w:val="center"/>
              <w:rPr>
                <w:rFonts w:hAnsi="宋体"/>
                <w:b/>
                <w:bCs/>
                <w:color w:val="auto"/>
                <w:kern w:val="2"/>
                <w:sz w:val="21"/>
                <w:szCs w:val="21"/>
                <w:highlight w:val="none"/>
              </w:rPr>
            </w:pPr>
            <w:r>
              <w:rPr>
                <w:rFonts w:hint="eastAsia" w:hAnsi="宋体"/>
                <w:b/>
                <w:bCs/>
                <w:color w:val="auto"/>
                <w:kern w:val="2"/>
                <w:sz w:val="21"/>
                <w:szCs w:val="21"/>
                <w:highlight w:val="none"/>
              </w:rPr>
              <w:t>价</w:t>
            </w:r>
          </w:p>
          <w:p>
            <w:pPr>
              <w:pStyle w:val="32"/>
              <w:spacing w:line="360" w:lineRule="auto"/>
              <w:jc w:val="center"/>
              <w:rPr>
                <w:rFonts w:hAnsi="宋体"/>
                <w:b/>
                <w:bCs/>
                <w:color w:val="auto"/>
                <w:kern w:val="2"/>
                <w:sz w:val="21"/>
                <w:szCs w:val="21"/>
                <w:highlight w:val="none"/>
              </w:rPr>
            </w:pPr>
            <w:r>
              <w:rPr>
                <w:rFonts w:hint="eastAsia" w:hAnsi="宋体"/>
                <w:b/>
                <w:bCs/>
                <w:color w:val="auto"/>
                <w:kern w:val="2"/>
                <w:sz w:val="21"/>
                <w:szCs w:val="21"/>
                <w:highlight w:val="none"/>
              </w:rPr>
              <w:t>评</w:t>
            </w:r>
          </w:p>
          <w:p>
            <w:pPr>
              <w:pStyle w:val="32"/>
              <w:spacing w:line="360" w:lineRule="auto"/>
              <w:jc w:val="center"/>
              <w:rPr>
                <w:rFonts w:hAnsi="宋体"/>
                <w:b/>
                <w:bCs/>
                <w:color w:val="auto"/>
                <w:kern w:val="2"/>
                <w:sz w:val="21"/>
                <w:szCs w:val="21"/>
                <w:highlight w:val="none"/>
              </w:rPr>
            </w:pPr>
            <w:r>
              <w:rPr>
                <w:rFonts w:hint="eastAsia" w:hAnsi="宋体"/>
                <w:b/>
                <w:bCs/>
                <w:color w:val="auto"/>
                <w:kern w:val="2"/>
                <w:sz w:val="21"/>
                <w:szCs w:val="21"/>
                <w:highlight w:val="none"/>
              </w:rPr>
              <w:t>审</w:t>
            </w:r>
          </w:p>
          <w:p>
            <w:pPr>
              <w:pStyle w:val="32"/>
              <w:spacing w:line="360" w:lineRule="auto"/>
              <w:jc w:val="center"/>
              <w:rPr>
                <w:rFonts w:hAnsi="宋体"/>
                <w:b/>
                <w:bCs/>
                <w:color w:val="auto"/>
                <w:kern w:val="2"/>
                <w:sz w:val="21"/>
                <w:szCs w:val="21"/>
                <w:highlight w:val="none"/>
              </w:rPr>
            </w:pPr>
            <w:r>
              <w:rPr>
                <w:rFonts w:hint="eastAsia" w:hAnsi="宋体"/>
                <w:b/>
                <w:bCs/>
                <w:color w:val="auto"/>
                <w:kern w:val="2"/>
                <w:sz w:val="21"/>
                <w:szCs w:val="21"/>
                <w:highlight w:val="none"/>
              </w:rPr>
              <w:t>标</w:t>
            </w:r>
          </w:p>
          <w:p>
            <w:pPr>
              <w:pStyle w:val="32"/>
              <w:spacing w:line="360" w:lineRule="auto"/>
              <w:jc w:val="center"/>
              <w:rPr>
                <w:rFonts w:hAnsi="宋体"/>
                <w:b/>
                <w:bCs/>
                <w:color w:val="auto"/>
                <w:kern w:val="2"/>
                <w:sz w:val="21"/>
                <w:szCs w:val="21"/>
                <w:highlight w:val="none"/>
              </w:rPr>
            </w:pPr>
            <w:r>
              <w:rPr>
                <w:rFonts w:hint="eastAsia" w:hAnsi="宋体"/>
                <w:b/>
                <w:bCs/>
                <w:color w:val="auto"/>
                <w:kern w:val="2"/>
                <w:sz w:val="21"/>
                <w:szCs w:val="21"/>
                <w:highlight w:val="none"/>
              </w:rPr>
              <w:t>准</w:t>
            </w:r>
          </w:p>
        </w:tc>
        <w:tc>
          <w:tcPr>
            <w:tcW w:w="1112" w:type="dxa"/>
            <w:vAlign w:val="center"/>
          </w:tcPr>
          <w:p>
            <w:pPr>
              <w:ind w:left="0" w:leftChars="0" w:firstLine="0" w:firstLineChars="0"/>
              <w:rPr>
                <w:color w:val="auto"/>
                <w:highlight w:val="none"/>
              </w:rPr>
            </w:pPr>
            <w:r>
              <w:rPr>
                <w:rFonts w:hint="eastAsia"/>
                <w:color w:val="auto"/>
                <w:highlight w:val="none"/>
              </w:rPr>
              <w:t>评标基准价计算方法</w:t>
            </w:r>
          </w:p>
        </w:tc>
        <w:tc>
          <w:tcPr>
            <w:tcW w:w="6941" w:type="dxa"/>
            <w:gridSpan w:val="2"/>
            <w:vAlign w:val="center"/>
          </w:tcPr>
          <w:p>
            <w:pPr>
              <w:pStyle w:val="35"/>
              <w:ind w:left="0" w:leftChars="0" w:firstLine="0" w:firstLineChars="0"/>
              <w:rPr>
                <w:color w:val="auto"/>
                <w:highlight w:val="none"/>
              </w:rPr>
            </w:pPr>
            <w:r>
              <w:rPr>
                <w:rFonts w:hint="eastAsia"/>
                <w:color w:val="auto"/>
                <w:highlight w:val="none"/>
              </w:rPr>
              <w:t>一、有效投标报价的确定办法：</w:t>
            </w:r>
          </w:p>
          <w:p>
            <w:pPr>
              <w:pStyle w:val="35"/>
              <w:rPr>
                <w:color w:val="auto"/>
                <w:highlight w:val="none"/>
              </w:rPr>
            </w:pPr>
            <w:r>
              <w:rPr>
                <w:rFonts w:hint="eastAsia"/>
                <w:color w:val="auto"/>
                <w:highlight w:val="none"/>
              </w:rPr>
              <w:t>1：投标人投标报价≤招标控制价；</w:t>
            </w:r>
          </w:p>
          <w:p>
            <w:pPr>
              <w:pStyle w:val="35"/>
              <w:rPr>
                <w:color w:val="auto"/>
                <w:highlight w:val="none"/>
              </w:rPr>
            </w:pPr>
            <w:r>
              <w:rPr>
                <w:rFonts w:hint="eastAsia"/>
                <w:color w:val="auto"/>
                <w:highlight w:val="none"/>
              </w:rPr>
              <w:t>2：通过初步评审的投标人的投标报价；</w:t>
            </w:r>
          </w:p>
          <w:p>
            <w:pPr>
              <w:pStyle w:val="35"/>
              <w:rPr>
                <w:color w:val="auto"/>
                <w:highlight w:val="none"/>
              </w:rPr>
            </w:pPr>
            <w:r>
              <w:rPr>
                <w:rFonts w:hint="eastAsia"/>
                <w:color w:val="auto"/>
                <w:highlight w:val="none"/>
              </w:rPr>
              <w:t>3：同时符合以上两个条件的投标报价为有效投标报价。</w:t>
            </w:r>
          </w:p>
          <w:p>
            <w:pPr>
              <w:pStyle w:val="35"/>
              <w:rPr>
                <w:color w:val="auto"/>
                <w:highlight w:val="none"/>
              </w:rPr>
            </w:pPr>
            <w:r>
              <w:rPr>
                <w:rFonts w:hint="eastAsia"/>
                <w:color w:val="auto"/>
                <w:highlight w:val="none"/>
              </w:rPr>
              <w:t>投标报价低于招标控制价×95%的，不参加有效投标报价算术平均值的计算，但仍进行评审。</w:t>
            </w:r>
            <w:r>
              <w:rPr>
                <w:rFonts w:hint="eastAsia"/>
                <w:color w:val="auto"/>
                <w:highlight w:val="none"/>
              </w:rPr>
              <w:br w:type="textWrapping"/>
            </w:r>
            <w:r>
              <w:rPr>
                <w:rFonts w:hint="eastAsia"/>
                <w:color w:val="auto"/>
                <w:highlight w:val="none"/>
              </w:rPr>
              <w:t>二、有效投标报价的算术平均值的确定：为所有参与计算的有效投标报价的算术平均值。</w:t>
            </w:r>
            <w:r>
              <w:rPr>
                <w:rFonts w:hint="eastAsia"/>
                <w:color w:val="auto"/>
                <w:highlight w:val="none"/>
              </w:rPr>
              <w:br w:type="textWrapping"/>
            </w:r>
            <w:r>
              <w:rPr>
                <w:rFonts w:hint="eastAsia"/>
                <w:color w:val="auto"/>
                <w:highlight w:val="none"/>
              </w:rPr>
              <w:t>三、评标基准值=有效投标报价的算术平均值×50%+招标控制价×50%</w:t>
            </w:r>
            <w:r>
              <w:rPr>
                <w:rFonts w:hint="eastAsia"/>
                <w:color w:val="auto"/>
                <w:highlight w:val="none"/>
              </w:rPr>
              <w:br w:type="textWrapping"/>
            </w:r>
            <w:r>
              <w:rPr>
                <w:rFonts w:hint="eastAsia"/>
                <w:color w:val="auto"/>
                <w:highlight w:val="none"/>
              </w:rPr>
              <w:t>当所有有效的投标报价都低于招标控制价×95%时，评标基准值=招标控制价×95%；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39" w:type="dxa"/>
            <w:vMerge w:val="continue"/>
            <w:vAlign w:val="center"/>
          </w:tcPr>
          <w:p>
            <w:pPr>
              <w:rPr>
                <w:color w:val="auto"/>
                <w:highlight w:val="none"/>
              </w:rPr>
            </w:pPr>
          </w:p>
        </w:tc>
        <w:tc>
          <w:tcPr>
            <w:tcW w:w="1046" w:type="dxa"/>
            <w:vMerge w:val="continue"/>
            <w:vAlign w:val="center"/>
          </w:tcPr>
          <w:p>
            <w:pPr>
              <w:pStyle w:val="32"/>
              <w:spacing w:line="360" w:lineRule="auto"/>
              <w:jc w:val="center"/>
              <w:rPr>
                <w:rFonts w:hAnsi="宋体"/>
                <w:b/>
                <w:bCs/>
                <w:color w:val="auto"/>
                <w:kern w:val="2"/>
                <w:sz w:val="21"/>
                <w:szCs w:val="21"/>
                <w:highlight w:val="none"/>
              </w:rPr>
            </w:pPr>
          </w:p>
        </w:tc>
        <w:tc>
          <w:tcPr>
            <w:tcW w:w="1112" w:type="dxa"/>
            <w:vAlign w:val="center"/>
          </w:tcPr>
          <w:p>
            <w:pPr>
              <w:ind w:left="0" w:leftChars="0" w:firstLine="0" w:firstLineChars="0"/>
              <w:rPr>
                <w:color w:val="auto"/>
                <w:highlight w:val="none"/>
              </w:rPr>
            </w:pPr>
            <w:r>
              <w:rPr>
                <w:rFonts w:hint="eastAsia"/>
                <w:color w:val="auto"/>
                <w:highlight w:val="none"/>
              </w:rPr>
              <w:t>投标报价评审标准</w:t>
            </w:r>
          </w:p>
          <w:p>
            <w:pPr>
              <w:ind w:left="0" w:leftChars="0" w:firstLine="0" w:firstLineChars="0"/>
              <w:rPr>
                <w:color w:val="auto"/>
                <w:highlight w:val="none"/>
              </w:rPr>
            </w:pPr>
            <w:r>
              <w:rPr>
                <w:rFonts w:hint="eastAsia"/>
                <w:color w:val="auto"/>
                <w:highlight w:val="none"/>
              </w:rPr>
              <w:t>（40分）</w:t>
            </w:r>
          </w:p>
        </w:tc>
        <w:tc>
          <w:tcPr>
            <w:tcW w:w="6941" w:type="dxa"/>
            <w:gridSpan w:val="2"/>
            <w:vAlign w:val="center"/>
          </w:tcPr>
          <w:p>
            <w:pPr>
              <w:pStyle w:val="35"/>
              <w:ind w:left="0" w:leftChars="0" w:firstLine="0" w:firstLineChars="0"/>
              <w:rPr>
                <w:color w:val="auto"/>
                <w:highlight w:val="none"/>
              </w:rPr>
            </w:pPr>
            <w:r>
              <w:rPr>
                <w:rFonts w:hint="eastAsia"/>
                <w:color w:val="auto"/>
                <w:highlight w:val="none"/>
              </w:rPr>
              <w:t>四、分值计算</w:t>
            </w:r>
          </w:p>
          <w:p>
            <w:pPr>
              <w:pStyle w:val="35"/>
              <w:spacing w:line="360" w:lineRule="auto"/>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1.投标报价（满分</w:t>
            </w:r>
            <w:r>
              <w:rPr>
                <w:rFonts w:hint="eastAsia" w:ascii="宋体" w:hAnsi="宋体" w:cs="宋体"/>
                <w:snapToGrid w:val="0"/>
                <w:color w:val="auto"/>
                <w:kern w:val="0"/>
                <w:szCs w:val="21"/>
                <w:highlight w:val="none"/>
                <w:lang w:val="en-US" w:eastAsia="zh-CN"/>
              </w:rPr>
              <w:t>40</w:t>
            </w:r>
            <w:r>
              <w:rPr>
                <w:rFonts w:hint="eastAsia" w:ascii="宋体" w:hAnsi="宋体" w:cs="宋体"/>
                <w:snapToGrid w:val="0"/>
                <w:color w:val="auto"/>
                <w:kern w:val="0"/>
                <w:szCs w:val="21"/>
                <w:highlight w:val="none"/>
              </w:rPr>
              <w:t>分）</w:t>
            </w:r>
          </w:p>
          <w:p>
            <w:pPr>
              <w:pStyle w:val="35"/>
              <w:spacing w:line="360" w:lineRule="auto"/>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2.当投标报价等于评标基准值，得</w:t>
            </w:r>
            <w:r>
              <w:rPr>
                <w:rFonts w:hint="eastAsia" w:ascii="宋体" w:hAnsi="宋体" w:cs="宋体"/>
                <w:snapToGrid w:val="0"/>
                <w:color w:val="auto"/>
                <w:kern w:val="0"/>
                <w:szCs w:val="21"/>
                <w:highlight w:val="none"/>
                <w:lang w:val="en-US" w:eastAsia="zh-CN"/>
              </w:rPr>
              <w:t>35分</w:t>
            </w:r>
            <w:r>
              <w:rPr>
                <w:rFonts w:hint="eastAsia" w:ascii="宋体" w:hAnsi="宋体" w:cs="宋体"/>
                <w:snapToGrid w:val="0"/>
                <w:color w:val="auto"/>
                <w:kern w:val="0"/>
                <w:szCs w:val="21"/>
                <w:highlight w:val="none"/>
              </w:rPr>
              <w:t>。</w:t>
            </w:r>
          </w:p>
          <w:p>
            <w:pPr>
              <w:rPr>
                <w:color w:val="auto"/>
                <w:highlight w:val="none"/>
              </w:rPr>
            </w:pPr>
            <w:r>
              <w:rPr>
                <w:rFonts w:hint="eastAsia" w:ascii="宋体" w:hAnsi="宋体" w:cs="宋体"/>
                <w:snapToGrid w:val="0"/>
                <w:color w:val="auto"/>
                <w:kern w:val="0"/>
                <w:szCs w:val="21"/>
                <w:highlight w:val="none"/>
              </w:rPr>
              <w:t>3.当投标报价低于评标基准值，投标报价与评标基准值相比，每低1</w:t>
            </w:r>
            <w:r>
              <w:rPr>
                <w:rFonts w:hint="eastAsia" w:ascii="宋体" w:hAnsi="宋体" w:cs="宋体"/>
                <w:snapToGrid w:val="0"/>
                <w:color w:val="auto"/>
                <w:kern w:val="0"/>
                <w:szCs w:val="21"/>
                <w:highlight w:val="none"/>
                <w:lang w:val="en-US" w:eastAsia="zh-CN"/>
              </w:rPr>
              <w:t>个百分点，</w:t>
            </w:r>
            <w:r>
              <w:rPr>
                <w:rFonts w:hint="eastAsia" w:ascii="宋体" w:hAnsi="宋体" w:cs="宋体"/>
                <w:snapToGrid w:val="0"/>
                <w:color w:val="auto"/>
                <w:kern w:val="0"/>
                <w:szCs w:val="21"/>
                <w:highlight w:val="none"/>
              </w:rPr>
              <w:t>在</w:t>
            </w:r>
            <w:r>
              <w:rPr>
                <w:rFonts w:hint="eastAsia" w:ascii="宋体" w:hAnsi="宋体" w:cs="宋体"/>
                <w:snapToGrid w:val="0"/>
                <w:color w:val="auto"/>
                <w:kern w:val="0"/>
                <w:szCs w:val="21"/>
                <w:highlight w:val="none"/>
                <w:lang w:val="en-US" w:eastAsia="zh-CN"/>
              </w:rPr>
              <w:t>35</w:t>
            </w:r>
            <w:r>
              <w:rPr>
                <w:rFonts w:hint="eastAsia" w:ascii="宋体" w:hAnsi="宋体" w:cs="宋体"/>
                <w:snapToGrid w:val="0"/>
                <w:color w:val="auto"/>
                <w:kern w:val="0"/>
                <w:szCs w:val="21"/>
                <w:highlight w:val="none"/>
              </w:rPr>
              <w:t>分的基础上</w:t>
            </w:r>
            <w:r>
              <w:rPr>
                <w:rFonts w:hint="eastAsia" w:ascii="宋体" w:hAnsi="宋体" w:cs="宋体"/>
                <w:snapToGrid w:val="0"/>
                <w:color w:val="auto"/>
                <w:kern w:val="0"/>
                <w:szCs w:val="21"/>
                <w:highlight w:val="none"/>
                <w:lang w:val="en-US" w:eastAsia="zh-CN"/>
              </w:rPr>
              <w:t>加</w:t>
            </w:r>
            <w:r>
              <w:rPr>
                <w:rFonts w:hint="eastAsia" w:ascii="宋体" w:hAnsi="宋体" w:cs="宋体"/>
                <w:snapToGrid w:val="0"/>
                <w:color w:val="auto"/>
                <w:kern w:val="0"/>
                <w:szCs w:val="21"/>
                <w:highlight w:val="none"/>
              </w:rPr>
              <w:t>1分，</w:t>
            </w:r>
            <w:r>
              <w:rPr>
                <w:rFonts w:hint="eastAsia" w:ascii="宋体" w:hAnsi="宋体" w:cs="宋体"/>
                <w:snapToGrid w:val="0"/>
                <w:color w:val="auto"/>
                <w:kern w:val="0"/>
                <w:szCs w:val="21"/>
                <w:highlight w:val="none"/>
                <w:lang w:val="en-US" w:eastAsia="zh-CN"/>
              </w:rPr>
              <w:t>最多加5分</w:t>
            </w:r>
            <w:r>
              <w:rPr>
                <w:rFonts w:hint="eastAsia" w:ascii="宋体" w:hAnsi="宋体" w:cs="宋体"/>
                <w:snapToGrid w:val="0"/>
                <w:color w:val="auto"/>
                <w:kern w:val="0"/>
                <w:szCs w:val="21"/>
                <w:highlight w:val="none"/>
              </w:rPr>
              <w:t>；</w:t>
            </w:r>
            <w:r>
              <w:rPr>
                <w:rFonts w:hint="eastAsia" w:ascii="宋体" w:hAnsi="宋体" w:cs="宋体"/>
                <w:snapToGrid w:val="0"/>
                <w:color w:val="auto"/>
                <w:kern w:val="0"/>
                <w:szCs w:val="21"/>
                <w:highlight w:val="none"/>
                <w:lang w:val="en-US" w:eastAsia="zh-CN"/>
              </w:rPr>
              <w:t>投标报价低于评标基准值超过5个百分点的（含5个），每低于1个百分点，在35分的基础上减1分，减完为止；</w:t>
            </w:r>
            <w:r>
              <w:rPr>
                <w:rFonts w:hint="eastAsia" w:ascii="宋体" w:hAnsi="宋体" w:cs="宋体"/>
                <w:snapToGrid w:val="0"/>
                <w:color w:val="auto"/>
                <w:kern w:val="0"/>
                <w:szCs w:val="21"/>
                <w:highlight w:val="none"/>
              </w:rPr>
              <w:t>当投标报价高于评标基准价时，每高1</w:t>
            </w:r>
            <w:r>
              <w:rPr>
                <w:rFonts w:hint="eastAsia" w:ascii="宋体" w:hAnsi="宋体" w:cs="宋体"/>
                <w:snapToGrid w:val="0"/>
                <w:color w:val="auto"/>
                <w:kern w:val="0"/>
                <w:szCs w:val="21"/>
                <w:highlight w:val="none"/>
                <w:lang w:val="en-US" w:eastAsia="zh-CN"/>
              </w:rPr>
              <w:t>个百分点，在35分的基础上</w:t>
            </w:r>
            <w:r>
              <w:rPr>
                <w:rFonts w:hint="eastAsia" w:ascii="宋体" w:hAnsi="宋体" w:cs="宋体"/>
                <w:snapToGrid w:val="0"/>
                <w:color w:val="auto"/>
                <w:kern w:val="0"/>
                <w:szCs w:val="21"/>
                <w:highlight w:val="none"/>
              </w:rPr>
              <w:t>扣2分，扣完为止。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739" w:type="dxa"/>
            <w:vAlign w:val="center"/>
          </w:tcPr>
          <w:p>
            <w:pPr>
              <w:ind w:left="0" w:leftChars="0" w:firstLine="0" w:firstLineChars="0"/>
              <w:rPr>
                <w:color w:val="auto"/>
                <w:highlight w:val="none"/>
              </w:rPr>
            </w:pPr>
            <w:r>
              <w:rPr>
                <w:rFonts w:hint="eastAsia"/>
                <w:color w:val="auto"/>
                <w:highlight w:val="none"/>
              </w:rPr>
              <w:t>4.4</w:t>
            </w:r>
          </w:p>
        </w:tc>
        <w:tc>
          <w:tcPr>
            <w:tcW w:w="2158" w:type="dxa"/>
            <w:gridSpan w:val="2"/>
            <w:vAlign w:val="center"/>
          </w:tcPr>
          <w:p>
            <w:pPr>
              <w:rPr>
                <w:color w:val="auto"/>
                <w:highlight w:val="none"/>
              </w:rPr>
            </w:pPr>
            <w:r>
              <w:rPr>
                <w:rFonts w:hint="eastAsia"/>
                <w:color w:val="auto"/>
                <w:highlight w:val="none"/>
              </w:rPr>
              <w:t>投标人业绩</w:t>
            </w:r>
          </w:p>
          <w:p>
            <w:pPr>
              <w:rPr>
                <w:color w:val="auto"/>
                <w:highlight w:val="none"/>
              </w:rPr>
            </w:pPr>
            <w:r>
              <w:rPr>
                <w:rFonts w:hint="eastAsia"/>
                <w:color w:val="auto"/>
                <w:highlight w:val="none"/>
              </w:rPr>
              <w:t>（10分）</w:t>
            </w:r>
          </w:p>
        </w:tc>
        <w:tc>
          <w:tcPr>
            <w:tcW w:w="6941" w:type="dxa"/>
            <w:gridSpan w:val="2"/>
            <w:vAlign w:val="center"/>
          </w:tcPr>
          <w:p>
            <w:pPr>
              <w:ind w:left="0" w:leftChars="0" w:firstLine="0" w:firstLineChars="0"/>
              <w:rPr>
                <w:snapToGrid w:val="0"/>
                <w:color w:val="auto"/>
                <w:highlight w:val="none"/>
              </w:rPr>
            </w:pPr>
            <w:r>
              <w:rPr>
                <w:rFonts w:hint="eastAsia"/>
                <w:snapToGrid w:val="0"/>
                <w:color w:val="auto"/>
                <w:highlight w:val="none"/>
              </w:rPr>
              <w:t>投标人2019年1月1日承担过类似工程的，每提供1项得2分，最多得10分。</w:t>
            </w:r>
            <w:r>
              <w:rPr>
                <w:rFonts w:hint="eastAsia"/>
                <w:color w:val="auto"/>
                <w:highlight w:val="none"/>
              </w:rPr>
              <w:t>类似业绩是指：水库（新建、改扩建、除险加固）工程或河道治理工程，</w:t>
            </w:r>
            <w:r>
              <w:rPr>
                <w:rFonts w:hint="eastAsia"/>
                <w:snapToGrid w:val="0"/>
                <w:color w:val="auto"/>
                <w:highlight w:val="none"/>
              </w:rPr>
              <w:t>需</w:t>
            </w:r>
            <w:r>
              <w:rPr>
                <w:rFonts w:hint="eastAsia"/>
                <w:snapToGrid w:val="0"/>
                <w:color w:val="auto"/>
                <w:highlight w:val="none"/>
                <w:u w:val="none"/>
              </w:rPr>
              <w:t>提供</w:t>
            </w:r>
            <w:r>
              <w:rPr>
                <w:rFonts w:hint="eastAsia"/>
                <w:snapToGrid w:val="0"/>
                <w:color w:val="auto"/>
                <w:highlight w:val="none"/>
              </w:rPr>
              <w:t>中标通知书、合同的原件扫描件。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7" w:type="dxa"/>
            <w:gridSpan w:val="3"/>
            <w:vAlign w:val="center"/>
          </w:tcPr>
          <w:p>
            <w:pPr>
              <w:rPr>
                <w:color w:val="auto"/>
                <w:highlight w:val="none"/>
              </w:rPr>
            </w:pPr>
            <w:r>
              <w:rPr>
                <w:rFonts w:hint="eastAsia"/>
                <w:color w:val="auto"/>
                <w:highlight w:val="none"/>
              </w:rPr>
              <w:t>最终得分的计算方法</w:t>
            </w:r>
          </w:p>
        </w:tc>
        <w:tc>
          <w:tcPr>
            <w:tcW w:w="6941" w:type="dxa"/>
            <w:gridSpan w:val="2"/>
            <w:vAlign w:val="center"/>
          </w:tcPr>
          <w:p>
            <w:pPr>
              <w:ind w:left="0" w:leftChars="0" w:firstLine="0" w:firstLineChars="0"/>
              <w:rPr>
                <w:color w:val="auto"/>
                <w:highlight w:val="none"/>
              </w:rPr>
            </w:pPr>
            <w:r>
              <w:rPr>
                <w:rFonts w:hint="eastAsia"/>
                <w:color w:val="auto"/>
                <w:highlight w:val="none"/>
              </w:rPr>
              <w:t>最终得分=评标委员会所有成员打分的算术平均值</w:t>
            </w:r>
          </w:p>
          <w:p>
            <w:pPr>
              <w:pStyle w:val="31"/>
              <w:ind w:left="0" w:leftChars="0" w:firstLine="0" w:firstLineChars="0"/>
              <w:rPr>
                <w:color w:val="auto"/>
                <w:highlight w:val="none"/>
              </w:rPr>
            </w:pPr>
            <w:r>
              <w:rPr>
                <w:rFonts w:hint="eastAsia" w:ascii="Times New Roman" w:hAnsi="Times New Roman" w:eastAsia="宋体" w:cs="Times New Roman"/>
                <w:color w:val="auto"/>
                <w:kern w:val="2"/>
                <w:sz w:val="21"/>
                <w:highlight w:val="none"/>
                <w:lang w:val="en-US" w:eastAsia="zh-CN" w:bidi="ar-SA"/>
              </w:rPr>
              <w:t>注：整个计算过程均按四舍五入保留两位小数</w:t>
            </w:r>
          </w:p>
        </w:tc>
      </w:tr>
      <w:bookmarkEnd w:id="119"/>
    </w:tbl>
    <w:p>
      <w:pPr>
        <w:rPr>
          <w:color w:val="auto"/>
          <w:highlight w:val="none"/>
        </w:rPr>
      </w:pPr>
      <w:r>
        <w:rPr>
          <w:rFonts w:hint="eastAsia"/>
          <w:color w:val="auto"/>
          <w:highlight w:val="none"/>
        </w:rPr>
        <w:t>说明：以上涉及到各项审查的相关证件均以提供的扫描件为准。所有证件如遇延期办理的应提供行政主管部门出具的证明，以上资料在投标文件中须附复印件，并在“资格审查材料（不见面开标）”菜单中选取。</w:t>
      </w:r>
    </w:p>
    <w:bookmarkEnd w:id="120"/>
    <w:bookmarkEnd w:id="121"/>
    <w:bookmarkEnd w:id="122"/>
    <w:bookmarkEnd w:id="123"/>
    <w:bookmarkEnd w:id="124"/>
    <w:bookmarkEnd w:id="125"/>
    <w:bookmarkEnd w:id="126"/>
    <w:bookmarkEnd w:id="127"/>
    <w:bookmarkEnd w:id="128"/>
    <w:bookmarkEnd w:id="129"/>
    <w:p>
      <w:pPr>
        <w:rPr>
          <w:color w:val="auto"/>
          <w:highlight w:val="none"/>
        </w:rPr>
      </w:pPr>
      <w:bookmarkStart w:id="130" w:name="_Toc214433921"/>
      <w:bookmarkStart w:id="131" w:name="_Toc228337132"/>
      <w:bookmarkStart w:id="132" w:name="_Toc228589197"/>
      <w:bookmarkStart w:id="133" w:name="_Toc272772608"/>
      <w:bookmarkStart w:id="134" w:name="_Toc299439353"/>
      <w:bookmarkStart w:id="135" w:name="_Toc228591691"/>
      <w:bookmarkStart w:id="136" w:name="_Toc228881195"/>
      <w:bookmarkStart w:id="137" w:name="_Toc227657521"/>
      <w:bookmarkStart w:id="138" w:name="_Toc227492278"/>
      <w:bookmarkStart w:id="139" w:name="_Toc228591543"/>
      <w:r>
        <w:rPr>
          <w:rFonts w:hint="eastAsia"/>
          <w:color w:val="auto"/>
          <w:highlight w:val="none"/>
        </w:rPr>
        <w:t>30.评标方法</w:t>
      </w:r>
    </w:p>
    <w:p>
      <w:pPr>
        <w:rPr>
          <w:b/>
          <w:color w:val="auto"/>
          <w:highlight w:val="none"/>
        </w:rPr>
      </w:pPr>
      <w:r>
        <w:rPr>
          <w:rFonts w:hint="eastAsia"/>
          <w:color w:val="auto"/>
          <w:highlight w:val="none"/>
        </w:rPr>
        <w:t>采用综合评估法，评标委员会对满足招标文件实质性要求的投标文件，按照招标文件规定的评分标准独立进行赋分，并按照最终得分由高到低顺序推荐中标候选人。最终得分相同时，以投标报价低的优先排序；投标报价也相同的，按照技术标得分高的优先推荐，没有约定的，由评标委员会确定。</w:t>
      </w:r>
    </w:p>
    <w:p>
      <w:pPr>
        <w:rPr>
          <w:color w:val="auto"/>
          <w:highlight w:val="none"/>
        </w:rPr>
      </w:pPr>
      <w:bookmarkStart w:id="140" w:name="_Toc500865852"/>
      <w:bookmarkStart w:id="141" w:name="_Toc500577661"/>
      <w:bookmarkStart w:id="142" w:name="_Toc536524983"/>
      <w:r>
        <w:rPr>
          <w:rFonts w:hint="eastAsia"/>
          <w:color w:val="auto"/>
          <w:highlight w:val="none"/>
        </w:rPr>
        <w:t>30.1初步评审标准</w:t>
      </w:r>
      <w:bookmarkEnd w:id="140"/>
      <w:bookmarkEnd w:id="141"/>
      <w:bookmarkEnd w:id="142"/>
    </w:p>
    <w:p>
      <w:pPr>
        <w:rPr>
          <w:color w:val="auto"/>
          <w:highlight w:val="none"/>
        </w:rPr>
      </w:pPr>
      <w:r>
        <w:rPr>
          <w:rFonts w:hint="eastAsia"/>
          <w:color w:val="auto"/>
          <w:highlight w:val="none"/>
        </w:rPr>
        <w:t>30.1.1形式评审标准：见评标办法前附表。</w:t>
      </w:r>
    </w:p>
    <w:p>
      <w:pPr>
        <w:rPr>
          <w:color w:val="auto"/>
          <w:highlight w:val="none"/>
        </w:rPr>
      </w:pPr>
      <w:r>
        <w:rPr>
          <w:rFonts w:hint="eastAsia"/>
          <w:color w:val="auto"/>
          <w:highlight w:val="none"/>
        </w:rPr>
        <w:t>30.1.2资格评审标准：见评标办法前附表。</w:t>
      </w:r>
    </w:p>
    <w:p>
      <w:pPr>
        <w:rPr>
          <w:color w:val="auto"/>
          <w:highlight w:val="none"/>
        </w:rPr>
      </w:pPr>
      <w:r>
        <w:rPr>
          <w:rFonts w:hint="eastAsia"/>
          <w:color w:val="auto"/>
          <w:highlight w:val="none"/>
        </w:rPr>
        <w:t>30.1.3响应性评审标准：见评标办法前附表。</w:t>
      </w:r>
    </w:p>
    <w:p>
      <w:pPr>
        <w:rPr>
          <w:color w:val="auto"/>
          <w:highlight w:val="none"/>
        </w:rPr>
      </w:pPr>
      <w:bookmarkStart w:id="143" w:name="_Toc214433922"/>
      <w:bookmarkStart w:id="144" w:name="_Toc536524984"/>
      <w:bookmarkStart w:id="145" w:name="_Toc227657522"/>
      <w:bookmarkStart w:id="146" w:name="_Toc299439354"/>
      <w:bookmarkStart w:id="147" w:name="_Toc500577662"/>
      <w:bookmarkStart w:id="148" w:name="_Toc500865853"/>
      <w:bookmarkStart w:id="149" w:name="_Toc228591692"/>
      <w:bookmarkStart w:id="150" w:name="_Toc272772609"/>
      <w:bookmarkStart w:id="151" w:name="_Toc228337133"/>
      <w:bookmarkStart w:id="152" w:name="_Toc228591544"/>
      <w:bookmarkStart w:id="153" w:name="_Toc228589198"/>
      <w:bookmarkStart w:id="154" w:name="_Toc228881196"/>
      <w:bookmarkStart w:id="155" w:name="_Toc227492279"/>
      <w:r>
        <w:rPr>
          <w:rFonts w:hint="eastAsia"/>
          <w:color w:val="auto"/>
          <w:highlight w:val="none"/>
        </w:rPr>
        <w:t>30.2 详细评审标准</w:t>
      </w:r>
      <w:bookmarkEnd w:id="143"/>
      <w:bookmarkEnd w:id="144"/>
      <w:bookmarkEnd w:id="145"/>
      <w:bookmarkEnd w:id="146"/>
      <w:bookmarkEnd w:id="147"/>
      <w:bookmarkEnd w:id="148"/>
      <w:bookmarkEnd w:id="149"/>
      <w:bookmarkEnd w:id="150"/>
      <w:bookmarkEnd w:id="151"/>
      <w:bookmarkEnd w:id="152"/>
      <w:bookmarkEnd w:id="153"/>
      <w:bookmarkEnd w:id="154"/>
      <w:bookmarkEnd w:id="155"/>
    </w:p>
    <w:p>
      <w:pPr>
        <w:rPr>
          <w:color w:val="auto"/>
          <w:highlight w:val="none"/>
        </w:rPr>
      </w:pPr>
      <w:r>
        <w:rPr>
          <w:rFonts w:hint="eastAsia"/>
          <w:color w:val="auto"/>
          <w:highlight w:val="none"/>
        </w:rPr>
        <w:t>2.2.1 评标委员会按本章第29款规定的量化因素和分值进行打分，并计算出综合评估得分。</w:t>
      </w:r>
    </w:p>
    <w:p>
      <w:pPr>
        <w:rPr>
          <w:color w:val="auto"/>
          <w:highlight w:val="none"/>
        </w:rPr>
      </w:pPr>
      <w:r>
        <w:rPr>
          <w:rFonts w:hint="eastAsia"/>
          <w:color w:val="auto"/>
          <w:highlight w:val="none"/>
        </w:rPr>
        <w:t>（1）按本章第29款规定的评审因素和分值对技术标（监理大纲）计算出得分A；</w:t>
      </w:r>
    </w:p>
    <w:p>
      <w:pPr>
        <w:rPr>
          <w:color w:val="auto"/>
          <w:highlight w:val="none"/>
        </w:rPr>
      </w:pPr>
      <w:r>
        <w:rPr>
          <w:rFonts w:hint="eastAsia"/>
          <w:color w:val="auto"/>
          <w:highlight w:val="none"/>
        </w:rPr>
        <w:t>（2）按本章第29款规定的评审因素和分值对项目管理机构计算出得分B；</w:t>
      </w:r>
    </w:p>
    <w:p>
      <w:pPr>
        <w:rPr>
          <w:color w:val="auto"/>
          <w:highlight w:val="none"/>
        </w:rPr>
      </w:pPr>
      <w:r>
        <w:rPr>
          <w:rFonts w:hint="eastAsia"/>
          <w:color w:val="auto"/>
          <w:highlight w:val="none"/>
        </w:rPr>
        <w:t>（3）按本章第29款规定的评审因素和分值对项投标报价计算出得分C；</w:t>
      </w:r>
    </w:p>
    <w:p>
      <w:pPr>
        <w:rPr>
          <w:color w:val="auto"/>
          <w:highlight w:val="none"/>
        </w:rPr>
      </w:pPr>
      <w:r>
        <w:rPr>
          <w:rFonts w:hint="eastAsia"/>
          <w:color w:val="auto"/>
          <w:highlight w:val="none"/>
        </w:rPr>
        <w:t>（4）按本章第29款规定的评审因素和分值对投标人业绩计算出得分D。</w:t>
      </w:r>
    </w:p>
    <w:p>
      <w:pPr>
        <w:rPr>
          <w:color w:val="auto"/>
          <w:highlight w:val="none"/>
        </w:rPr>
      </w:pPr>
      <w:r>
        <w:rPr>
          <w:rFonts w:hint="eastAsia"/>
          <w:color w:val="auto"/>
          <w:highlight w:val="none"/>
        </w:rPr>
        <w:t>最终得分=评标委员会所有成员打分的算术平均值。</w:t>
      </w:r>
    </w:p>
    <w:p>
      <w:pPr>
        <w:rPr>
          <w:color w:val="auto"/>
          <w:highlight w:val="none"/>
        </w:rPr>
      </w:pPr>
      <w:r>
        <w:rPr>
          <w:rFonts w:hint="eastAsia"/>
          <w:color w:val="auto"/>
          <w:highlight w:val="none"/>
        </w:rPr>
        <w:t>评分分值计算保留小数点后两位，小数点后第三位“四舍五入”。</w:t>
      </w:r>
    </w:p>
    <w:p>
      <w:pPr>
        <w:rPr>
          <w:color w:val="auto"/>
          <w:kern w:val="0"/>
          <w:highlight w:val="none"/>
        </w:rPr>
      </w:pPr>
      <w:r>
        <w:rPr>
          <w:rFonts w:hint="eastAsia"/>
          <w:color w:val="auto"/>
          <w:highlight w:val="none"/>
        </w:rPr>
        <w:t>投标人得分=A+B+C+D。</w:t>
      </w:r>
    </w:p>
    <w:p>
      <w:pPr>
        <w:rPr>
          <w:color w:val="auto"/>
          <w:highlight w:val="none"/>
        </w:rPr>
      </w:pPr>
      <w:r>
        <w:rPr>
          <w:rFonts w:hint="eastAsia"/>
          <w:color w:val="auto"/>
          <w:highlight w:val="none"/>
        </w:rPr>
        <w:t>30.3评标程序</w:t>
      </w:r>
    </w:p>
    <w:p>
      <w:pPr>
        <w:rPr>
          <w:color w:val="auto"/>
          <w:highlight w:val="none"/>
        </w:rPr>
      </w:pPr>
      <w:r>
        <w:rPr>
          <w:rFonts w:hint="eastAsia"/>
          <w:color w:val="auto"/>
          <w:highlight w:val="none"/>
        </w:rPr>
        <w:t>30.3.1 初步评审：评标委员会依据本章第</w:t>
      </w:r>
      <w:r>
        <w:rPr>
          <w:color w:val="auto"/>
          <w:highlight w:val="none"/>
        </w:rPr>
        <w:t>2.1</w:t>
      </w:r>
      <w:r>
        <w:rPr>
          <w:rFonts w:hint="eastAsia"/>
          <w:color w:val="auto"/>
          <w:highlight w:val="none"/>
        </w:rPr>
        <w:t>项（形式评审、资格评审、响应性评审）规定的评审标准对投标文件进行初步评审。有一项不符合评审标准的，作废标处理。</w:t>
      </w:r>
    </w:p>
    <w:p>
      <w:pPr>
        <w:rPr>
          <w:color w:val="auto"/>
          <w:highlight w:val="none"/>
        </w:rPr>
      </w:pPr>
      <w:r>
        <w:rPr>
          <w:rFonts w:hint="eastAsia"/>
          <w:color w:val="auto"/>
          <w:highlight w:val="none"/>
        </w:rPr>
        <w:t>30.3.2 评标委员会发现投标人的投标报价明显低于其他投标报价，或者在设有控制价时明显低于控制价，使其可能低于成本的，应当要求该投标人作出书面说明并提供相应的证明材料。投标人不能合理说明或者不能提供相应证明材料的，由评标委员会认定该投标人以低于成本报价竞标，其投标作废标处理。</w:t>
      </w:r>
    </w:p>
    <w:p>
      <w:pPr>
        <w:rPr>
          <w:color w:val="auto"/>
          <w:highlight w:val="none"/>
        </w:rPr>
      </w:pPr>
      <w:r>
        <w:rPr>
          <w:rFonts w:hint="eastAsia"/>
          <w:color w:val="auto"/>
          <w:highlight w:val="none"/>
        </w:rPr>
        <w:t>30.4  投标文件的澄清和补正</w:t>
      </w:r>
    </w:p>
    <w:p>
      <w:pPr>
        <w:rPr>
          <w:color w:val="auto"/>
          <w:highlight w:val="none"/>
        </w:rPr>
      </w:pPr>
      <w:r>
        <w:rPr>
          <w:rFonts w:hint="eastAsia"/>
          <w:color w:val="auto"/>
          <w:highlight w:val="none"/>
        </w:rPr>
        <w:t>30.4.1 在评标过程中，评标委员会可以书面形式要求投标人对所提交投标文件中不明确的内容进行书面澄清或说明，或者对细微偏差进行补正。评标委员会不接受投标人主动提出的澄清、说明或补正。</w:t>
      </w:r>
    </w:p>
    <w:p>
      <w:pPr>
        <w:rPr>
          <w:color w:val="auto"/>
          <w:highlight w:val="none"/>
        </w:rPr>
      </w:pPr>
      <w:r>
        <w:rPr>
          <w:rFonts w:hint="eastAsia"/>
          <w:color w:val="auto"/>
          <w:highlight w:val="none"/>
        </w:rPr>
        <w:t>30.4.2 澄清、说明和补正不得改变投标文件的实质性内容（算术性错误修正的除外）。投标人的书面澄清、说明和补正属于投标文件的组成部分。</w:t>
      </w:r>
    </w:p>
    <w:p>
      <w:pPr>
        <w:rPr>
          <w:color w:val="auto"/>
          <w:highlight w:val="none"/>
        </w:rPr>
      </w:pPr>
      <w:r>
        <w:rPr>
          <w:rFonts w:hint="eastAsia"/>
          <w:color w:val="auto"/>
          <w:highlight w:val="none"/>
        </w:rPr>
        <w:t>30.4.3评标委员会对投标人提交的澄清、说明或补正有疑问的，可以要求投标人进一步澄清、说明或补正，直至满足评标委员会的要求。</w:t>
      </w:r>
    </w:p>
    <w:p>
      <w:pPr>
        <w:rPr>
          <w:color w:val="auto"/>
          <w:highlight w:val="none"/>
        </w:rPr>
      </w:pPr>
      <w:r>
        <w:rPr>
          <w:rFonts w:hint="eastAsia"/>
          <w:color w:val="auto"/>
          <w:highlight w:val="none"/>
        </w:rPr>
        <w:t>31.推荐中标候选人及定标</w:t>
      </w:r>
    </w:p>
    <w:bookmarkEnd w:id="117"/>
    <w:bookmarkEnd w:id="118"/>
    <w:bookmarkEnd w:id="130"/>
    <w:bookmarkEnd w:id="131"/>
    <w:bookmarkEnd w:id="132"/>
    <w:bookmarkEnd w:id="133"/>
    <w:bookmarkEnd w:id="134"/>
    <w:bookmarkEnd w:id="135"/>
    <w:bookmarkEnd w:id="136"/>
    <w:bookmarkEnd w:id="137"/>
    <w:bookmarkEnd w:id="138"/>
    <w:bookmarkEnd w:id="139"/>
    <w:p>
      <w:pPr>
        <w:rPr>
          <w:color w:val="auto"/>
          <w:highlight w:val="none"/>
        </w:rPr>
      </w:pPr>
      <w:bookmarkStart w:id="156" w:name="_Toc7421"/>
      <w:bookmarkStart w:id="157" w:name="_Toc280349001"/>
      <w:bookmarkStart w:id="158" w:name="_Toc227474182"/>
      <w:r>
        <w:rPr>
          <w:rFonts w:hint="eastAsia"/>
          <w:color w:val="auto"/>
          <w:highlight w:val="none"/>
        </w:rPr>
        <w:t>31.1由评标委员会按评标办法向招标人推荐 1-3 名中标候选人。</w:t>
      </w:r>
    </w:p>
    <w:p>
      <w:pPr>
        <w:rPr>
          <w:color w:val="auto"/>
          <w:highlight w:val="none"/>
        </w:rPr>
      </w:pPr>
      <w:r>
        <w:rPr>
          <w:rFonts w:hint="eastAsia"/>
          <w:color w:val="auto"/>
          <w:highlight w:val="none"/>
        </w:rPr>
        <w:t>32.2 评标结束后，评标委员会编写评标报告，评标报告经评标委员会全体成员签字确认。</w:t>
      </w:r>
    </w:p>
    <w:p>
      <w:pPr>
        <w:rPr>
          <w:color w:val="auto"/>
          <w:highlight w:val="none"/>
        </w:rPr>
      </w:pPr>
      <w:r>
        <w:rPr>
          <w:rFonts w:hint="eastAsia"/>
          <w:color w:val="auto"/>
          <w:highlight w:val="none"/>
        </w:rPr>
        <w:t>33.3在评标过程中，遇到既缺乏有关文件、法律、法规明确规定且又难于协商一致的问题，均由评标委员会予以表决，半数以上同意的即予通过，未获过半数同意的即予否决。</w:t>
      </w:r>
    </w:p>
    <w:p>
      <w:pPr>
        <w:rPr>
          <w:color w:val="auto"/>
          <w:highlight w:val="none"/>
        </w:rPr>
      </w:pPr>
      <w:r>
        <w:rPr>
          <w:rFonts w:hint="eastAsia"/>
          <w:color w:val="auto"/>
          <w:highlight w:val="none"/>
        </w:rPr>
        <w:t>34.4定标：招标人根据评标委员会提出的评标报告，从推荐中标候选人中确定排名第一的中标候选人为中标人。</w:t>
      </w:r>
    </w:p>
    <w:p>
      <w:pPr>
        <w:rPr>
          <w:color w:val="auto"/>
          <w:highlight w:val="none"/>
        </w:rPr>
      </w:pPr>
      <w:r>
        <w:rPr>
          <w:rFonts w:hint="eastAsia"/>
          <w:color w:val="auto"/>
          <w:highlight w:val="none"/>
        </w:rPr>
        <w:t>35.5当确定中标的第一中标候选人放弃中标或者因不可抗力提出不能履行合同的，视为放弃中标，招标人重新招标。</w:t>
      </w:r>
    </w:p>
    <w:p>
      <w:pPr>
        <w:rPr>
          <w:color w:val="auto"/>
          <w:highlight w:val="none"/>
        </w:rPr>
      </w:pPr>
      <w:bookmarkStart w:id="159" w:name="_Toc227474181"/>
      <w:bookmarkStart w:id="160" w:name="_Toc20843"/>
      <w:r>
        <w:rPr>
          <w:rFonts w:hint="eastAsia"/>
          <w:color w:val="auto"/>
          <w:highlight w:val="none"/>
        </w:rPr>
        <w:t>32．评标委员会审议</w:t>
      </w:r>
      <w:bookmarkEnd w:id="159"/>
      <w:bookmarkEnd w:id="160"/>
    </w:p>
    <w:p>
      <w:pPr>
        <w:rPr>
          <w:b/>
          <w:color w:val="auto"/>
          <w:highlight w:val="none"/>
        </w:rPr>
      </w:pPr>
      <w:r>
        <w:rPr>
          <w:rFonts w:hint="eastAsia"/>
          <w:color w:val="auto"/>
          <w:highlight w:val="none"/>
        </w:rPr>
        <w:t>31.1评标委员会经评审，认为所有投标均不符合招标文件要求的，可以否决所有投标；所有投标被否决后，招标人应当依法重新招标。</w:t>
      </w:r>
    </w:p>
    <w:p>
      <w:pPr>
        <w:rPr>
          <w:color w:val="auto"/>
          <w:highlight w:val="none"/>
        </w:rPr>
      </w:pPr>
    </w:p>
    <w:p>
      <w:pPr>
        <w:pStyle w:val="2"/>
        <w:jc w:val="left"/>
        <w:rPr>
          <w:rFonts w:hint="eastAsia"/>
          <w:color w:val="auto"/>
          <w:sz w:val="30"/>
          <w:szCs w:val="30"/>
          <w:highlight w:val="none"/>
        </w:rPr>
      </w:pPr>
      <w:bookmarkStart w:id="161" w:name="_Toc536524985"/>
      <w:bookmarkStart w:id="162" w:name="_Toc2229"/>
      <w:r>
        <w:rPr>
          <w:rFonts w:hint="eastAsia"/>
          <w:color w:val="auto"/>
          <w:sz w:val="30"/>
          <w:szCs w:val="30"/>
          <w:highlight w:val="none"/>
        </w:rPr>
        <w:t>七、合同的授予</w:t>
      </w:r>
      <w:bookmarkEnd w:id="156"/>
      <w:bookmarkEnd w:id="157"/>
      <w:bookmarkEnd w:id="158"/>
      <w:bookmarkEnd w:id="161"/>
      <w:bookmarkEnd w:id="162"/>
    </w:p>
    <w:p>
      <w:pPr>
        <w:rPr>
          <w:color w:val="auto"/>
          <w:highlight w:val="none"/>
        </w:rPr>
      </w:pPr>
      <w:bookmarkStart w:id="163" w:name="_Toc227474183"/>
      <w:bookmarkStart w:id="164" w:name="_Toc389"/>
      <w:r>
        <w:rPr>
          <w:rFonts w:hint="eastAsia"/>
          <w:color w:val="auto"/>
          <w:highlight w:val="none"/>
        </w:rPr>
        <w:t>33．合同授予标准</w:t>
      </w:r>
      <w:bookmarkEnd w:id="163"/>
      <w:bookmarkEnd w:id="164"/>
    </w:p>
    <w:p>
      <w:pPr>
        <w:rPr>
          <w:color w:val="auto"/>
          <w:highlight w:val="none"/>
        </w:rPr>
      </w:pPr>
      <w:r>
        <w:rPr>
          <w:rFonts w:hint="eastAsia"/>
          <w:color w:val="auto"/>
          <w:highlight w:val="none"/>
        </w:rPr>
        <w:t>33.1招标人将把本合同授予其投标文件在实质上响应招标文件要求且经过评标委员会推荐并经招标人确认的中标人；</w:t>
      </w:r>
    </w:p>
    <w:p>
      <w:pPr>
        <w:rPr>
          <w:color w:val="auto"/>
          <w:highlight w:val="none"/>
        </w:rPr>
      </w:pPr>
      <w:bookmarkStart w:id="165" w:name="_Toc227474184"/>
      <w:bookmarkStart w:id="166" w:name="_Toc29601"/>
      <w:r>
        <w:rPr>
          <w:rFonts w:hint="eastAsia"/>
          <w:color w:val="auto"/>
          <w:highlight w:val="none"/>
        </w:rPr>
        <w:t>34．中标通知书</w:t>
      </w:r>
      <w:bookmarkEnd w:id="165"/>
      <w:bookmarkEnd w:id="166"/>
    </w:p>
    <w:p>
      <w:pPr>
        <w:rPr>
          <w:color w:val="auto"/>
          <w:highlight w:val="none"/>
        </w:rPr>
      </w:pPr>
      <w:r>
        <w:rPr>
          <w:rFonts w:hint="eastAsia"/>
          <w:color w:val="auto"/>
          <w:highlight w:val="none"/>
        </w:rPr>
        <w:t>34.1在投标有效期内，以书面形式通知中标人；</w:t>
      </w:r>
    </w:p>
    <w:p>
      <w:pPr>
        <w:rPr>
          <w:color w:val="auto"/>
          <w:highlight w:val="none"/>
        </w:rPr>
      </w:pPr>
      <w:r>
        <w:rPr>
          <w:rFonts w:hint="eastAsia"/>
          <w:color w:val="auto"/>
          <w:highlight w:val="none"/>
        </w:rPr>
        <w:t>34.2中标通知书是合同的组成部分；</w:t>
      </w:r>
    </w:p>
    <w:p>
      <w:pPr>
        <w:rPr>
          <w:color w:val="auto"/>
          <w:highlight w:val="none"/>
        </w:rPr>
      </w:pPr>
      <w:r>
        <w:rPr>
          <w:rFonts w:hint="eastAsia"/>
          <w:color w:val="auto"/>
          <w:highlight w:val="none"/>
        </w:rPr>
        <w:t>34.3在中标人与招标人签订了合同协议书后，招标代理机构将中标结果通知所有投标人，但不做任何未中标原因的解释；所有投标文件不予退还。</w:t>
      </w:r>
    </w:p>
    <w:p>
      <w:pPr>
        <w:rPr>
          <w:color w:val="auto"/>
          <w:highlight w:val="none"/>
        </w:rPr>
      </w:pPr>
      <w:bookmarkStart w:id="167" w:name="_Toc227474185"/>
      <w:bookmarkStart w:id="168" w:name="_Toc7649"/>
      <w:r>
        <w:rPr>
          <w:rFonts w:hint="eastAsia"/>
          <w:color w:val="auto"/>
          <w:highlight w:val="none"/>
        </w:rPr>
        <w:t>35．合同协议书的签订</w:t>
      </w:r>
      <w:bookmarkEnd w:id="167"/>
      <w:bookmarkEnd w:id="168"/>
    </w:p>
    <w:p>
      <w:pPr>
        <w:rPr>
          <w:color w:val="auto"/>
          <w:highlight w:val="none"/>
        </w:rPr>
      </w:pPr>
      <w:r>
        <w:rPr>
          <w:rFonts w:hint="eastAsia"/>
          <w:color w:val="auto"/>
          <w:highlight w:val="none"/>
        </w:rPr>
        <w:t>35.1中标人在收到中标通知书后的30天内与招标人签订合同，合同格式可以中华人民共和国建设部和国家工商行政管理局制定的《建设工程委托监理合同》执行；</w:t>
      </w:r>
    </w:p>
    <w:p>
      <w:pPr>
        <w:rPr>
          <w:color w:val="auto"/>
          <w:highlight w:val="none"/>
        </w:rPr>
      </w:pPr>
      <w:r>
        <w:rPr>
          <w:rFonts w:hint="eastAsia"/>
          <w:color w:val="auto"/>
          <w:highlight w:val="none"/>
        </w:rPr>
        <w:t>35.2招标文件、投标文件及澄清文件的记录和中标人在投标时的承诺等均作为合同不可分割的组成部分；</w:t>
      </w:r>
    </w:p>
    <w:p>
      <w:pPr>
        <w:rPr>
          <w:color w:val="auto"/>
          <w:highlight w:val="none"/>
        </w:rPr>
      </w:pPr>
      <w:r>
        <w:rPr>
          <w:rFonts w:hint="eastAsia"/>
          <w:color w:val="auto"/>
          <w:highlight w:val="none"/>
        </w:rPr>
        <w:t>35.3如果中标人不按招标文件要求和投标文件承诺内容签订合同，招标人将有充分理由废除授标，并没收投标保证金，并另行确定中标人。</w:t>
      </w:r>
    </w:p>
    <w:p>
      <w:pPr>
        <w:rPr>
          <w:color w:val="auto"/>
          <w:highlight w:val="none"/>
        </w:rPr>
      </w:pPr>
      <w:bookmarkStart w:id="169" w:name="_Toc15958"/>
      <w:bookmarkStart w:id="170" w:name="_Toc227474186"/>
      <w:r>
        <w:rPr>
          <w:rFonts w:hint="eastAsia"/>
          <w:color w:val="auto"/>
          <w:highlight w:val="none"/>
        </w:rPr>
        <w:t>36．其他</w:t>
      </w:r>
      <w:bookmarkEnd w:id="169"/>
      <w:bookmarkEnd w:id="170"/>
    </w:p>
    <w:p>
      <w:pPr>
        <w:rPr>
          <w:color w:val="auto"/>
          <w:highlight w:val="none"/>
        </w:rPr>
      </w:pPr>
      <w:r>
        <w:rPr>
          <w:rFonts w:hint="eastAsia"/>
          <w:color w:val="auto"/>
          <w:highlight w:val="none"/>
        </w:rPr>
        <w:t>36.1投标人应承担其参加本招标活动自身所发生的一切费用。</w:t>
      </w:r>
    </w:p>
    <w:p>
      <w:pPr>
        <w:rPr>
          <w:color w:val="auto"/>
          <w:highlight w:val="none"/>
        </w:rPr>
      </w:pPr>
      <w:r>
        <w:rPr>
          <w:rFonts w:hint="eastAsia"/>
          <w:color w:val="auto"/>
          <w:highlight w:val="none"/>
        </w:rPr>
        <w:t>36.2招标控制价是招标人控制招标工程的最高限价。在开标七日前向所有投标人公布。</w:t>
      </w:r>
    </w:p>
    <w:p>
      <w:pPr>
        <w:rPr>
          <w:color w:val="auto"/>
          <w:highlight w:val="none"/>
        </w:rPr>
      </w:pPr>
      <w:r>
        <w:rPr>
          <w:rFonts w:hint="eastAsia"/>
          <w:color w:val="auto"/>
          <w:highlight w:val="none"/>
        </w:rPr>
        <w:t>36.3未尽事宜，按国家、省、市的有关规定执行。</w:t>
      </w:r>
    </w:p>
    <w:p>
      <w:pPr>
        <w:rPr>
          <w:color w:val="auto"/>
          <w:highlight w:val="none"/>
        </w:rPr>
      </w:pPr>
      <w:r>
        <w:rPr>
          <w:rFonts w:hint="eastAsia"/>
          <w:color w:val="auto"/>
          <w:highlight w:val="none"/>
        </w:rPr>
        <w:t>36.4本招标文件的最终解释权归招标人。</w:t>
      </w:r>
    </w:p>
    <w:p>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37．投标人有以下情形之一的，其投标作废标处理：</w:t>
      </w:r>
    </w:p>
    <w:p>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(1）第二章“投标人须知”第1.4.1 项规定的任何一种情形的：</w:t>
      </w:r>
    </w:p>
    <w:p>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(2）串通投标或弄虚作假或有其他违法行为的；</w:t>
      </w:r>
    </w:p>
    <w:p>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(3）不按评标委员会要求澄清、说明或补正的。</w:t>
      </w:r>
    </w:p>
    <w:p>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3.1.3 投标报价有算术错误的，评标委员会按以下原则对投标报价进行修正，修正的价格经投标人书面确认后具有约束力。投标人不接受修正价格的，其投标作废标处理。</w:t>
      </w:r>
    </w:p>
    <w:p>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(1）投标文件中的大写金额与小写金额不一致的，以大写金额为准；</w:t>
      </w:r>
    </w:p>
    <w:p>
      <w:pPr>
        <w:autoSpaceDE w:val="0"/>
        <w:autoSpaceDN w:val="0"/>
        <w:adjustRightIn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(2）总价金额与依据单价计算出的结果不一致的，以单价金额为准修正总价，但单价金额小数点有明显错误的除外。</w:t>
      </w:r>
    </w:p>
    <w:p>
      <w:pPr>
        <w:rPr>
          <w:color w:val="auto"/>
          <w:highlight w:val="none"/>
        </w:rPr>
      </w:pPr>
    </w:p>
    <w:p>
      <w:pPr>
        <w:rPr>
          <w:rFonts w:ascii="宋体"/>
          <w:color w:val="auto"/>
          <w:highlight w:val="none"/>
        </w:rPr>
        <w:sectPr>
          <w:footerReference r:id="rId7" w:type="default"/>
          <w:pgSz w:w="11906" w:h="16838"/>
          <w:pgMar w:top="1440" w:right="1480" w:bottom="1440" w:left="1480" w:header="1134" w:footer="1134" w:gutter="0"/>
          <w:pgNumType w:start="1"/>
          <w:cols w:space="720" w:num="1"/>
          <w:docGrid w:linePitch="287" w:charSpace="0"/>
        </w:sectPr>
      </w:pPr>
      <w:r>
        <w:rPr>
          <w:rFonts w:hint="eastAsia"/>
          <w:color w:val="auto"/>
          <w:highlight w:val="none"/>
        </w:rPr>
        <w:br w:type="page"/>
      </w:r>
    </w:p>
    <w:p>
      <w:pPr>
        <w:jc w:val="center"/>
        <w:rPr>
          <w:rFonts w:hint="eastAsia"/>
          <w:b/>
          <w:bCs/>
          <w:color w:val="auto"/>
          <w:sz w:val="36"/>
          <w:szCs w:val="36"/>
          <w:highlight w:val="none"/>
        </w:rPr>
      </w:pPr>
      <w:bookmarkStart w:id="171" w:name="_Toc16215"/>
      <w:bookmarkStart w:id="172" w:name="_Toc227474187"/>
      <w:bookmarkStart w:id="173" w:name="_Toc28162438"/>
      <w:bookmarkStart w:id="174" w:name="_Toc436741193"/>
      <w:bookmarkStart w:id="175" w:name="_Toc536525006"/>
      <w:bookmarkStart w:id="176" w:name="_Toc436741206"/>
      <w:bookmarkStart w:id="177" w:name="_Toc227474188"/>
      <w:r>
        <w:rPr>
          <w:rFonts w:hint="eastAsia"/>
          <w:b/>
          <w:bCs/>
          <w:color w:val="auto"/>
          <w:sz w:val="36"/>
          <w:szCs w:val="36"/>
          <w:highlight w:val="none"/>
        </w:rPr>
        <w:t>第三章 工程监理合同(格式)</w:t>
      </w:r>
      <w:bookmarkEnd w:id="171"/>
      <w:bookmarkEnd w:id="172"/>
      <w:bookmarkEnd w:id="173"/>
      <w:bookmarkEnd w:id="174"/>
    </w:p>
    <w:p>
      <w:pPr>
        <w:rPr>
          <w:color w:val="auto"/>
          <w:highlight w:val="none"/>
        </w:rPr>
      </w:pPr>
    </w:p>
    <w:p>
      <w:pPr>
        <w:rPr>
          <w:color w:val="auto"/>
          <w:highlight w:val="none"/>
        </w:rPr>
      </w:pPr>
    </w:p>
    <w:p>
      <w:pPr>
        <w:rPr>
          <w:color w:val="auto"/>
          <w:highlight w:val="none"/>
        </w:rPr>
      </w:pPr>
    </w:p>
    <w:p>
      <w:pPr>
        <w:jc w:val="center"/>
        <w:rPr>
          <w:color w:val="auto"/>
          <w:sz w:val="44"/>
          <w:szCs w:val="44"/>
          <w:highlight w:val="none"/>
        </w:rPr>
      </w:pPr>
      <w:r>
        <w:rPr>
          <w:rFonts w:hint="eastAsia"/>
          <w:color w:val="auto"/>
          <w:sz w:val="44"/>
          <w:szCs w:val="44"/>
          <w:highlight w:val="none"/>
        </w:rPr>
        <w:t>建设工程监理合同</w:t>
      </w:r>
    </w:p>
    <w:p>
      <w:pPr>
        <w:jc w:val="center"/>
        <w:rPr>
          <w:color w:val="auto"/>
          <w:sz w:val="44"/>
          <w:szCs w:val="44"/>
          <w:highlight w:val="none"/>
        </w:rPr>
      </w:pPr>
      <w:r>
        <w:rPr>
          <w:rFonts w:hint="eastAsia"/>
          <w:color w:val="auto"/>
          <w:sz w:val="44"/>
          <w:szCs w:val="44"/>
          <w:highlight w:val="none"/>
        </w:rPr>
        <w:t>（示范文本）</w:t>
      </w:r>
    </w:p>
    <w:p>
      <w:pPr>
        <w:rPr>
          <w:color w:val="auto"/>
          <w:highlight w:val="none"/>
        </w:rPr>
      </w:pPr>
    </w:p>
    <w:p>
      <w:pPr>
        <w:rPr>
          <w:color w:val="auto"/>
          <w:highlight w:val="none"/>
        </w:rPr>
      </w:pPr>
    </w:p>
    <w:p>
      <w:pPr>
        <w:pStyle w:val="24"/>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spacing w:line="240" w:lineRule="auto"/>
        <w:ind w:firstLine="1920" w:firstLineChars="800"/>
        <w:rPr>
          <w:color w:val="auto"/>
          <w:sz w:val="24"/>
          <w:szCs w:val="24"/>
          <w:highlight w:val="none"/>
        </w:rPr>
      </w:pPr>
      <w:r>
        <w:rPr>
          <w:rFonts w:hint="eastAsia"/>
          <w:color w:val="auto"/>
          <w:sz w:val="24"/>
          <w:szCs w:val="24"/>
          <w:highlight w:val="none"/>
        </w:rPr>
        <w:t>住房和城乡建设部</w:t>
      </w:r>
    </w:p>
    <w:p>
      <w:pPr>
        <w:spacing w:line="240" w:lineRule="auto"/>
        <w:rPr>
          <w:color w:val="auto"/>
          <w:sz w:val="24"/>
          <w:szCs w:val="24"/>
          <w:highlight w:val="none"/>
        </w:rPr>
      </w:pPr>
      <w:r>
        <w:rPr>
          <w:rFonts w:hint="eastAsia"/>
          <w:color w:val="auto"/>
          <w:sz w:val="24"/>
          <w:szCs w:val="24"/>
          <w:highlight w:val="none"/>
        </w:rPr>
        <w:t xml:space="preserve">                                         制定</w:t>
      </w:r>
    </w:p>
    <w:p>
      <w:pPr>
        <w:spacing w:line="240" w:lineRule="auto"/>
        <w:ind w:firstLine="1920" w:firstLineChars="800"/>
        <w:rPr>
          <w:color w:val="auto"/>
          <w:sz w:val="24"/>
          <w:szCs w:val="24"/>
          <w:highlight w:val="none"/>
        </w:rPr>
      </w:pPr>
      <w:r>
        <w:rPr>
          <w:rFonts w:hint="eastAsia"/>
          <w:color w:val="auto"/>
          <w:sz w:val="24"/>
          <w:szCs w:val="24"/>
          <w:highlight w:val="none"/>
        </w:rPr>
        <w:t>国家工商行政管理总局</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r>
        <w:rPr>
          <w:rFonts w:hint="eastAsia"/>
          <w:color w:val="auto"/>
          <w:highlight w:val="none"/>
        </w:rPr>
        <w:t xml:space="preserve"> </w:t>
      </w:r>
    </w:p>
    <w:p>
      <w:pPr>
        <w:pStyle w:val="3"/>
        <w:numPr>
          <w:ilvl w:val="1"/>
          <w:numId w:val="0"/>
        </w:numPr>
        <w:ind w:firstLine="420" w:firstLineChars="0"/>
        <w:rPr>
          <w:color w:val="auto"/>
          <w:highlight w:val="none"/>
        </w:rPr>
      </w:pPr>
      <w:bookmarkStart w:id="178" w:name="_Toc11995"/>
      <w:bookmarkStart w:id="179" w:name="_Toc430696104"/>
      <w:r>
        <w:rPr>
          <w:rFonts w:hint="eastAsia"/>
          <w:color w:val="auto"/>
          <w:highlight w:val="none"/>
        </w:rPr>
        <w:t>第一部分  协议书</w:t>
      </w:r>
      <w:bookmarkEnd w:id="178"/>
      <w:bookmarkEnd w:id="179"/>
    </w:p>
    <w:p>
      <w:pPr>
        <w:rPr>
          <w:color w:val="auto"/>
          <w:highlight w:val="none"/>
        </w:rPr>
      </w:pPr>
    </w:p>
    <w:p>
      <w:pPr>
        <w:rPr>
          <w:color w:val="auto"/>
          <w:highlight w:val="none"/>
        </w:rPr>
      </w:pPr>
      <w:r>
        <w:rPr>
          <w:rFonts w:hint="eastAsia"/>
          <w:color w:val="auto"/>
          <w:highlight w:val="none"/>
        </w:rPr>
        <w:t xml:space="preserve">委托人（全称）：                       </w:t>
      </w:r>
    </w:p>
    <w:p>
      <w:pPr>
        <w:rPr>
          <w:color w:val="auto"/>
          <w:highlight w:val="none"/>
        </w:rPr>
      </w:pPr>
      <w:r>
        <w:rPr>
          <w:rFonts w:hint="eastAsia"/>
          <w:color w:val="auto"/>
          <w:highlight w:val="none"/>
        </w:rPr>
        <w:t xml:space="preserve">监理人（全称）：                       </w:t>
      </w:r>
    </w:p>
    <w:p>
      <w:pPr>
        <w:rPr>
          <w:color w:val="auto"/>
          <w:highlight w:val="none"/>
          <w:u w:val="single"/>
        </w:rPr>
      </w:pPr>
      <w:r>
        <w:rPr>
          <w:rFonts w:hint="eastAsia"/>
          <w:color w:val="auto"/>
          <w:highlight w:val="none"/>
        </w:rPr>
        <w:t>根据《中华人民共和国合同法》、《中华人民共和国建筑法》及其他有关法律、法规，遵循平等、自愿、公平和诚信的原则，双方就下述工程委托监理与相关服务事项协商一致，订立本合同。</w:t>
      </w:r>
    </w:p>
    <w:p>
      <w:pPr>
        <w:rPr>
          <w:color w:val="auto"/>
          <w:highlight w:val="none"/>
        </w:rPr>
      </w:pPr>
      <w:r>
        <w:rPr>
          <w:rFonts w:hint="eastAsia"/>
          <w:color w:val="auto"/>
          <w:highlight w:val="none"/>
        </w:rPr>
        <w:t>一、工程概况</w:t>
      </w:r>
    </w:p>
    <w:p>
      <w:pPr>
        <w:rPr>
          <w:color w:val="auto"/>
          <w:highlight w:val="none"/>
        </w:rPr>
      </w:pPr>
      <w:r>
        <w:rPr>
          <w:rFonts w:hint="eastAsia"/>
          <w:color w:val="auto"/>
          <w:highlight w:val="none"/>
        </w:rPr>
        <w:t>1. 工程名称：</w:t>
      </w:r>
      <w:r>
        <w:rPr>
          <w:rFonts w:hint="eastAsia"/>
          <w:color w:val="auto"/>
          <w:highlight w:val="none"/>
          <w:u w:val="single"/>
        </w:rPr>
        <w:t xml:space="preserve">                                        </w:t>
      </w:r>
      <w:r>
        <w:rPr>
          <w:rFonts w:hint="eastAsia"/>
          <w:color w:val="auto"/>
          <w:highlight w:val="none"/>
        </w:rPr>
        <w:t>；</w:t>
      </w:r>
    </w:p>
    <w:p>
      <w:pPr>
        <w:rPr>
          <w:color w:val="auto"/>
          <w:highlight w:val="none"/>
        </w:rPr>
      </w:pPr>
      <w:r>
        <w:rPr>
          <w:rFonts w:hint="eastAsia"/>
          <w:color w:val="auto"/>
          <w:highlight w:val="none"/>
        </w:rPr>
        <w:t>2. 工程地点：</w:t>
      </w:r>
      <w:r>
        <w:rPr>
          <w:rFonts w:hint="eastAsia"/>
          <w:color w:val="auto"/>
          <w:highlight w:val="none"/>
          <w:u w:val="single"/>
        </w:rPr>
        <w:t xml:space="preserve">                                        </w:t>
      </w:r>
      <w:r>
        <w:rPr>
          <w:rFonts w:hint="eastAsia"/>
          <w:color w:val="auto"/>
          <w:highlight w:val="none"/>
        </w:rPr>
        <w:t>；</w:t>
      </w:r>
    </w:p>
    <w:p>
      <w:pPr>
        <w:rPr>
          <w:rFonts w:hint="eastAsia"/>
          <w:color w:val="auto"/>
          <w:highlight w:val="none"/>
        </w:rPr>
      </w:pPr>
      <w:r>
        <w:rPr>
          <w:rFonts w:hint="eastAsia"/>
          <w:color w:val="auto"/>
          <w:highlight w:val="none"/>
        </w:rPr>
        <w:t>3. 工程规模：</w:t>
      </w:r>
      <w:r>
        <w:rPr>
          <w:rFonts w:hint="eastAsia"/>
          <w:color w:val="auto"/>
          <w:highlight w:val="none"/>
          <w:u w:val="single"/>
        </w:rPr>
        <w:t xml:space="preserve">                                        </w:t>
      </w:r>
      <w:r>
        <w:rPr>
          <w:rFonts w:hint="eastAsia"/>
          <w:color w:val="auto"/>
          <w:highlight w:val="none"/>
        </w:rPr>
        <w:t>；</w:t>
      </w:r>
    </w:p>
    <w:p>
      <w:pPr>
        <w:rPr>
          <w:rFonts w:hint="eastAsia"/>
          <w:color w:val="auto"/>
          <w:highlight w:val="none"/>
        </w:rPr>
      </w:pPr>
      <w:r>
        <w:rPr>
          <w:rFonts w:hint="eastAsia"/>
          <w:color w:val="auto"/>
          <w:highlight w:val="none"/>
        </w:rPr>
        <w:t>4. 工程</w:t>
      </w:r>
      <w:r>
        <w:rPr>
          <w:rFonts w:hint="eastAsia"/>
          <w:color w:val="auto"/>
          <w:kern w:val="0"/>
          <w:highlight w:val="none"/>
        </w:rPr>
        <w:t>概算投资额或建筑安装工程费</w:t>
      </w:r>
      <w:r>
        <w:rPr>
          <w:rFonts w:hint="eastAsia"/>
          <w:color w:val="auto"/>
          <w:highlight w:val="none"/>
        </w:rPr>
        <w:t>：</w:t>
      </w:r>
      <w:r>
        <w:rPr>
          <w:rFonts w:hint="eastAsia"/>
          <w:color w:val="auto"/>
          <w:highlight w:val="none"/>
          <w:u w:val="single"/>
        </w:rPr>
        <w:t xml:space="preserve">                  </w:t>
      </w:r>
      <w:r>
        <w:rPr>
          <w:rFonts w:hint="eastAsia"/>
          <w:color w:val="auto"/>
          <w:highlight w:val="none"/>
        </w:rPr>
        <w:t>；</w:t>
      </w:r>
    </w:p>
    <w:p>
      <w:pPr>
        <w:rPr>
          <w:color w:val="auto"/>
          <w:highlight w:val="none"/>
        </w:rPr>
      </w:pPr>
      <w:r>
        <w:rPr>
          <w:rFonts w:hint="eastAsia"/>
          <w:color w:val="auto"/>
          <w:highlight w:val="none"/>
        </w:rPr>
        <w:t>二、词语限定</w:t>
      </w:r>
    </w:p>
    <w:p>
      <w:pPr>
        <w:rPr>
          <w:color w:val="auto"/>
          <w:highlight w:val="none"/>
        </w:rPr>
      </w:pPr>
      <w:r>
        <w:rPr>
          <w:rFonts w:hint="eastAsia"/>
          <w:color w:val="auto"/>
          <w:highlight w:val="none"/>
        </w:rPr>
        <w:t>协议书中相关词语的含义与通用条件中的定义与解释相同。</w:t>
      </w:r>
    </w:p>
    <w:p>
      <w:pPr>
        <w:rPr>
          <w:color w:val="auto"/>
          <w:highlight w:val="none"/>
        </w:rPr>
      </w:pPr>
      <w:r>
        <w:rPr>
          <w:rFonts w:hint="eastAsia"/>
          <w:color w:val="auto"/>
          <w:highlight w:val="none"/>
        </w:rPr>
        <w:t>三、组成本合同的文件</w:t>
      </w:r>
    </w:p>
    <w:p>
      <w:pPr>
        <w:rPr>
          <w:color w:val="auto"/>
          <w:highlight w:val="none"/>
        </w:rPr>
      </w:pPr>
      <w:r>
        <w:rPr>
          <w:rFonts w:hint="eastAsia"/>
          <w:color w:val="auto"/>
          <w:highlight w:val="none"/>
        </w:rPr>
        <w:t>1. 协议书；</w:t>
      </w:r>
    </w:p>
    <w:p>
      <w:pPr>
        <w:rPr>
          <w:color w:val="auto"/>
          <w:highlight w:val="none"/>
        </w:rPr>
      </w:pPr>
      <w:r>
        <w:rPr>
          <w:rFonts w:hint="eastAsia"/>
          <w:color w:val="auto"/>
          <w:highlight w:val="none"/>
        </w:rPr>
        <w:t>2. 中标通知书（适用于招标工程）或委托书（适用于非招标工程）；</w:t>
      </w:r>
    </w:p>
    <w:p>
      <w:pPr>
        <w:rPr>
          <w:color w:val="auto"/>
          <w:highlight w:val="none"/>
        </w:rPr>
      </w:pPr>
      <w:r>
        <w:rPr>
          <w:rFonts w:hint="eastAsia"/>
          <w:color w:val="auto"/>
          <w:highlight w:val="none"/>
        </w:rPr>
        <w:t>3. 投标文件（适用于招标工程）或监理与相关服务建议书（适用于非招标工程）；</w:t>
      </w:r>
    </w:p>
    <w:p>
      <w:pPr>
        <w:rPr>
          <w:color w:val="auto"/>
          <w:highlight w:val="none"/>
        </w:rPr>
      </w:pPr>
      <w:r>
        <w:rPr>
          <w:rFonts w:hint="eastAsia"/>
          <w:color w:val="auto"/>
          <w:highlight w:val="none"/>
        </w:rPr>
        <w:t>4. 专用条件；</w:t>
      </w:r>
    </w:p>
    <w:p>
      <w:pPr>
        <w:rPr>
          <w:color w:val="auto"/>
          <w:highlight w:val="none"/>
        </w:rPr>
      </w:pPr>
      <w:r>
        <w:rPr>
          <w:rFonts w:hint="eastAsia"/>
          <w:color w:val="auto"/>
          <w:highlight w:val="none"/>
        </w:rPr>
        <w:t>5. 通用条件；</w:t>
      </w:r>
    </w:p>
    <w:p>
      <w:pPr>
        <w:rPr>
          <w:color w:val="auto"/>
          <w:highlight w:val="none"/>
        </w:rPr>
      </w:pPr>
      <w:r>
        <w:rPr>
          <w:rFonts w:hint="eastAsia"/>
          <w:color w:val="auto"/>
          <w:highlight w:val="none"/>
        </w:rPr>
        <w:t>本合同签订后，双方依法签订的补充协议也是本合同文件的组成部分。</w:t>
      </w:r>
    </w:p>
    <w:p>
      <w:pPr>
        <w:rPr>
          <w:color w:val="auto"/>
          <w:highlight w:val="none"/>
        </w:rPr>
      </w:pPr>
      <w:r>
        <w:rPr>
          <w:rFonts w:hint="eastAsia"/>
          <w:color w:val="auto"/>
          <w:highlight w:val="none"/>
        </w:rPr>
        <w:t>四、总监理工程师</w:t>
      </w:r>
    </w:p>
    <w:p>
      <w:pPr>
        <w:rPr>
          <w:color w:val="auto"/>
          <w:highlight w:val="none"/>
        </w:rPr>
      </w:pPr>
      <w:r>
        <w:rPr>
          <w:rFonts w:hint="eastAsia"/>
          <w:color w:val="auto"/>
          <w:highlight w:val="none"/>
        </w:rPr>
        <w:t>总监理工程师姓名：</w:t>
      </w:r>
      <w:r>
        <w:rPr>
          <w:rFonts w:hint="eastAsia"/>
          <w:color w:val="auto"/>
          <w:highlight w:val="none"/>
          <w:u w:val="single"/>
        </w:rPr>
        <w:t xml:space="preserve">             </w:t>
      </w:r>
      <w:r>
        <w:rPr>
          <w:rFonts w:hint="eastAsia"/>
          <w:color w:val="auto"/>
          <w:highlight w:val="none"/>
        </w:rPr>
        <w:t xml:space="preserve"> 。</w:t>
      </w:r>
    </w:p>
    <w:p>
      <w:pPr>
        <w:rPr>
          <w:color w:val="auto"/>
          <w:highlight w:val="none"/>
        </w:rPr>
      </w:pPr>
      <w:r>
        <w:rPr>
          <w:rFonts w:hint="eastAsia"/>
          <w:color w:val="auto"/>
          <w:highlight w:val="none"/>
        </w:rPr>
        <w:t>五、签约酬金</w:t>
      </w:r>
    </w:p>
    <w:p>
      <w:pPr>
        <w:rPr>
          <w:color w:val="auto"/>
          <w:highlight w:val="none"/>
        </w:rPr>
      </w:pPr>
      <w:r>
        <w:rPr>
          <w:rFonts w:hint="eastAsia"/>
          <w:color w:val="auto"/>
          <w:highlight w:val="none"/>
        </w:rPr>
        <w:t>签约酬金（大写）：</w:t>
      </w:r>
      <w:r>
        <w:rPr>
          <w:rFonts w:hint="eastAsia"/>
          <w:color w:val="auto"/>
          <w:highlight w:val="none"/>
          <w:u w:val="single"/>
        </w:rPr>
        <w:t xml:space="preserve">                            </w:t>
      </w:r>
      <w:r>
        <w:rPr>
          <w:rFonts w:hint="eastAsia"/>
          <w:color w:val="auto"/>
          <w:highlight w:val="none"/>
        </w:rPr>
        <w:t xml:space="preserve"> 。</w:t>
      </w:r>
    </w:p>
    <w:p>
      <w:pPr>
        <w:rPr>
          <w:color w:val="auto"/>
          <w:highlight w:val="none"/>
        </w:rPr>
      </w:pPr>
      <w:r>
        <w:rPr>
          <w:rFonts w:hint="eastAsia"/>
          <w:color w:val="auto"/>
          <w:highlight w:val="none"/>
        </w:rPr>
        <w:t>六、期限</w:t>
      </w:r>
    </w:p>
    <w:p>
      <w:pPr>
        <w:rPr>
          <w:color w:val="auto"/>
          <w:highlight w:val="none"/>
        </w:rPr>
      </w:pPr>
      <w:r>
        <w:rPr>
          <w:rFonts w:hint="eastAsia"/>
          <w:color w:val="auto"/>
          <w:kern w:val="0"/>
          <w:highlight w:val="none"/>
        </w:rPr>
        <w:t xml:space="preserve">1. </w:t>
      </w:r>
      <w:r>
        <w:rPr>
          <w:rFonts w:hint="eastAsia"/>
          <w:color w:val="auto"/>
          <w:highlight w:val="none"/>
        </w:rPr>
        <w:t>监理期限：</w:t>
      </w:r>
    </w:p>
    <w:p>
      <w:pPr>
        <w:rPr>
          <w:color w:val="auto"/>
          <w:highlight w:val="none"/>
        </w:rPr>
      </w:pPr>
      <w:r>
        <w:rPr>
          <w:rFonts w:hint="eastAsia"/>
          <w:color w:val="auto"/>
          <w:highlight w:val="none"/>
        </w:rPr>
        <w:t>自工程开工时始，至工程移交后止。</w:t>
      </w:r>
    </w:p>
    <w:p>
      <w:pPr>
        <w:rPr>
          <w:color w:val="auto"/>
          <w:highlight w:val="none"/>
        </w:rPr>
      </w:pPr>
      <w:r>
        <w:rPr>
          <w:rFonts w:hint="eastAsia"/>
          <w:color w:val="auto"/>
          <w:highlight w:val="none"/>
        </w:rPr>
        <w:t>七、双方承诺</w:t>
      </w:r>
    </w:p>
    <w:p>
      <w:pPr>
        <w:rPr>
          <w:color w:val="auto"/>
          <w:highlight w:val="none"/>
        </w:rPr>
      </w:pPr>
      <w:r>
        <w:rPr>
          <w:rFonts w:hint="eastAsia"/>
          <w:color w:val="auto"/>
          <w:highlight w:val="none"/>
        </w:rPr>
        <w:t>1. 监理人向委托人承诺，按照本合同约定提供监理与相关服务。</w:t>
      </w:r>
    </w:p>
    <w:p>
      <w:pPr>
        <w:rPr>
          <w:color w:val="auto"/>
          <w:highlight w:val="none"/>
        </w:rPr>
      </w:pPr>
      <w:r>
        <w:rPr>
          <w:rFonts w:hint="eastAsia"/>
          <w:color w:val="auto"/>
          <w:highlight w:val="none"/>
        </w:rPr>
        <w:t>2. 委托人向监理人承诺，按照本合同约定派遣相应的人员，提供房屋、资料、设备，并按本合同约定支付酬金。</w:t>
      </w:r>
    </w:p>
    <w:p>
      <w:pPr>
        <w:rPr>
          <w:color w:val="auto"/>
          <w:highlight w:val="none"/>
        </w:rPr>
      </w:pPr>
      <w:r>
        <w:rPr>
          <w:rFonts w:hint="eastAsia"/>
          <w:color w:val="auto"/>
          <w:highlight w:val="none"/>
        </w:rPr>
        <w:t>八、合同订立</w:t>
      </w:r>
    </w:p>
    <w:p>
      <w:pPr>
        <w:rPr>
          <w:color w:val="auto"/>
          <w:highlight w:val="none"/>
        </w:rPr>
      </w:pPr>
      <w:r>
        <w:rPr>
          <w:rFonts w:hint="eastAsia"/>
          <w:color w:val="auto"/>
          <w:highlight w:val="none"/>
        </w:rPr>
        <w:t>1. 订立时间：</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pPr>
        <w:rPr>
          <w:color w:val="auto"/>
          <w:highlight w:val="none"/>
        </w:rPr>
      </w:pPr>
      <w:r>
        <w:rPr>
          <w:rFonts w:hint="eastAsia"/>
          <w:color w:val="auto"/>
          <w:highlight w:val="none"/>
        </w:rPr>
        <w:t>2. 订立地点：                         。</w:t>
      </w:r>
    </w:p>
    <w:p>
      <w:pPr>
        <w:rPr>
          <w:color w:val="auto"/>
          <w:highlight w:val="none"/>
        </w:rPr>
      </w:pPr>
      <w:r>
        <w:rPr>
          <w:rFonts w:hint="eastAsia"/>
          <w:color w:val="auto"/>
          <w:highlight w:val="none"/>
        </w:rPr>
        <w:t>3. 本合同一式</w:t>
      </w:r>
      <w:r>
        <w:rPr>
          <w:rFonts w:hint="eastAsia"/>
          <w:color w:val="auto"/>
          <w:highlight w:val="none"/>
          <w:u w:val="single"/>
        </w:rPr>
        <w:t xml:space="preserve">    </w:t>
      </w:r>
      <w:r>
        <w:rPr>
          <w:rFonts w:hint="eastAsia"/>
          <w:color w:val="auto"/>
          <w:highlight w:val="none"/>
        </w:rPr>
        <w:t>份，具有同等法律效力，双方各执</w:t>
      </w:r>
      <w:r>
        <w:rPr>
          <w:rFonts w:hint="eastAsia"/>
          <w:color w:val="auto"/>
          <w:highlight w:val="none"/>
          <w:u w:val="single"/>
        </w:rPr>
        <w:t xml:space="preserve">   </w:t>
      </w:r>
      <w:r>
        <w:rPr>
          <w:rFonts w:hint="eastAsia"/>
          <w:color w:val="auto"/>
          <w:highlight w:val="none"/>
        </w:rPr>
        <w:t>份。</w:t>
      </w:r>
    </w:p>
    <w:p>
      <w:pPr>
        <w:rPr>
          <w:color w:val="auto"/>
          <w:highlight w:val="none"/>
        </w:rPr>
      </w:pPr>
    </w:p>
    <w:p>
      <w:pPr>
        <w:rPr>
          <w:color w:val="auto"/>
          <w:highlight w:val="none"/>
        </w:rPr>
      </w:pPr>
    </w:p>
    <w:p>
      <w:pPr>
        <w:rPr>
          <w:color w:val="auto"/>
          <w:highlight w:val="none"/>
        </w:rPr>
      </w:pPr>
      <w:r>
        <w:rPr>
          <w:rFonts w:hint="eastAsia"/>
          <w:color w:val="auto"/>
          <w:highlight w:val="none"/>
        </w:rPr>
        <w:t xml:space="preserve">委托人：   （盖章）           监理人：        （盖章）     </w:t>
      </w:r>
    </w:p>
    <w:p>
      <w:pPr>
        <w:rPr>
          <w:color w:val="auto"/>
          <w:highlight w:val="none"/>
        </w:rPr>
      </w:pPr>
      <w:r>
        <w:rPr>
          <w:rFonts w:hint="eastAsia"/>
          <w:color w:val="auto"/>
          <w:highlight w:val="none"/>
        </w:rPr>
        <w:t xml:space="preserve">住所：                        住所：                       </w:t>
      </w:r>
    </w:p>
    <w:p>
      <w:pPr>
        <w:rPr>
          <w:color w:val="auto"/>
          <w:highlight w:val="none"/>
        </w:rPr>
      </w:pPr>
      <w:r>
        <w:rPr>
          <w:rFonts w:hint="eastAsia"/>
          <w:color w:val="auto"/>
          <w:highlight w:val="none"/>
        </w:rPr>
        <w:t xml:space="preserve">邮政编码：                    邮政编码：                   </w:t>
      </w:r>
    </w:p>
    <w:p>
      <w:pPr>
        <w:rPr>
          <w:color w:val="auto"/>
          <w:highlight w:val="none"/>
        </w:rPr>
      </w:pPr>
      <w:r>
        <w:rPr>
          <w:rFonts w:hint="eastAsia"/>
          <w:color w:val="auto"/>
          <w:highlight w:val="none"/>
        </w:rPr>
        <w:t>法定代表人或其授权            法定代表人或其授权</w:t>
      </w:r>
    </w:p>
    <w:p>
      <w:pPr>
        <w:rPr>
          <w:color w:val="auto"/>
          <w:highlight w:val="none"/>
        </w:rPr>
      </w:pPr>
      <w:r>
        <w:rPr>
          <w:rFonts w:hint="eastAsia"/>
          <w:color w:val="auto"/>
          <w:highlight w:val="none"/>
        </w:rPr>
        <w:t xml:space="preserve">的代理人： （签字）           的代理人：（签字）            </w:t>
      </w:r>
    </w:p>
    <w:p>
      <w:pPr>
        <w:rPr>
          <w:color w:val="auto"/>
          <w:highlight w:val="none"/>
        </w:rPr>
      </w:pPr>
      <w:r>
        <w:rPr>
          <w:rFonts w:hint="eastAsia"/>
          <w:color w:val="auto"/>
          <w:highlight w:val="none"/>
        </w:rPr>
        <w:t xml:space="preserve">开户银行：                    开户银行：                   </w:t>
      </w:r>
    </w:p>
    <w:p>
      <w:pPr>
        <w:rPr>
          <w:color w:val="auto"/>
          <w:highlight w:val="none"/>
        </w:rPr>
      </w:pPr>
      <w:r>
        <w:rPr>
          <w:rFonts w:hint="eastAsia"/>
          <w:color w:val="auto"/>
          <w:highlight w:val="none"/>
        </w:rPr>
        <w:t xml:space="preserve">账号：                         账号：                      </w:t>
      </w:r>
    </w:p>
    <w:p>
      <w:pPr>
        <w:rPr>
          <w:color w:val="auto"/>
          <w:highlight w:val="none"/>
        </w:rPr>
      </w:pPr>
      <w:r>
        <w:rPr>
          <w:rFonts w:hint="eastAsia"/>
          <w:color w:val="auto"/>
          <w:highlight w:val="none"/>
        </w:rPr>
        <w:t xml:space="preserve">电话：                         电话：                      </w:t>
      </w:r>
    </w:p>
    <w:p>
      <w:pPr>
        <w:rPr>
          <w:color w:val="auto"/>
          <w:highlight w:val="none"/>
        </w:rPr>
      </w:pPr>
      <w:r>
        <w:rPr>
          <w:rFonts w:hint="eastAsia"/>
          <w:color w:val="auto"/>
          <w:highlight w:val="none"/>
        </w:rPr>
        <w:t xml:space="preserve">传真：                         传真：                      </w:t>
      </w:r>
    </w:p>
    <w:p>
      <w:pPr>
        <w:rPr>
          <w:color w:val="auto"/>
          <w:highlight w:val="none"/>
        </w:rPr>
      </w:pPr>
      <w:r>
        <w:rPr>
          <w:rFonts w:hint="eastAsia"/>
          <w:color w:val="auto"/>
          <w:highlight w:val="none"/>
        </w:rPr>
        <w:t xml:space="preserve">电子邮箱：                    电子邮箱：                   </w:t>
      </w:r>
    </w:p>
    <w:p>
      <w:pPr>
        <w:rPr>
          <w:color w:val="auto"/>
          <w:highlight w:val="none"/>
        </w:rPr>
      </w:pPr>
    </w:p>
    <w:p>
      <w:pPr>
        <w:rPr>
          <w:color w:val="auto"/>
          <w:highlight w:val="none"/>
        </w:rPr>
      </w:pPr>
    </w:p>
    <w:p>
      <w:pPr>
        <w:pStyle w:val="43"/>
        <w:rPr>
          <w:color w:val="auto"/>
          <w:highlight w:val="none"/>
        </w:rPr>
      </w:pPr>
      <w:bookmarkStart w:id="180" w:name="_bookmark94"/>
      <w:bookmarkEnd w:id="180"/>
      <w:bookmarkStart w:id="181" w:name="_Toc508294973"/>
      <w:bookmarkStart w:id="182" w:name="_Toc508295099"/>
      <w:bookmarkStart w:id="183" w:name="_Toc503856953"/>
      <w:bookmarkStart w:id="184" w:name="_Toc508963104"/>
    </w:p>
    <w:p>
      <w:pPr>
        <w:pStyle w:val="43"/>
        <w:rPr>
          <w:color w:val="auto"/>
          <w:highlight w:val="none"/>
        </w:rPr>
      </w:pPr>
    </w:p>
    <w:p>
      <w:pPr>
        <w:pStyle w:val="43"/>
        <w:rPr>
          <w:color w:val="auto"/>
          <w:highlight w:val="none"/>
        </w:rPr>
      </w:pPr>
    </w:p>
    <w:p>
      <w:pPr>
        <w:pStyle w:val="43"/>
        <w:rPr>
          <w:color w:val="auto"/>
          <w:highlight w:val="none"/>
        </w:rPr>
      </w:pPr>
    </w:p>
    <w:p>
      <w:pPr>
        <w:pStyle w:val="43"/>
        <w:rPr>
          <w:color w:val="auto"/>
          <w:highlight w:val="none"/>
        </w:rPr>
      </w:pPr>
    </w:p>
    <w:p>
      <w:pPr>
        <w:pStyle w:val="43"/>
        <w:rPr>
          <w:color w:val="auto"/>
          <w:highlight w:val="none"/>
        </w:rPr>
      </w:pPr>
      <w:bookmarkStart w:id="185" w:name="_Toc509329651"/>
      <w:bookmarkStart w:id="186" w:name="_Toc24289"/>
    </w:p>
    <w:p>
      <w:pPr>
        <w:pStyle w:val="43"/>
        <w:rPr>
          <w:color w:val="auto"/>
          <w:highlight w:val="none"/>
        </w:rPr>
      </w:pPr>
    </w:p>
    <w:p>
      <w:pPr>
        <w:pStyle w:val="3"/>
        <w:numPr>
          <w:ilvl w:val="1"/>
          <w:numId w:val="0"/>
        </w:numPr>
        <w:ind w:firstLine="420" w:firstLineChars="0"/>
        <w:rPr>
          <w:color w:val="auto"/>
          <w:highlight w:val="none"/>
        </w:rPr>
      </w:pPr>
      <w:r>
        <w:rPr>
          <w:rFonts w:hint="eastAsia"/>
          <w:color w:val="auto"/>
          <w:highlight w:val="none"/>
        </w:rPr>
        <w:t>第二部分 通用合同条款</w:t>
      </w:r>
      <w:bookmarkEnd w:id="181"/>
      <w:bookmarkEnd w:id="182"/>
      <w:bookmarkEnd w:id="183"/>
      <w:bookmarkEnd w:id="184"/>
      <w:bookmarkEnd w:id="185"/>
      <w:bookmarkEnd w:id="186"/>
    </w:p>
    <w:p>
      <w:pPr>
        <w:pStyle w:val="43"/>
        <w:ind w:left="0" w:leftChars="0" w:firstLine="422" w:firstLineChars="200"/>
        <w:rPr>
          <w:rFonts w:hint="eastAsia" w:asciiTheme="minorEastAsia" w:hAnsiTheme="minorEastAsia" w:eastAsiaTheme="minorEastAsia" w:cstheme="minorEastAsia"/>
          <w:color w:val="auto"/>
          <w:sz w:val="21"/>
          <w:szCs w:val="21"/>
          <w:highlight w:val="none"/>
        </w:rPr>
      </w:pPr>
      <w:bookmarkStart w:id="187" w:name="_bookmark95"/>
      <w:bookmarkEnd w:id="187"/>
      <w:bookmarkStart w:id="188" w:name="_Toc503856954"/>
      <w:bookmarkStart w:id="189" w:name="_Toc508294974"/>
      <w:bookmarkStart w:id="190" w:name="_Toc508295100"/>
      <w:bookmarkStart w:id="191" w:name="_Toc23126"/>
      <w:bookmarkStart w:id="192" w:name="_Toc503538376"/>
      <w:bookmarkStart w:id="193" w:name="_Toc509329652"/>
      <w:bookmarkStart w:id="194" w:name="_Toc508963105"/>
      <w:r>
        <w:rPr>
          <w:rFonts w:hint="eastAsia" w:asciiTheme="minorEastAsia" w:hAnsiTheme="minorEastAsia" w:eastAsiaTheme="minorEastAsia" w:cstheme="minorEastAsia"/>
          <w:color w:val="auto"/>
          <w:sz w:val="21"/>
          <w:szCs w:val="21"/>
          <w:highlight w:val="none"/>
        </w:rPr>
        <w:t>1.  一般约定</w:t>
      </w:r>
      <w:bookmarkEnd w:id="188"/>
      <w:bookmarkEnd w:id="189"/>
      <w:bookmarkEnd w:id="190"/>
      <w:bookmarkEnd w:id="191"/>
      <w:bookmarkEnd w:id="192"/>
      <w:bookmarkEnd w:id="193"/>
      <w:bookmarkEnd w:id="194"/>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195" w:name="_bookmark96"/>
      <w:bookmarkEnd w:id="195"/>
      <w:r>
        <w:rPr>
          <w:rFonts w:hint="eastAsia" w:asciiTheme="minorEastAsia" w:hAnsiTheme="minorEastAsia" w:eastAsiaTheme="minorEastAsia" w:cstheme="minorEastAsia"/>
          <w:color w:val="auto"/>
          <w:sz w:val="21"/>
          <w:szCs w:val="21"/>
          <w:highlight w:val="none"/>
        </w:rPr>
        <w:t>1.1  词语定义</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通用合同条款、专用合同条款中的下列词语应具有本款所赋予的含义。</w:t>
      </w:r>
    </w:p>
    <w:p>
      <w:pPr>
        <w:pStyle w:val="44"/>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  合同</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1.1.1.1  合</w:t>
      </w:r>
      <w:r>
        <w:rPr>
          <w:rFonts w:hint="eastAsia" w:asciiTheme="minorEastAsia" w:hAnsiTheme="minorEastAsia" w:eastAsiaTheme="minorEastAsia" w:cstheme="minorEastAsia"/>
          <w:color w:val="auto"/>
          <w:spacing w:val="2"/>
          <w:sz w:val="21"/>
          <w:szCs w:val="21"/>
          <w:highlight w:val="none"/>
        </w:rPr>
        <w:t>同</w:t>
      </w:r>
      <w:r>
        <w:rPr>
          <w:rFonts w:hint="eastAsia" w:asciiTheme="minorEastAsia" w:hAnsiTheme="minorEastAsia" w:eastAsiaTheme="minorEastAsia" w:cstheme="minorEastAsia"/>
          <w:color w:val="auto"/>
          <w:sz w:val="21"/>
          <w:szCs w:val="21"/>
          <w:highlight w:val="none"/>
        </w:rPr>
        <w:t>文</w:t>
      </w:r>
      <w:r>
        <w:rPr>
          <w:rFonts w:hint="eastAsia" w:asciiTheme="minorEastAsia" w:hAnsiTheme="minorEastAsia" w:eastAsiaTheme="minorEastAsia" w:cstheme="minorEastAsia"/>
          <w:color w:val="auto"/>
          <w:spacing w:val="2"/>
          <w:sz w:val="21"/>
          <w:szCs w:val="21"/>
          <w:highlight w:val="none"/>
        </w:rPr>
        <w:t>件</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pacing w:val="2"/>
          <w:sz w:val="21"/>
          <w:szCs w:val="21"/>
          <w:highlight w:val="none"/>
        </w:rPr>
        <w:t>或</w:t>
      </w:r>
      <w:r>
        <w:rPr>
          <w:rFonts w:hint="eastAsia" w:asciiTheme="minorEastAsia" w:hAnsiTheme="minorEastAsia" w:eastAsiaTheme="minorEastAsia" w:cstheme="minorEastAsia"/>
          <w:color w:val="auto"/>
          <w:sz w:val="21"/>
          <w:szCs w:val="21"/>
          <w:highlight w:val="none"/>
        </w:rPr>
        <w:t>称合</w:t>
      </w:r>
      <w:r>
        <w:rPr>
          <w:rFonts w:hint="eastAsia" w:asciiTheme="minorEastAsia" w:hAnsiTheme="minorEastAsia" w:eastAsiaTheme="minorEastAsia" w:cstheme="minorEastAsia"/>
          <w:color w:val="auto"/>
          <w:spacing w:val="2"/>
          <w:sz w:val="21"/>
          <w:szCs w:val="21"/>
          <w:highlight w:val="none"/>
        </w:rPr>
        <w:t>同</w:t>
      </w:r>
      <w:r>
        <w:rPr>
          <w:rFonts w:hint="eastAsia" w:asciiTheme="minorEastAsia" w:hAnsiTheme="minorEastAsia" w:eastAsiaTheme="minorEastAsia" w:cstheme="minorEastAsia"/>
          <w:color w:val="auto"/>
          <w:spacing w:val="-104"/>
          <w:sz w:val="21"/>
          <w:szCs w:val="21"/>
          <w:highlight w:val="none"/>
        </w:rPr>
        <w:t>）</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pacing w:val="2"/>
          <w:sz w:val="21"/>
          <w:szCs w:val="21"/>
          <w:highlight w:val="none"/>
        </w:rPr>
        <w:t>指</w:t>
      </w:r>
      <w:r>
        <w:rPr>
          <w:rFonts w:hint="eastAsia" w:asciiTheme="minorEastAsia" w:hAnsiTheme="minorEastAsia" w:eastAsiaTheme="minorEastAsia" w:cstheme="minorEastAsia"/>
          <w:color w:val="auto"/>
          <w:sz w:val="21"/>
          <w:szCs w:val="21"/>
          <w:highlight w:val="none"/>
        </w:rPr>
        <w:t>合同</w:t>
      </w:r>
      <w:r>
        <w:rPr>
          <w:rFonts w:hint="eastAsia" w:asciiTheme="minorEastAsia" w:hAnsiTheme="minorEastAsia" w:eastAsiaTheme="minorEastAsia" w:cstheme="minorEastAsia"/>
          <w:color w:val="auto"/>
          <w:spacing w:val="2"/>
          <w:sz w:val="21"/>
          <w:szCs w:val="21"/>
          <w:highlight w:val="none"/>
        </w:rPr>
        <w:t>协</w:t>
      </w:r>
      <w:r>
        <w:rPr>
          <w:rFonts w:hint="eastAsia" w:asciiTheme="minorEastAsia" w:hAnsiTheme="minorEastAsia" w:eastAsiaTheme="minorEastAsia" w:cstheme="minorEastAsia"/>
          <w:color w:val="auto"/>
          <w:sz w:val="21"/>
          <w:szCs w:val="21"/>
          <w:highlight w:val="none"/>
        </w:rPr>
        <w:t>议</w:t>
      </w:r>
      <w:r>
        <w:rPr>
          <w:rFonts w:hint="eastAsia" w:asciiTheme="minorEastAsia" w:hAnsiTheme="minorEastAsia" w:eastAsiaTheme="minorEastAsia" w:cstheme="minorEastAsia"/>
          <w:color w:val="auto"/>
          <w:spacing w:val="2"/>
          <w:sz w:val="21"/>
          <w:szCs w:val="21"/>
          <w:highlight w:val="none"/>
        </w:rPr>
        <w:t>书</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pacing w:val="2"/>
          <w:sz w:val="21"/>
          <w:szCs w:val="21"/>
          <w:highlight w:val="none"/>
        </w:rPr>
        <w:t>中</w:t>
      </w:r>
      <w:r>
        <w:rPr>
          <w:rFonts w:hint="eastAsia" w:asciiTheme="minorEastAsia" w:hAnsiTheme="minorEastAsia" w:eastAsiaTheme="minorEastAsia" w:cstheme="minorEastAsia"/>
          <w:color w:val="auto"/>
          <w:sz w:val="21"/>
          <w:szCs w:val="21"/>
          <w:highlight w:val="none"/>
        </w:rPr>
        <w:t>标</w:t>
      </w:r>
      <w:r>
        <w:rPr>
          <w:rFonts w:hint="eastAsia" w:asciiTheme="minorEastAsia" w:hAnsiTheme="minorEastAsia" w:eastAsiaTheme="minorEastAsia" w:cstheme="minorEastAsia"/>
          <w:color w:val="auto"/>
          <w:spacing w:val="2"/>
          <w:sz w:val="21"/>
          <w:szCs w:val="21"/>
          <w:highlight w:val="none"/>
        </w:rPr>
        <w:t>通</w:t>
      </w:r>
      <w:r>
        <w:rPr>
          <w:rFonts w:hint="eastAsia" w:asciiTheme="minorEastAsia" w:hAnsiTheme="minorEastAsia" w:eastAsiaTheme="minorEastAsia" w:cstheme="minorEastAsia"/>
          <w:color w:val="auto"/>
          <w:sz w:val="21"/>
          <w:szCs w:val="21"/>
          <w:highlight w:val="none"/>
        </w:rPr>
        <w:t>知</w:t>
      </w:r>
      <w:r>
        <w:rPr>
          <w:rFonts w:hint="eastAsia" w:asciiTheme="minorEastAsia" w:hAnsiTheme="minorEastAsia" w:eastAsiaTheme="minorEastAsia" w:cstheme="minorEastAsia"/>
          <w:color w:val="auto"/>
          <w:spacing w:val="2"/>
          <w:sz w:val="21"/>
          <w:szCs w:val="21"/>
          <w:highlight w:val="none"/>
        </w:rPr>
        <w:t>书</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pacing w:val="2"/>
          <w:sz w:val="21"/>
          <w:szCs w:val="21"/>
          <w:highlight w:val="none"/>
        </w:rPr>
        <w:t>投</w:t>
      </w:r>
      <w:r>
        <w:rPr>
          <w:rFonts w:hint="eastAsia" w:asciiTheme="minorEastAsia" w:hAnsiTheme="minorEastAsia" w:eastAsiaTheme="minorEastAsia" w:cstheme="minorEastAsia"/>
          <w:color w:val="auto"/>
          <w:sz w:val="21"/>
          <w:szCs w:val="21"/>
          <w:highlight w:val="none"/>
        </w:rPr>
        <w:t>标</w:t>
      </w:r>
      <w:r>
        <w:rPr>
          <w:rFonts w:hint="eastAsia" w:asciiTheme="minorEastAsia" w:hAnsiTheme="minorEastAsia" w:eastAsiaTheme="minorEastAsia" w:cstheme="minorEastAsia"/>
          <w:color w:val="auto"/>
          <w:spacing w:val="2"/>
          <w:sz w:val="21"/>
          <w:szCs w:val="21"/>
          <w:highlight w:val="none"/>
        </w:rPr>
        <w:t>函</w:t>
      </w:r>
      <w:r>
        <w:rPr>
          <w:rFonts w:hint="eastAsia" w:asciiTheme="minorEastAsia" w:hAnsiTheme="minorEastAsia" w:eastAsiaTheme="minorEastAsia" w:cstheme="minorEastAsia"/>
          <w:color w:val="auto"/>
          <w:sz w:val="21"/>
          <w:szCs w:val="21"/>
          <w:highlight w:val="none"/>
        </w:rPr>
        <w:t>和</w:t>
      </w:r>
      <w:r>
        <w:rPr>
          <w:rFonts w:hint="eastAsia" w:asciiTheme="minorEastAsia" w:hAnsiTheme="minorEastAsia" w:eastAsiaTheme="minorEastAsia" w:cstheme="minorEastAsia"/>
          <w:color w:val="auto"/>
          <w:spacing w:val="2"/>
          <w:sz w:val="21"/>
          <w:szCs w:val="21"/>
          <w:highlight w:val="none"/>
        </w:rPr>
        <w:t>投</w:t>
      </w:r>
      <w:r>
        <w:rPr>
          <w:rFonts w:hint="eastAsia" w:asciiTheme="minorEastAsia" w:hAnsiTheme="minorEastAsia" w:eastAsiaTheme="minorEastAsia" w:cstheme="minorEastAsia"/>
          <w:color w:val="auto"/>
          <w:sz w:val="21"/>
          <w:szCs w:val="21"/>
          <w:highlight w:val="none"/>
        </w:rPr>
        <w:t>标函</w:t>
      </w:r>
      <w:r>
        <w:rPr>
          <w:rFonts w:hint="eastAsia" w:asciiTheme="minorEastAsia" w:hAnsiTheme="minorEastAsia" w:eastAsiaTheme="minorEastAsia" w:cstheme="minorEastAsia"/>
          <w:color w:val="auto"/>
          <w:spacing w:val="2"/>
          <w:sz w:val="21"/>
          <w:szCs w:val="21"/>
          <w:highlight w:val="none"/>
        </w:rPr>
        <w:t>附</w:t>
      </w:r>
      <w:r>
        <w:rPr>
          <w:rFonts w:hint="eastAsia" w:asciiTheme="minorEastAsia" w:hAnsiTheme="minorEastAsia" w:eastAsiaTheme="minorEastAsia" w:cstheme="minorEastAsia"/>
          <w:color w:val="auto"/>
          <w:sz w:val="21"/>
          <w:szCs w:val="21"/>
          <w:highlight w:val="none"/>
        </w:rPr>
        <w:t>录</w:t>
      </w:r>
      <w:r>
        <w:rPr>
          <w:rFonts w:hint="eastAsia" w:asciiTheme="minorEastAsia" w:hAnsiTheme="minorEastAsia" w:eastAsiaTheme="minorEastAsia" w:cstheme="minorEastAsia"/>
          <w:color w:val="auto"/>
          <w:spacing w:val="2"/>
          <w:sz w:val="21"/>
          <w:szCs w:val="21"/>
          <w:highlight w:val="none"/>
        </w:rPr>
        <w:t>、</w:t>
      </w:r>
      <w:r>
        <w:rPr>
          <w:rFonts w:hint="eastAsia" w:asciiTheme="minorEastAsia" w:hAnsiTheme="minorEastAsia" w:eastAsiaTheme="minorEastAsia" w:cstheme="minorEastAsia"/>
          <w:color w:val="auto"/>
          <w:sz w:val="21"/>
          <w:szCs w:val="21"/>
          <w:highlight w:val="none"/>
        </w:rPr>
        <w:t>专用 合同条款、通用合同条款、委托人要求、监理报酬清单、监理大纲，以及其他构成合同组成部 分的文件。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1.1.1.2 合同协议书：指委托人和监理人共同签署的合同协议书。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1.1.1.3 中标通知书：指委托人通知监理人中标的函件。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1.1.1.4 投标函：指由监理人填写并签署的，名为“投标函”的函件。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1.1.1.5 投标函附录：指由监理人填写并签署的、附在投标函后，名为“投标函附录”的函件。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1.1.1.6 委托人要求：指合同文件中名为“委托人要求”的文件。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1.1.1.7 监理大纲：指监理人在投标文件中的监理大纲。</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1.1.1.8 监理报酬清单：指监理人投标文件中的监理报酬清单。</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1.1.1.9 其他合同文件：指经合同双方当事人确认构成合同文件的其他文件。</w:t>
      </w:r>
    </w:p>
    <w:p>
      <w:pPr>
        <w:pStyle w:val="44"/>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  合同当事人和人员</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1.1.2.1 合同当事人：指委托人和（或）监理人。</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1.1.2.2 委托人：指与监理人签订合同协议书的当事人，及其合法继承人。</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1.1.2.3 监理人：指与委托人签订合同协议书的当事人，及其合法继承人。</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1.1.2.4 委托人代表：指由委托人任命，并在授权范围和期限内代表委托人行使权利和履行 义务的全权负责人。</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1.1.2.5 总监理工程师：指由监理人任命，代表监理人行使权利和履行义务的全权负责人。</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1.1.2.6 承包人：指在本工程监理范围内，与委托人签订勘察、设计、施工承包合同的当事 人。</w:t>
      </w:r>
    </w:p>
    <w:p>
      <w:pPr>
        <w:pStyle w:val="44"/>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  工程和监理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1.1.3.1</w:t>
      </w:r>
      <w:r>
        <w:rPr>
          <w:rFonts w:hint="eastAsia" w:asciiTheme="minorEastAsia" w:hAnsiTheme="minorEastAsia" w:eastAsiaTheme="minorEastAsia" w:cstheme="minorEastAsia"/>
          <w:color w:val="auto"/>
          <w:spacing w:val="50"/>
          <w:sz w:val="21"/>
          <w:szCs w:val="21"/>
          <w:highlight w:val="none"/>
        </w:rPr>
        <w:t xml:space="preserve"> </w:t>
      </w:r>
      <w:r>
        <w:rPr>
          <w:rFonts w:hint="eastAsia" w:asciiTheme="minorEastAsia" w:hAnsiTheme="minorEastAsia" w:eastAsiaTheme="minorEastAsia" w:cstheme="minorEastAsia"/>
          <w:color w:val="auto"/>
          <w:sz w:val="21"/>
          <w:szCs w:val="21"/>
          <w:highlight w:val="none"/>
        </w:rPr>
        <w:t>工程：指永久工程和（或）临时工程。</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1.1.3.2  监理服务：指监理人接受委托人的委托，依照法律、规范标准和监理合同等，对建设工程勘察、设计或施工等阶段进行质量控制、进度控制、投资控制、合同管理、信息管理、 组织协调和安全监理、环保监理的服务活动。</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1.1.3.3 监理资料：是委托人按合同约定向监理人提供的，用于完成监理范围与内容所需要 的资料。</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1.1.3.4 监理文件：指监理人按合同约定向委托人提交的监理大纲、监理规划、监理实施细则、监理日志、监理报告、工程质量评估报告、事故处理文件、监理工作总结和其他文件等， 包括阶段性文件和最终文件，且应当采用合同中双方约定的格式和载体。</w:t>
      </w:r>
    </w:p>
    <w:p>
      <w:pPr>
        <w:pStyle w:val="44"/>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1.1.4  日期</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1.1.4.1 开始监理通知：指委托人按第 6.1 款通知监理人开始监理的函件。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1.1.4.2 开始监理日期：指委托人按第 6.1 款发出的开始监理通知中写明的开始监理日期。</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1.1.4.3  监理服务期限：指监理人在投标函中承诺的完成合同监理服务所需的期限，包括按第</w:t>
      </w:r>
      <w:r>
        <w:rPr>
          <w:rFonts w:hint="eastAsia" w:asciiTheme="minorEastAsia" w:hAnsiTheme="minorEastAsia" w:eastAsiaTheme="minorEastAsia" w:cstheme="minorEastAsia"/>
          <w:color w:val="auto"/>
          <w:spacing w:val="-53"/>
          <w:sz w:val="21"/>
          <w:szCs w:val="21"/>
          <w:highlight w:val="none"/>
        </w:rPr>
        <w:t xml:space="preserve"> </w:t>
      </w:r>
      <w:r>
        <w:rPr>
          <w:rFonts w:hint="eastAsia" w:asciiTheme="minorEastAsia" w:hAnsiTheme="minorEastAsia" w:eastAsiaTheme="minorEastAsia" w:cstheme="minorEastAsia"/>
          <w:color w:val="auto"/>
          <w:sz w:val="21"/>
          <w:szCs w:val="21"/>
          <w:highlight w:val="none"/>
        </w:rPr>
        <w:t>6.2 款和第</w:t>
      </w:r>
      <w:r>
        <w:rPr>
          <w:rFonts w:hint="eastAsia" w:asciiTheme="minorEastAsia" w:hAnsiTheme="minorEastAsia" w:eastAsiaTheme="minorEastAsia" w:cstheme="minorEastAsia"/>
          <w:color w:val="auto"/>
          <w:spacing w:val="-53"/>
          <w:sz w:val="21"/>
          <w:szCs w:val="21"/>
          <w:highlight w:val="none"/>
        </w:rPr>
        <w:t xml:space="preserve"> </w:t>
      </w:r>
      <w:r>
        <w:rPr>
          <w:rFonts w:hint="eastAsia" w:asciiTheme="minorEastAsia" w:hAnsiTheme="minorEastAsia" w:eastAsiaTheme="minorEastAsia" w:cstheme="minorEastAsia"/>
          <w:color w:val="auto"/>
          <w:sz w:val="21"/>
          <w:szCs w:val="21"/>
          <w:highlight w:val="none"/>
        </w:rPr>
        <w:t>6.3.2 项约定所作的调整。</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1.1.4.4 完成监理日期：指第 1.1.4.3 目约定监理服务期限届满时的日期。</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1.1.4.5 基准日：指投标截止时间前 28 天的日期。</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1.1.4.6 天：除特别指明外，指日历天。合同中按天计算时间的，开始当天不计入，从次日 开始计算。期限最后一天的截止时间为当天</w:t>
      </w:r>
      <w:r>
        <w:rPr>
          <w:rFonts w:hint="eastAsia" w:asciiTheme="minorEastAsia" w:hAnsiTheme="minorEastAsia" w:eastAsiaTheme="minorEastAsia" w:cstheme="minorEastAsia"/>
          <w:color w:val="auto"/>
          <w:spacing w:val="-57"/>
          <w:sz w:val="21"/>
          <w:szCs w:val="21"/>
          <w:highlight w:val="none"/>
        </w:rPr>
        <w:t xml:space="preserve"> </w:t>
      </w:r>
      <w:r>
        <w:rPr>
          <w:rFonts w:hint="eastAsia" w:asciiTheme="minorEastAsia" w:hAnsiTheme="minorEastAsia" w:eastAsiaTheme="minorEastAsia" w:cstheme="minorEastAsia"/>
          <w:color w:val="auto"/>
          <w:sz w:val="21"/>
          <w:szCs w:val="21"/>
          <w:highlight w:val="none"/>
        </w:rPr>
        <w:t>24:00。</w:t>
      </w:r>
    </w:p>
    <w:p>
      <w:pPr>
        <w:pStyle w:val="44"/>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1.1.5  合同价格和费用</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1.1.5.1 签约合同价：指签订合同时合同协议书中写明的监理报酬总金额。</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1.1.5.2 合同价格：指监理人按合同约定完成了全部监理工作后，委托人应付给监理人的金额，包括在履行合同过程中按合同约定进行的变更和调整。</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1.1.5.3 费用：指为履行合同所发生的或将要发生的所有合理开支，包括管理费和应分摊的其他费用，但不包括利润。</w:t>
      </w:r>
    </w:p>
    <w:p>
      <w:pPr>
        <w:pStyle w:val="44"/>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1.1.6  其他</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1.1.6.1 书面形式：指合同文件、信件和数据电文（包括电报、电传、传真、电子数据交换 和电子邮件）等可以有形地表现所载内容的形式。</w:t>
      </w:r>
    </w:p>
    <w:p>
      <w:pPr>
        <w:pStyle w:val="41"/>
        <w:rPr>
          <w:rFonts w:hint="eastAsia" w:asciiTheme="minorEastAsia" w:hAnsiTheme="minorEastAsia" w:eastAsiaTheme="minorEastAsia" w:cstheme="minorEastAsia"/>
          <w:color w:val="auto"/>
          <w:sz w:val="21"/>
          <w:szCs w:val="21"/>
          <w:highlight w:val="none"/>
        </w:rPr>
      </w:pPr>
      <w:bookmarkStart w:id="196" w:name="_bookmark97"/>
      <w:bookmarkEnd w:id="196"/>
      <w:r>
        <w:rPr>
          <w:rFonts w:hint="eastAsia" w:asciiTheme="minorEastAsia" w:hAnsiTheme="minorEastAsia" w:eastAsiaTheme="minorEastAsia" w:cstheme="minorEastAsia"/>
          <w:color w:val="auto"/>
          <w:sz w:val="21"/>
          <w:szCs w:val="21"/>
          <w:highlight w:val="none"/>
        </w:rPr>
        <w:t>1.2  语言文字</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合同使用的语言文字为中文。专用术语使用外文的，应附有中文注释。</w:t>
      </w:r>
    </w:p>
    <w:p>
      <w:pPr>
        <w:pStyle w:val="41"/>
        <w:rPr>
          <w:rFonts w:hint="eastAsia" w:asciiTheme="minorEastAsia" w:hAnsiTheme="minorEastAsia" w:eastAsiaTheme="minorEastAsia" w:cstheme="minorEastAsia"/>
          <w:color w:val="auto"/>
          <w:sz w:val="21"/>
          <w:szCs w:val="21"/>
          <w:highlight w:val="none"/>
        </w:rPr>
      </w:pPr>
      <w:bookmarkStart w:id="197" w:name="_bookmark98"/>
      <w:bookmarkEnd w:id="197"/>
      <w:r>
        <w:rPr>
          <w:rFonts w:hint="eastAsia" w:asciiTheme="minorEastAsia" w:hAnsiTheme="minorEastAsia" w:eastAsiaTheme="minorEastAsia" w:cstheme="minorEastAsia"/>
          <w:color w:val="auto"/>
          <w:sz w:val="21"/>
          <w:szCs w:val="21"/>
          <w:highlight w:val="none"/>
        </w:rPr>
        <w:t>1.3  适用法律</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适用于合同的法律包括中华人民共和国法律、行政法规、部门规章，以及工程所在地的地方法规、自治条例、单行条例和地方政府规章。 本合同适用的其他规范性文件，可在专用合同条款中约定。</w:t>
      </w:r>
    </w:p>
    <w:p>
      <w:pPr>
        <w:pStyle w:val="41"/>
        <w:rPr>
          <w:rFonts w:hint="eastAsia" w:asciiTheme="minorEastAsia" w:hAnsiTheme="minorEastAsia" w:eastAsiaTheme="minorEastAsia" w:cstheme="minorEastAsia"/>
          <w:color w:val="auto"/>
          <w:sz w:val="21"/>
          <w:szCs w:val="21"/>
          <w:highlight w:val="none"/>
        </w:rPr>
      </w:pPr>
      <w:bookmarkStart w:id="198" w:name="_bookmark99"/>
      <w:bookmarkEnd w:id="198"/>
      <w:r>
        <w:rPr>
          <w:rFonts w:hint="eastAsia" w:asciiTheme="minorEastAsia" w:hAnsiTheme="minorEastAsia" w:eastAsiaTheme="minorEastAsia" w:cstheme="minorEastAsia"/>
          <w:color w:val="auto"/>
          <w:sz w:val="21"/>
          <w:szCs w:val="21"/>
          <w:highlight w:val="none"/>
        </w:rPr>
        <w:t>1.4</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合同文件的优先顺序</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组成合同的各项文件应互相解释，互为说明。除专用合同条款另有约定外，解释合同文件的优先顺序如下：</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（1）合同协议书；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（2）中标通知书；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（3）投标函及投标函附录；</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（4）专用合同条款；</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（5）通用合同条款；</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（6）委托人要求；</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（7）监理报酬清单；</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（8）监理大纲；</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（9）其他合同文件。</w:t>
      </w:r>
    </w:p>
    <w:p>
      <w:pPr>
        <w:pStyle w:val="41"/>
        <w:rPr>
          <w:rFonts w:hint="eastAsia" w:asciiTheme="minorEastAsia" w:hAnsiTheme="minorEastAsia" w:eastAsiaTheme="minorEastAsia" w:cstheme="minorEastAsia"/>
          <w:color w:val="auto"/>
          <w:sz w:val="21"/>
          <w:szCs w:val="21"/>
          <w:highlight w:val="none"/>
        </w:rPr>
      </w:pPr>
      <w:bookmarkStart w:id="199" w:name="_bookmark100"/>
      <w:bookmarkEnd w:id="199"/>
      <w:r>
        <w:rPr>
          <w:rFonts w:hint="eastAsia" w:asciiTheme="minorEastAsia" w:hAnsiTheme="minorEastAsia" w:eastAsiaTheme="minorEastAsia" w:cstheme="minorEastAsia"/>
          <w:color w:val="auto"/>
          <w:sz w:val="21"/>
          <w:szCs w:val="21"/>
          <w:highlight w:val="none"/>
        </w:rPr>
        <w:t>1.5  合同协议书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监理人按中标通知书规定的时间与委托人签订合同协议书。除法律另有规定或合同另有约定外，委托人和监理人的法定代表人或其委托代理人在合同协议书上签字并盖单位章后，合同生效。</w:t>
      </w:r>
    </w:p>
    <w:p>
      <w:pPr>
        <w:pStyle w:val="41"/>
        <w:rPr>
          <w:rFonts w:hint="eastAsia" w:asciiTheme="minorEastAsia" w:hAnsiTheme="minorEastAsia" w:eastAsiaTheme="minorEastAsia" w:cstheme="minorEastAsia"/>
          <w:color w:val="auto"/>
          <w:sz w:val="21"/>
          <w:szCs w:val="21"/>
          <w:highlight w:val="none"/>
        </w:rPr>
      </w:pPr>
      <w:bookmarkStart w:id="200" w:name="_bookmark101"/>
      <w:bookmarkEnd w:id="200"/>
      <w:r>
        <w:rPr>
          <w:rFonts w:hint="eastAsia" w:asciiTheme="minorEastAsia" w:hAnsiTheme="minorEastAsia" w:eastAsiaTheme="minorEastAsia" w:cstheme="minorEastAsia"/>
          <w:color w:val="auto"/>
          <w:sz w:val="21"/>
          <w:szCs w:val="21"/>
          <w:highlight w:val="none"/>
        </w:rPr>
        <w:t>1.6</w:t>
      </w:r>
      <w:r>
        <w:rPr>
          <w:rFonts w:hint="eastAsia" w:asciiTheme="minorEastAsia" w:hAnsiTheme="minorEastAsia" w:eastAsiaTheme="minorEastAsia" w:cstheme="minorEastAsia"/>
          <w:color w:val="auto"/>
          <w:spacing w:val="68"/>
          <w:sz w:val="21"/>
          <w:szCs w:val="21"/>
          <w:highlight w:val="none"/>
        </w:rPr>
        <w:t xml:space="preserve"> </w:t>
      </w:r>
      <w:r>
        <w:rPr>
          <w:rFonts w:hint="eastAsia" w:asciiTheme="minorEastAsia" w:hAnsiTheme="minorEastAsia" w:eastAsiaTheme="minorEastAsia" w:cstheme="minorEastAsia"/>
          <w:color w:val="auto"/>
          <w:sz w:val="21"/>
          <w:szCs w:val="21"/>
          <w:highlight w:val="none"/>
        </w:rPr>
        <w:t>文件的提供和照管</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1.6.1 监理文件的提供 </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除专用合同条款另有约定外，监理人应在合理的期限内按照合同约定的数量向委托人提供监理文件。合同约定监理文件应经委托人批复的，委托人应当在合同约定的期限内批复或提出 修改意见。</w:t>
      </w:r>
    </w:p>
    <w:p>
      <w:pPr>
        <w:pStyle w:val="44"/>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1.6.2  委托人提供的文件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按专用合同条款约定由委托人提供的文件，包括规范标准、承包合同、勘察文件、设计文件等，委托人应按约定的数量和期限交给监理人。由于委托人未按时提供文件造成监理服务期 限延误的，按第</w:t>
      </w:r>
      <w:r>
        <w:rPr>
          <w:rFonts w:hint="eastAsia" w:asciiTheme="minorEastAsia" w:hAnsiTheme="minorEastAsia" w:eastAsiaTheme="minorEastAsia" w:cstheme="minorEastAsia"/>
          <w:color w:val="auto"/>
          <w:spacing w:val="-54"/>
          <w:sz w:val="21"/>
          <w:szCs w:val="21"/>
          <w:highlight w:val="none"/>
        </w:rPr>
        <w:t xml:space="preserve"> </w:t>
      </w:r>
      <w:r>
        <w:rPr>
          <w:rFonts w:hint="eastAsia" w:asciiTheme="minorEastAsia" w:hAnsiTheme="minorEastAsia" w:eastAsiaTheme="minorEastAsia" w:cstheme="minorEastAsia"/>
          <w:color w:val="auto"/>
          <w:sz w:val="21"/>
          <w:szCs w:val="21"/>
          <w:highlight w:val="none"/>
        </w:rPr>
        <w:t>6.2 款约定执行。</w:t>
      </w:r>
    </w:p>
    <w:p>
      <w:pPr>
        <w:pStyle w:val="44"/>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1.6.3  文件错误的通知</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任何一方当事人发现文件中存在的明显错误或疏忽，均应及时通知对方当事人，并应立即 采取适当的措施防止损失扩大。</w:t>
      </w:r>
    </w:p>
    <w:p>
      <w:pPr>
        <w:pStyle w:val="44"/>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1.6.4  文件的照管</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监理人应在现场保留一份合同文件、监理文件、委托人要求中的所列文件、以及其他根据 合同收发的往来信函，以备委托人和行政管理部门查阅使用。</w:t>
      </w:r>
    </w:p>
    <w:p>
      <w:pPr>
        <w:pStyle w:val="41"/>
        <w:ind w:left="0" w:leftChars="0" w:firstLine="422" w:firstLineChars="200"/>
        <w:rPr>
          <w:rFonts w:hint="eastAsia" w:asciiTheme="minorEastAsia" w:hAnsiTheme="minorEastAsia" w:eastAsiaTheme="minorEastAsia" w:cstheme="minorEastAsia"/>
          <w:b/>
          <w:bCs/>
          <w:color w:val="auto"/>
          <w:sz w:val="21"/>
          <w:szCs w:val="21"/>
          <w:highlight w:val="none"/>
        </w:rPr>
      </w:pPr>
      <w:bookmarkStart w:id="201" w:name="_bookmark102"/>
      <w:bookmarkEnd w:id="201"/>
      <w:r>
        <w:rPr>
          <w:rFonts w:hint="eastAsia" w:asciiTheme="minorEastAsia" w:hAnsiTheme="minorEastAsia" w:eastAsiaTheme="minorEastAsia" w:cstheme="minorEastAsia"/>
          <w:b/>
          <w:bCs/>
          <w:color w:val="auto"/>
          <w:sz w:val="21"/>
          <w:szCs w:val="21"/>
          <w:highlight w:val="none"/>
        </w:rPr>
        <w:t>1.7</w:t>
      </w:r>
      <w:r>
        <w:rPr>
          <w:rFonts w:hint="eastAsia" w:asciiTheme="minorEastAsia" w:hAnsiTheme="minorEastAsia" w:eastAsiaTheme="minorEastAsia" w:cstheme="minorEastAsia"/>
          <w:b/>
          <w:bCs/>
          <w:color w:val="auto"/>
          <w:spacing w:val="69"/>
          <w:sz w:val="21"/>
          <w:szCs w:val="21"/>
          <w:highlight w:val="none"/>
        </w:rPr>
        <w:t xml:space="preserve"> </w:t>
      </w:r>
      <w:r>
        <w:rPr>
          <w:rFonts w:hint="eastAsia" w:asciiTheme="minorEastAsia" w:hAnsiTheme="minorEastAsia" w:eastAsiaTheme="minorEastAsia" w:cstheme="minorEastAsia"/>
          <w:b/>
          <w:bCs/>
          <w:color w:val="auto"/>
          <w:sz w:val="21"/>
          <w:szCs w:val="21"/>
          <w:highlight w:val="none"/>
        </w:rPr>
        <w:t>联络</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1.7.1 与合同有关的通知、批准、证明、证书、指示、要求、请求、同意、意见、确定和决 定等，均应采用书面形式。</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1.7.2 上述通知、批准、证明、证书、指示、要求、请求、同意、意见、确定和决定等来往 函件，均应在合同约定的期限内送达指定的地点和指定的接收人，并办理签收手续。</w:t>
      </w:r>
    </w:p>
    <w:p>
      <w:pPr>
        <w:pStyle w:val="41"/>
        <w:ind w:left="0" w:leftChars="0" w:firstLine="422" w:firstLineChars="200"/>
        <w:rPr>
          <w:rFonts w:hint="eastAsia" w:asciiTheme="minorEastAsia" w:hAnsiTheme="minorEastAsia" w:eastAsiaTheme="minorEastAsia" w:cstheme="minorEastAsia"/>
          <w:b/>
          <w:bCs/>
          <w:color w:val="auto"/>
          <w:sz w:val="21"/>
          <w:szCs w:val="21"/>
          <w:highlight w:val="none"/>
        </w:rPr>
      </w:pPr>
      <w:bookmarkStart w:id="202" w:name="_bookmark103"/>
      <w:bookmarkEnd w:id="202"/>
      <w:r>
        <w:rPr>
          <w:rFonts w:hint="eastAsia" w:asciiTheme="minorEastAsia" w:hAnsiTheme="minorEastAsia" w:eastAsiaTheme="minorEastAsia" w:cstheme="minorEastAsia"/>
          <w:b/>
          <w:bCs/>
          <w:color w:val="auto"/>
          <w:sz w:val="21"/>
          <w:szCs w:val="21"/>
          <w:highlight w:val="none"/>
        </w:rPr>
        <w:t>1.8</w:t>
      </w:r>
      <w:r>
        <w:rPr>
          <w:rFonts w:hint="eastAsia" w:asciiTheme="minorEastAsia" w:hAnsiTheme="minorEastAsia" w:eastAsiaTheme="minorEastAsia" w:cstheme="minorEastAsia"/>
          <w:b/>
          <w:bCs/>
          <w:color w:val="auto"/>
          <w:spacing w:val="69"/>
          <w:sz w:val="21"/>
          <w:szCs w:val="21"/>
          <w:highlight w:val="none"/>
        </w:rPr>
        <w:t xml:space="preserve"> </w:t>
      </w:r>
      <w:r>
        <w:rPr>
          <w:rFonts w:hint="eastAsia" w:asciiTheme="minorEastAsia" w:hAnsiTheme="minorEastAsia" w:eastAsiaTheme="minorEastAsia" w:cstheme="minorEastAsia"/>
          <w:b/>
          <w:bCs/>
          <w:color w:val="auto"/>
          <w:sz w:val="21"/>
          <w:szCs w:val="21"/>
          <w:highlight w:val="none"/>
        </w:rPr>
        <w:t>转让</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除专用合同条款另有约定外，未经对方当事人同意，一方当事人不得将合同权利全部或部 分转让给第三人，也不得全部或部分转移合同义务。</w:t>
      </w:r>
    </w:p>
    <w:p>
      <w:pPr>
        <w:pStyle w:val="41"/>
        <w:ind w:left="0" w:leftChars="0" w:firstLine="422" w:firstLineChars="200"/>
        <w:rPr>
          <w:rFonts w:hint="eastAsia" w:asciiTheme="minorEastAsia" w:hAnsiTheme="minorEastAsia" w:eastAsiaTheme="minorEastAsia" w:cstheme="minorEastAsia"/>
          <w:b/>
          <w:bCs/>
          <w:color w:val="auto"/>
          <w:sz w:val="21"/>
          <w:szCs w:val="21"/>
          <w:highlight w:val="none"/>
        </w:rPr>
      </w:pPr>
      <w:bookmarkStart w:id="203" w:name="_bookmark104"/>
      <w:bookmarkEnd w:id="203"/>
      <w:r>
        <w:rPr>
          <w:rFonts w:hint="eastAsia" w:asciiTheme="minorEastAsia" w:hAnsiTheme="minorEastAsia" w:eastAsiaTheme="minorEastAsia" w:cstheme="minorEastAsia"/>
          <w:b/>
          <w:bCs/>
          <w:color w:val="auto"/>
          <w:sz w:val="21"/>
          <w:szCs w:val="21"/>
          <w:highlight w:val="none"/>
        </w:rPr>
        <w:t>1.9  严禁贿赂</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合同双方当事人不得以贿赂或变相贿赂的方式，谋取不当利益或损害对方权益。因贿赂造 成对方当事人损失的，行为人应当赔偿损失，并承担相应的法律责任。</w:t>
      </w:r>
    </w:p>
    <w:p>
      <w:pPr>
        <w:pStyle w:val="41"/>
        <w:ind w:left="0" w:leftChars="0" w:firstLine="422" w:firstLineChars="200"/>
        <w:rPr>
          <w:rFonts w:hint="eastAsia" w:asciiTheme="minorEastAsia" w:hAnsiTheme="minorEastAsia" w:eastAsiaTheme="minorEastAsia" w:cstheme="minorEastAsia"/>
          <w:b/>
          <w:bCs/>
          <w:color w:val="auto"/>
          <w:sz w:val="21"/>
          <w:szCs w:val="21"/>
          <w:highlight w:val="none"/>
        </w:rPr>
      </w:pPr>
      <w:bookmarkStart w:id="204" w:name="_bookmark105"/>
      <w:bookmarkEnd w:id="204"/>
      <w:r>
        <w:rPr>
          <w:rFonts w:hint="eastAsia" w:asciiTheme="minorEastAsia" w:hAnsiTheme="minorEastAsia" w:eastAsiaTheme="minorEastAsia" w:cstheme="minorEastAsia"/>
          <w:b/>
          <w:bCs/>
          <w:color w:val="auto"/>
          <w:sz w:val="21"/>
          <w:szCs w:val="21"/>
          <w:highlight w:val="none"/>
        </w:rPr>
        <w:t>1.10  知识产权</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1.10.1 除专用合同条款另有约定外，监理人完成的监理工作成果，除署名权以外的著作权 和其他知识产权均归委托人享有。</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1.10.2 监理人从事监理活动时不得侵犯他人的知识产权。因侵犯专利权或其他知识产权所 引起的责任，由监理人自行承担。因委托人提供的监理资料导致侵权的，由委托人承担责任。</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1.10.3 监理人在投标文件中采用专利技术、专有技术的，相应的使用费视为已包含在投标报价之中。</w:t>
      </w:r>
    </w:p>
    <w:p>
      <w:pPr>
        <w:pStyle w:val="41"/>
        <w:ind w:left="0" w:leftChars="0" w:firstLine="422" w:firstLineChars="200"/>
        <w:rPr>
          <w:rFonts w:hint="eastAsia" w:asciiTheme="minorEastAsia" w:hAnsiTheme="minorEastAsia" w:eastAsiaTheme="minorEastAsia" w:cstheme="minorEastAsia"/>
          <w:b/>
          <w:bCs/>
          <w:color w:val="auto"/>
          <w:sz w:val="21"/>
          <w:szCs w:val="21"/>
          <w:highlight w:val="none"/>
        </w:rPr>
      </w:pPr>
      <w:bookmarkStart w:id="205" w:name="_bookmark106"/>
      <w:bookmarkEnd w:id="205"/>
      <w:r>
        <w:rPr>
          <w:rFonts w:hint="eastAsia" w:asciiTheme="minorEastAsia" w:hAnsiTheme="minorEastAsia" w:eastAsiaTheme="minorEastAsia" w:cstheme="minorEastAsia"/>
          <w:b/>
          <w:bCs/>
          <w:color w:val="auto"/>
          <w:sz w:val="21"/>
          <w:szCs w:val="21"/>
          <w:highlight w:val="none"/>
        </w:rPr>
        <w:t>1.11  文件及信息的保密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未经对方同意，任何一方当事人不得将有关文件、技术秘密、需要保密的资料和信息泄露 给他人或公开发表与引用。</w:t>
      </w:r>
    </w:p>
    <w:p>
      <w:pPr>
        <w:pStyle w:val="41"/>
        <w:ind w:left="0" w:leftChars="0" w:firstLine="422" w:firstLineChars="200"/>
        <w:rPr>
          <w:rFonts w:hint="eastAsia" w:asciiTheme="minorEastAsia" w:hAnsiTheme="minorEastAsia" w:eastAsiaTheme="minorEastAsia" w:cstheme="minorEastAsia"/>
          <w:b/>
          <w:bCs/>
          <w:color w:val="auto"/>
          <w:sz w:val="21"/>
          <w:szCs w:val="21"/>
          <w:highlight w:val="none"/>
        </w:rPr>
      </w:pPr>
      <w:bookmarkStart w:id="206" w:name="_bookmark107"/>
      <w:bookmarkEnd w:id="206"/>
      <w:r>
        <w:rPr>
          <w:rFonts w:hint="eastAsia" w:asciiTheme="minorEastAsia" w:hAnsiTheme="minorEastAsia" w:eastAsiaTheme="minorEastAsia" w:cstheme="minorEastAsia"/>
          <w:b/>
          <w:bCs/>
          <w:color w:val="auto"/>
          <w:sz w:val="21"/>
          <w:szCs w:val="21"/>
          <w:highlight w:val="none"/>
        </w:rPr>
        <w:t>1.12  委托人要求</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1.12.1  监理人应认真阅读、复核委托人要求，发现错误的，应及时书面通知委托人。无论是否存在错误，委托人均有权修改委托人要求，并在修改后 3 日内通知监理人。除专用合同条款另有约定外，由此导致监理人费用增加和(或)周期延误的，委托人应当相应地增加费用和(或) 延长周期。</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1.12.2 如果委托人要求违反法律规定，监理人应在发现后及时书面通知委托人，要求其改 正。委托人收到通知书后不予改正或不予答复的，监理人有权拒绝履行合同义务，直至解除合 同；由此引起的监理人的全部损失由委托人承担。</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1.12.3 委托人要求采用国外规范和标准进行监理时，应由委托人负责提供该规范和标准的 外国文本和中文译本，提供的时间、份数和其他要求在专用合同条款中约定。</w:t>
      </w:r>
    </w:p>
    <w:p>
      <w:pPr>
        <w:rPr>
          <w:rFonts w:hint="eastAsia" w:asciiTheme="minorEastAsia" w:hAnsiTheme="minorEastAsia" w:eastAsiaTheme="minorEastAsia" w:cstheme="minorEastAsia"/>
          <w:b/>
          <w:bCs/>
          <w:color w:val="auto"/>
          <w:sz w:val="21"/>
          <w:szCs w:val="21"/>
          <w:highlight w:val="none"/>
        </w:rPr>
      </w:pPr>
      <w:bookmarkStart w:id="207" w:name="_bookmark108"/>
      <w:bookmarkEnd w:id="207"/>
      <w:r>
        <w:rPr>
          <w:rFonts w:hint="eastAsia" w:asciiTheme="minorEastAsia" w:hAnsiTheme="minorEastAsia" w:eastAsiaTheme="minorEastAsia" w:cstheme="minorEastAsia"/>
          <w:b/>
          <w:bCs/>
          <w:color w:val="auto"/>
          <w:sz w:val="21"/>
          <w:szCs w:val="21"/>
          <w:highlight w:val="none"/>
        </w:rPr>
        <w:t>2. 委托人义务</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08" w:name="_bookmark109"/>
      <w:bookmarkEnd w:id="208"/>
      <w:r>
        <w:rPr>
          <w:rFonts w:hint="eastAsia" w:asciiTheme="minorEastAsia" w:hAnsiTheme="minorEastAsia" w:eastAsiaTheme="minorEastAsia" w:cstheme="minorEastAsia"/>
          <w:color w:val="auto"/>
          <w:sz w:val="21"/>
          <w:szCs w:val="21"/>
          <w:highlight w:val="none"/>
        </w:rPr>
        <w:t>2.1  遵守法律</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委托人在履行合同过程中应遵守法律，并保证监理人免于承担因委托人违反法律而引起的 任何责任。</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09" w:name="_bookmark110"/>
      <w:bookmarkEnd w:id="209"/>
      <w:r>
        <w:rPr>
          <w:rFonts w:hint="eastAsia" w:asciiTheme="minorEastAsia" w:hAnsiTheme="minorEastAsia" w:eastAsiaTheme="minorEastAsia" w:cstheme="minorEastAsia"/>
          <w:color w:val="auto"/>
          <w:sz w:val="21"/>
          <w:szCs w:val="21"/>
          <w:highlight w:val="none"/>
        </w:rPr>
        <w:t>2.2</w:t>
      </w:r>
      <w:r>
        <w:rPr>
          <w:rFonts w:hint="eastAsia" w:asciiTheme="minorEastAsia" w:hAnsiTheme="minorEastAsia" w:eastAsiaTheme="minorEastAsia" w:cstheme="minorEastAsia"/>
          <w:color w:val="auto"/>
          <w:spacing w:val="68"/>
          <w:sz w:val="21"/>
          <w:szCs w:val="21"/>
          <w:highlight w:val="none"/>
        </w:rPr>
        <w:t xml:space="preserve"> </w:t>
      </w:r>
      <w:r>
        <w:rPr>
          <w:rFonts w:hint="eastAsia" w:asciiTheme="minorEastAsia" w:hAnsiTheme="minorEastAsia" w:eastAsiaTheme="minorEastAsia" w:cstheme="minorEastAsia"/>
          <w:color w:val="auto"/>
          <w:sz w:val="21"/>
          <w:szCs w:val="21"/>
          <w:highlight w:val="none"/>
        </w:rPr>
        <w:t>发出开始监理通知</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委托人应按第 6.1 款的约定向监理人发出开始监理通知。 除专用合同条款另有约定外，委托人应为监理人的现场人员，在施工期间提供办公房间、</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办公桌椅、互联网接口、冷暖设施、生活设施、进出现场交通服务和其他便利条件。</w:t>
      </w:r>
    </w:p>
    <w:p>
      <w:pPr>
        <w:pStyle w:val="41"/>
        <w:rPr>
          <w:rFonts w:hint="eastAsia" w:asciiTheme="minorEastAsia" w:hAnsiTheme="minorEastAsia" w:eastAsiaTheme="minorEastAsia" w:cstheme="minorEastAsia"/>
          <w:color w:val="auto"/>
          <w:sz w:val="21"/>
          <w:szCs w:val="21"/>
          <w:highlight w:val="none"/>
        </w:rPr>
      </w:pPr>
      <w:bookmarkStart w:id="210" w:name="_bookmark111"/>
      <w:bookmarkEnd w:id="210"/>
      <w:r>
        <w:rPr>
          <w:rFonts w:hint="eastAsia" w:asciiTheme="minorEastAsia" w:hAnsiTheme="minorEastAsia" w:eastAsiaTheme="minorEastAsia" w:cstheme="minorEastAsia"/>
          <w:color w:val="auto"/>
          <w:sz w:val="21"/>
          <w:szCs w:val="21"/>
          <w:highlight w:val="none"/>
        </w:rPr>
        <w:t>2.3  办理证件和批件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法律规定和（或）合同约定由委托人负责办理的工程建设项目必须履行的各类审批、核准 或备案手续，委托人应当按时办理，监理人应给予必要的协助。</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法律规定和（或）合同约定由监理人负责办理的监理所需的证件和批件，委托人应给予必要的协助。</w:t>
      </w:r>
    </w:p>
    <w:p>
      <w:pPr>
        <w:pStyle w:val="41"/>
        <w:rPr>
          <w:rFonts w:hint="eastAsia" w:asciiTheme="minorEastAsia" w:hAnsiTheme="minorEastAsia" w:eastAsiaTheme="minorEastAsia" w:cstheme="minorEastAsia"/>
          <w:color w:val="auto"/>
          <w:sz w:val="21"/>
          <w:szCs w:val="21"/>
          <w:highlight w:val="none"/>
        </w:rPr>
      </w:pPr>
      <w:bookmarkStart w:id="211" w:name="_bookmark112"/>
      <w:bookmarkEnd w:id="211"/>
      <w:r>
        <w:rPr>
          <w:rFonts w:hint="eastAsia" w:asciiTheme="minorEastAsia" w:hAnsiTheme="minorEastAsia" w:eastAsiaTheme="minorEastAsia" w:cstheme="minorEastAsia"/>
          <w:color w:val="auto"/>
          <w:sz w:val="21"/>
          <w:szCs w:val="21"/>
          <w:highlight w:val="none"/>
        </w:rPr>
        <w:t>2.4</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支付合同价款</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委托人应按合同约定向监理人及时支付合同价款。</w:t>
      </w:r>
    </w:p>
    <w:p>
      <w:pPr>
        <w:pStyle w:val="41"/>
        <w:rPr>
          <w:rFonts w:hint="eastAsia" w:asciiTheme="minorEastAsia" w:hAnsiTheme="minorEastAsia" w:eastAsiaTheme="minorEastAsia" w:cstheme="minorEastAsia"/>
          <w:color w:val="auto"/>
          <w:sz w:val="21"/>
          <w:szCs w:val="21"/>
          <w:highlight w:val="none"/>
        </w:rPr>
      </w:pPr>
      <w:bookmarkStart w:id="212" w:name="_bookmark113"/>
      <w:bookmarkEnd w:id="212"/>
      <w:r>
        <w:rPr>
          <w:rFonts w:hint="eastAsia" w:asciiTheme="minorEastAsia" w:hAnsiTheme="minorEastAsia" w:eastAsiaTheme="minorEastAsia" w:cstheme="minorEastAsia"/>
          <w:color w:val="auto"/>
          <w:sz w:val="21"/>
          <w:szCs w:val="21"/>
          <w:highlight w:val="none"/>
        </w:rPr>
        <w:t>2.5</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提供监理资料</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委托人应按第</w:t>
      </w:r>
      <w:r>
        <w:rPr>
          <w:rFonts w:hint="eastAsia" w:asciiTheme="minorEastAsia" w:hAnsiTheme="minorEastAsia" w:eastAsiaTheme="minorEastAsia" w:cstheme="minorEastAsia"/>
          <w:color w:val="auto"/>
          <w:spacing w:val="-59"/>
          <w:sz w:val="21"/>
          <w:szCs w:val="21"/>
          <w:highlight w:val="none"/>
        </w:rPr>
        <w:t xml:space="preserve"> </w:t>
      </w:r>
      <w:r>
        <w:rPr>
          <w:rFonts w:hint="eastAsia" w:asciiTheme="minorEastAsia" w:hAnsiTheme="minorEastAsia" w:eastAsiaTheme="minorEastAsia" w:cstheme="minorEastAsia"/>
          <w:color w:val="auto"/>
          <w:sz w:val="21"/>
          <w:szCs w:val="21"/>
          <w:highlight w:val="none"/>
        </w:rPr>
        <w:t>1.6.2 项的约定向监理人提供监理资料。</w:t>
      </w:r>
    </w:p>
    <w:p>
      <w:pPr>
        <w:pStyle w:val="41"/>
        <w:rPr>
          <w:rFonts w:hint="eastAsia" w:asciiTheme="minorEastAsia" w:hAnsiTheme="minorEastAsia" w:eastAsiaTheme="minorEastAsia" w:cstheme="minorEastAsia"/>
          <w:color w:val="auto"/>
          <w:sz w:val="21"/>
          <w:szCs w:val="21"/>
          <w:highlight w:val="none"/>
        </w:rPr>
      </w:pPr>
      <w:bookmarkStart w:id="213" w:name="_bookmark114"/>
      <w:bookmarkEnd w:id="213"/>
      <w:r>
        <w:rPr>
          <w:rFonts w:hint="eastAsia" w:asciiTheme="minorEastAsia" w:hAnsiTheme="minorEastAsia" w:eastAsiaTheme="minorEastAsia" w:cstheme="minorEastAsia"/>
          <w:color w:val="auto"/>
          <w:sz w:val="21"/>
          <w:szCs w:val="21"/>
          <w:highlight w:val="none"/>
        </w:rPr>
        <w:t>2.6  其他义务</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委托人应履行合同约定的其他义务。</w:t>
      </w:r>
    </w:p>
    <w:p>
      <w:pPr>
        <w:rPr>
          <w:rFonts w:hint="eastAsia" w:asciiTheme="minorEastAsia" w:hAnsiTheme="minorEastAsia" w:eastAsiaTheme="minorEastAsia" w:cstheme="minorEastAsia"/>
          <w:color w:val="auto"/>
          <w:sz w:val="21"/>
          <w:szCs w:val="21"/>
          <w:highlight w:val="none"/>
        </w:rPr>
      </w:pPr>
      <w:bookmarkStart w:id="214" w:name="_bookmark115"/>
      <w:bookmarkEnd w:id="214"/>
      <w:r>
        <w:rPr>
          <w:rFonts w:hint="eastAsia" w:asciiTheme="minorEastAsia" w:hAnsiTheme="minorEastAsia" w:eastAsiaTheme="minorEastAsia" w:cstheme="minorEastAsia"/>
          <w:color w:val="auto"/>
          <w:sz w:val="21"/>
          <w:szCs w:val="21"/>
          <w:highlight w:val="none"/>
        </w:rPr>
        <w:t>3.  委托人管理</w:t>
      </w:r>
    </w:p>
    <w:p>
      <w:pPr>
        <w:pStyle w:val="41"/>
        <w:rPr>
          <w:rFonts w:hint="eastAsia" w:asciiTheme="minorEastAsia" w:hAnsiTheme="minorEastAsia" w:eastAsiaTheme="minorEastAsia" w:cstheme="minorEastAsia"/>
          <w:color w:val="auto"/>
          <w:sz w:val="21"/>
          <w:szCs w:val="21"/>
          <w:highlight w:val="none"/>
        </w:rPr>
      </w:pPr>
      <w:bookmarkStart w:id="215" w:name="_bookmark116"/>
      <w:bookmarkEnd w:id="215"/>
      <w:r>
        <w:rPr>
          <w:rFonts w:hint="eastAsia" w:asciiTheme="minorEastAsia" w:hAnsiTheme="minorEastAsia" w:eastAsiaTheme="minorEastAsia" w:cstheme="minorEastAsia"/>
          <w:color w:val="auto"/>
          <w:sz w:val="21"/>
          <w:szCs w:val="21"/>
          <w:highlight w:val="none"/>
        </w:rPr>
        <w:t>3.1  委托人代表</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3.1.1 </w:t>
      </w:r>
      <w:r>
        <w:rPr>
          <w:rFonts w:hint="eastAsia" w:asciiTheme="minorEastAsia" w:hAnsiTheme="minorEastAsia" w:eastAsiaTheme="minorEastAsia" w:cstheme="minorEastAsia"/>
          <w:color w:val="auto"/>
          <w:spacing w:val="-5"/>
          <w:sz w:val="21"/>
          <w:szCs w:val="21"/>
          <w:highlight w:val="none"/>
        </w:rPr>
        <w:t xml:space="preserve">除专用合同条款另有约定外，委托人应在合同签订后 </w:t>
      </w:r>
      <w:r>
        <w:rPr>
          <w:rFonts w:hint="eastAsia" w:asciiTheme="minorEastAsia" w:hAnsiTheme="minorEastAsia" w:eastAsiaTheme="minorEastAsia" w:cstheme="minorEastAsia"/>
          <w:color w:val="auto"/>
          <w:sz w:val="21"/>
          <w:szCs w:val="21"/>
          <w:highlight w:val="none"/>
        </w:rPr>
        <w:t xml:space="preserve">14 </w:t>
      </w:r>
      <w:r>
        <w:rPr>
          <w:rFonts w:hint="eastAsia" w:asciiTheme="minorEastAsia" w:hAnsiTheme="minorEastAsia" w:eastAsiaTheme="minorEastAsia" w:cstheme="minorEastAsia"/>
          <w:color w:val="auto"/>
          <w:spacing w:val="-7"/>
          <w:sz w:val="21"/>
          <w:szCs w:val="21"/>
          <w:highlight w:val="none"/>
        </w:rPr>
        <w:t xml:space="preserve">天内，将委托人代表的姓名、 </w:t>
      </w:r>
      <w:r>
        <w:rPr>
          <w:rFonts w:hint="eastAsia" w:asciiTheme="minorEastAsia" w:hAnsiTheme="minorEastAsia" w:eastAsiaTheme="minorEastAsia" w:cstheme="minorEastAsia"/>
          <w:color w:val="auto"/>
          <w:sz w:val="21"/>
          <w:szCs w:val="21"/>
          <w:highlight w:val="none"/>
        </w:rPr>
        <w:t>职务、联系方式、授权范围和授权期限书面通知监理人，由委托人代表在其授权范围和授权期 限内，代表委托人行使权利、履行义务和处理合同履行中的具体事宜。委托人代表在授权范围 内的行为由委托人承担法律责任。</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3.1.2  委托人代表违反法律法规、违背职业道德守则或者不按合同约定履行职责及义务，导致合同无法继续正常履行的，监理人有权通知委托人更换委托人代表。委托人收到通知后 7 天 内，应当核实完毕并将处理结果通知监理人。</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3.1.3  委托人更换委托人代表的，应提前 14 天将更换人员的姓名、职务、联系方式、授权范围和授权期限书面通知监理人。委托人代表超过 2 天不能履行职责的，应委派代表代行其职 责，并通知监理人。</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16" w:name="_bookmark117"/>
      <w:bookmarkEnd w:id="216"/>
      <w:r>
        <w:rPr>
          <w:rFonts w:hint="eastAsia" w:asciiTheme="minorEastAsia" w:hAnsiTheme="minorEastAsia" w:eastAsiaTheme="minorEastAsia" w:cstheme="minorEastAsia"/>
          <w:color w:val="auto"/>
          <w:sz w:val="21"/>
          <w:szCs w:val="21"/>
          <w:highlight w:val="none"/>
        </w:rPr>
        <w:t>3.2</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委托人的指示</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3.2.1 委托人应按合同约定向监理人发出指示，委托人的指示应盖有委托人单位章，并由委托人代表签字确认。</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3.2.2 监理人收到委托人作出的指示后应遵照执行。指示构成变更的，应按第 8 条执行。</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3.2.3   在紧急情况下，委托人代表或其授权人员可以当场签发临时书面指示，监理人应遵照执行。委托人代表应在临时书面指示发出后 24 小时内发出书面确认函，逾期未发出书面确认函 的，该临时书面指示应被视为委托人的正式指示。</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3.2.4 由于委托人未能按合同约定发出指示、指示延误或指示错误而导致监理人费用增加和（或）周期延误的，委托人应承担由此增加的费用和（或）周期延误。</w:t>
      </w:r>
    </w:p>
    <w:p>
      <w:pPr>
        <w:pStyle w:val="41"/>
        <w:rPr>
          <w:rFonts w:hint="eastAsia" w:asciiTheme="minorEastAsia" w:hAnsiTheme="minorEastAsia" w:eastAsiaTheme="minorEastAsia" w:cstheme="minorEastAsia"/>
          <w:color w:val="auto"/>
          <w:sz w:val="21"/>
          <w:szCs w:val="21"/>
          <w:highlight w:val="none"/>
        </w:rPr>
      </w:pPr>
      <w:bookmarkStart w:id="217" w:name="_bookmark118"/>
      <w:bookmarkEnd w:id="217"/>
      <w:r>
        <w:rPr>
          <w:rFonts w:hint="eastAsia" w:asciiTheme="minorEastAsia" w:hAnsiTheme="minorEastAsia" w:eastAsiaTheme="minorEastAsia" w:cstheme="minorEastAsia"/>
          <w:color w:val="auto"/>
          <w:sz w:val="21"/>
          <w:szCs w:val="21"/>
          <w:highlight w:val="none"/>
        </w:rPr>
        <w:t>3.3  决定或答复</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3.3.1 委托人在法律允许的范围内有权对监理人的监理工作和/或监理文件作出处理决定，监理人应按照委托人的决定执行，涉及监理服务期限或监理报酬等问题按第 8 条的约定处理。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3.3.2 委托人应在专用合同条款约定的时间之内，对监理人书面提出的事项作出书面答复； 逾期没有做出答复的，视为已获得委托人的批准。</w:t>
      </w:r>
    </w:p>
    <w:p>
      <w:pPr>
        <w:pStyle w:val="43"/>
        <w:rPr>
          <w:rFonts w:hint="eastAsia" w:asciiTheme="minorEastAsia" w:hAnsiTheme="minorEastAsia" w:eastAsiaTheme="minorEastAsia" w:cstheme="minorEastAsia"/>
          <w:color w:val="auto"/>
          <w:sz w:val="21"/>
          <w:szCs w:val="21"/>
          <w:highlight w:val="none"/>
        </w:rPr>
      </w:pPr>
      <w:bookmarkStart w:id="218" w:name="_bookmark119"/>
      <w:bookmarkEnd w:id="218"/>
      <w:bookmarkStart w:id="219" w:name="_Toc15467"/>
      <w:bookmarkStart w:id="220" w:name="_Toc508963106"/>
      <w:bookmarkStart w:id="221" w:name="_Toc503856955"/>
      <w:bookmarkStart w:id="222" w:name="_Toc503538377"/>
      <w:bookmarkStart w:id="223" w:name="_Toc509329653"/>
      <w:bookmarkStart w:id="224" w:name="_Toc508294975"/>
      <w:bookmarkStart w:id="225" w:name="_Toc508295101"/>
      <w:r>
        <w:rPr>
          <w:rFonts w:hint="eastAsia" w:asciiTheme="minorEastAsia" w:hAnsiTheme="minorEastAsia" w:eastAsiaTheme="minorEastAsia" w:cstheme="minorEastAsia"/>
          <w:color w:val="auto"/>
          <w:sz w:val="21"/>
          <w:szCs w:val="21"/>
          <w:highlight w:val="none"/>
        </w:rPr>
        <w:t>4.  监理人义务</w:t>
      </w:r>
      <w:bookmarkEnd w:id="219"/>
      <w:bookmarkEnd w:id="220"/>
      <w:bookmarkEnd w:id="221"/>
      <w:bookmarkEnd w:id="222"/>
      <w:bookmarkEnd w:id="223"/>
      <w:bookmarkEnd w:id="224"/>
      <w:bookmarkEnd w:id="225"/>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26" w:name="_bookmark120"/>
      <w:bookmarkEnd w:id="226"/>
      <w:r>
        <w:rPr>
          <w:rFonts w:hint="eastAsia" w:asciiTheme="minorEastAsia" w:hAnsiTheme="minorEastAsia" w:eastAsiaTheme="minorEastAsia" w:cstheme="minorEastAsia"/>
          <w:color w:val="auto"/>
          <w:sz w:val="21"/>
          <w:szCs w:val="21"/>
          <w:highlight w:val="none"/>
        </w:rPr>
        <w:t>4.1</w:t>
      </w:r>
      <w:r>
        <w:rPr>
          <w:rFonts w:hint="eastAsia" w:asciiTheme="minorEastAsia" w:hAnsiTheme="minorEastAsia" w:eastAsiaTheme="minorEastAsia" w:cstheme="minorEastAsia"/>
          <w:color w:val="auto"/>
          <w:spacing w:val="68"/>
          <w:sz w:val="21"/>
          <w:szCs w:val="21"/>
          <w:highlight w:val="none"/>
        </w:rPr>
        <w:t xml:space="preserve"> </w:t>
      </w:r>
      <w:r>
        <w:rPr>
          <w:rFonts w:hint="eastAsia" w:asciiTheme="minorEastAsia" w:hAnsiTheme="minorEastAsia" w:eastAsiaTheme="minorEastAsia" w:cstheme="minorEastAsia"/>
          <w:color w:val="auto"/>
          <w:sz w:val="21"/>
          <w:szCs w:val="21"/>
          <w:highlight w:val="none"/>
        </w:rPr>
        <w:t>监理人的一般义务</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4.1.1 遵守法律 监理人在履行合同过程中应遵守法律，并保证委托人免于承担因监理人违反法律而引起的任何责任。</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4.1.2 依法纳税 监理人应按有关法律规定纳税，应缴纳的税金（含增值税）包括在合同价格之中。</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4.1.3  完成全部监理工作</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监理人应按合同约定以及委托人要求，完成合同约定的全部工作，并对工作中的任何缺陷 进行整改，使其满足合同约定的目的。</w:t>
      </w:r>
    </w:p>
    <w:p>
      <w:pPr>
        <w:pStyle w:val="44"/>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4.1.4  其他义务</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监理人应履行合同约定的其他义务。</w:t>
      </w:r>
    </w:p>
    <w:p>
      <w:pPr>
        <w:pStyle w:val="41"/>
        <w:rPr>
          <w:rFonts w:hint="eastAsia" w:asciiTheme="minorEastAsia" w:hAnsiTheme="minorEastAsia" w:eastAsiaTheme="minorEastAsia" w:cstheme="minorEastAsia"/>
          <w:color w:val="auto"/>
          <w:sz w:val="21"/>
          <w:szCs w:val="21"/>
          <w:highlight w:val="none"/>
        </w:rPr>
      </w:pPr>
      <w:bookmarkStart w:id="227" w:name="_bookmark121"/>
      <w:bookmarkEnd w:id="227"/>
      <w:r>
        <w:rPr>
          <w:rFonts w:hint="eastAsia" w:asciiTheme="minorEastAsia" w:hAnsiTheme="minorEastAsia" w:eastAsiaTheme="minorEastAsia" w:cstheme="minorEastAsia"/>
          <w:color w:val="auto"/>
          <w:sz w:val="21"/>
          <w:szCs w:val="21"/>
          <w:highlight w:val="none"/>
        </w:rPr>
        <w:t>4.2  履约保证金</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除专用合同条款另有约定外，履约保证金自合同生效之日起生效，在委托人签发竣工验收 证书之日起 28 </w:t>
      </w:r>
      <w:r>
        <w:rPr>
          <w:rFonts w:hint="eastAsia" w:asciiTheme="minorEastAsia" w:hAnsiTheme="minorEastAsia" w:eastAsiaTheme="minorEastAsia" w:cstheme="minorEastAsia"/>
          <w:color w:val="auto"/>
          <w:spacing w:val="-4"/>
          <w:sz w:val="21"/>
          <w:szCs w:val="21"/>
          <w:highlight w:val="none"/>
        </w:rPr>
        <w:t xml:space="preserve">日后失效。如果监理人不履行合同约定的义务或其履行不符合合同的约定，委托 </w:t>
      </w:r>
      <w:r>
        <w:rPr>
          <w:rFonts w:hint="eastAsia" w:asciiTheme="minorEastAsia" w:hAnsiTheme="minorEastAsia" w:eastAsiaTheme="minorEastAsia" w:cstheme="minorEastAsia"/>
          <w:color w:val="auto"/>
          <w:sz w:val="21"/>
          <w:szCs w:val="21"/>
          <w:highlight w:val="none"/>
        </w:rPr>
        <w:t>人有权扣划相应金额的履约保证金。</w:t>
      </w:r>
    </w:p>
    <w:p>
      <w:pPr>
        <w:pStyle w:val="41"/>
        <w:rPr>
          <w:rFonts w:hint="eastAsia" w:asciiTheme="minorEastAsia" w:hAnsiTheme="minorEastAsia" w:eastAsiaTheme="minorEastAsia" w:cstheme="minorEastAsia"/>
          <w:color w:val="auto"/>
          <w:sz w:val="21"/>
          <w:szCs w:val="21"/>
          <w:highlight w:val="none"/>
        </w:rPr>
      </w:pPr>
      <w:bookmarkStart w:id="228" w:name="_bookmark122"/>
      <w:bookmarkEnd w:id="228"/>
      <w:r>
        <w:rPr>
          <w:rFonts w:hint="eastAsia" w:asciiTheme="minorEastAsia" w:hAnsiTheme="minorEastAsia" w:eastAsiaTheme="minorEastAsia" w:cstheme="minorEastAsia"/>
          <w:color w:val="auto"/>
          <w:sz w:val="21"/>
          <w:szCs w:val="21"/>
          <w:highlight w:val="none"/>
        </w:rPr>
        <w:t>4.3  联合体</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4.3.1 联合体各方应共同与委托人签订合同。联合体各方应为履行合同承担连带责任。</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4.3.2 联合体协议经委托人确认后作为合同附件。在履行合同过程中，未经委托人同意，不得修改联合体协议。</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4.3.3 联合体牵头人或联合体授权的代表负责与委托人联系，并接受指示，负责组织联合体各成员全面履行合同。</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29" w:name="_bookmark123"/>
      <w:bookmarkEnd w:id="229"/>
      <w:r>
        <w:rPr>
          <w:rFonts w:hint="eastAsia" w:asciiTheme="minorEastAsia" w:hAnsiTheme="minorEastAsia" w:eastAsiaTheme="minorEastAsia" w:cstheme="minorEastAsia"/>
          <w:color w:val="auto"/>
          <w:sz w:val="21"/>
          <w:szCs w:val="21"/>
          <w:highlight w:val="none"/>
        </w:rPr>
        <w:t>4.4</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总监理工程师</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4.4.1   监理人应按合同协议书的约定指派总监理工程师，并在约定的期限内到职。监理人更换总监理工程师应事先征得委托人同意，并应在更换 14 天前将拟更换的总监理工程师的姓名和详细资料提交委托人。总监理工程师 2 天内不能履行职责的，应事先征得委托人同意，并委派 代表代行其职责。</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4.4.2 </w:t>
      </w:r>
      <w:r>
        <w:rPr>
          <w:rFonts w:hint="eastAsia" w:asciiTheme="minorEastAsia" w:hAnsiTheme="minorEastAsia" w:eastAsiaTheme="minorEastAsia" w:cstheme="minorEastAsia"/>
          <w:color w:val="auto"/>
          <w:spacing w:val="-3"/>
          <w:sz w:val="21"/>
          <w:szCs w:val="21"/>
          <w:highlight w:val="none"/>
        </w:rPr>
        <w:t xml:space="preserve">总监理工程师应按合同约定以及委托人要求，负责组织合同工作的实施。在情况紧急 </w:t>
      </w:r>
      <w:r>
        <w:rPr>
          <w:rFonts w:hint="eastAsia" w:asciiTheme="minorEastAsia" w:hAnsiTheme="minorEastAsia" w:eastAsiaTheme="minorEastAsia" w:cstheme="minorEastAsia"/>
          <w:color w:val="auto"/>
          <w:sz w:val="21"/>
          <w:szCs w:val="21"/>
          <w:highlight w:val="none"/>
        </w:rPr>
        <w:t>且无法与委托人取得联系时，可采取保证工程和人员生命财产安全的紧急措施，并在采取措施 后</w:t>
      </w:r>
      <w:r>
        <w:rPr>
          <w:rFonts w:hint="eastAsia" w:asciiTheme="minorEastAsia" w:hAnsiTheme="minorEastAsia" w:eastAsiaTheme="minorEastAsia" w:cstheme="minorEastAsia"/>
          <w:color w:val="auto"/>
          <w:spacing w:val="-56"/>
          <w:sz w:val="21"/>
          <w:szCs w:val="21"/>
          <w:highlight w:val="none"/>
        </w:rPr>
        <w:t xml:space="preserve"> </w:t>
      </w:r>
      <w:r>
        <w:rPr>
          <w:rFonts w:hint="eastAsia" w:asciiTheme="minorEastAsia" w:hAnsiTheme="minorEastAsia" w:eastAsiaTheme="minorEastAsia" w:cstheme="minorEastAsia"/>
          <w:color w:val="auto"/>
          <w:sz w:val="21"/>
          <w:szCs w:val="21"/>
          <w:highlight w:val="none"/>
        </w:rPr>
        <w:t>24 小时内向委托人提交书面报告。</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4.4.3 监理人为履行合同发出的一切函件均应盖有监理人单位章或由监理人授权的项目机 构章，并由监理人的总监理工程师签字确认。</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4.4.4 按照专用合同条款约定，总监理工程师可以授权其下属人员履行其某项职责，但事先 应将这些人员的姓名和授权范围书面通知委托人和承包人。</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30" w:name="_bookmark124"/>
      <w:bookmarkEnd w:id="230"/>
      <w:r>
        <w:rPr>
          <w:rFonts w:hint="eastAsia" w:asciiTheme="minorEastAsia" w:hAnsiTheme="minorEastAsia" w:eastAsiaTheme="minorEastAsia" w:cstheme="minorEastAsia"/>
          <w:color w:val="auto"/>
          <w:sz w:val="21"/>
          <w:szCs w:val="21"/>
          <w:highlight w:val="none"/>
        </w:rPr>
        <w:t>4.5  监理人员的管理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 监理人应在接到开始监理通知之日起 7 </w:t>
      </w:r>
      <w:r>
        <w:rPr>
          <w:rFonts w:hint="eastAsia" w:asciiTheme="minorEastAsia" w:hAnsiTheme="minorEastAsia" w:eastAsiaTheme="minorEastAsia" w:cstheme="minorEastAsia"/>
          <w:color w:val="auto"/>
          <w:spacing w:val="-6"/>
          <w:sz w:val="21"/>
          <w:szCs w:val="21"/>
          <w:highlight w:val="none"/>
        </w:rPr>
        <w:t xml:space="preserve">天内，向委托人提交监理项目机构以及人员安 </w:t>
      </w:r>
      <w:r>
        <w:rPr>
          <w:rFonts w:hint="eastAsia" w:asciiTheme="minorEastAsia" w:hAnsiTheme="minorEastAsia" w:eastAsiaTheme="minorEastAsia" w:cstheme="minorEastAsia"/>
          <w:color w:val="auto"/>
          <w:spacing w:val="-1"/>
          <w:sz w:val="21"/>
          <w:szCs w:val="21"/>
          <w:highlight w:val="none"/>
        </w:rPr>
        <w:t xml:space="preserve">排的报告，其内容应包括项目机构设置、主要监理人员和作业人员的名单及资格条件。主要监 </w:t>
      </w:r>
      <w:r>
        <w:rPr>
          <w:rFonts w:hint="eastAsia" w:asciiTheme="minorEastAsia" w:hAnsiTheme="minorEastAsia" w:eastAsiaTheme="minorEastAsia" w:cstheme="minorEastAsia"/>
          <w:color w:val="auto"/>
          <w:spacing w:val="-2"/>
          <w:sz w:val="21"/>
          <w:szCs w:val="21"/>
          <w:highlight w:val="none"/>
        </w:rPr>
        <w:t xml:space="preserve">理人员应相对稳定，更换主要监理人员的，应取得委托人的同意,并向委托人提交继任人员的资 </w:t>
      </w:r>
      <w:r>
        <w:rPr>
          <w:rFonts w:hint="eastAsia" w:asciiTheme="minorEastAsia" w:hAnsiTheme="minorEastAsia" w:eastAsiaTheme="minorEastAsia" w:cstheme="minorEastAsia"/>
          <w:color w:val="auto"/>
          <w:sz w:val="21"/>
          <w:szCs w:val="21"/>
          <w:highlight w:val="none"/>
        </w:rPr>
        <w:t>格、管理经验等资料。总监理工程师的更换，应按照本章第</w:t>
      </w:r>
      <w:r>
        <w:rPr>
          <w:rFonts w:hint="eastAsia" w:asciiTheme="minorEastAsia" w:hAnsiTheme="minorEastAsia" w:eastAsiaTheme="minorEastAsia" w:cstheme="minorEastAsia"/>
          <w:color w:val="auto"/>
          <w:spacing w:val="-60"/>
          <w:sz w:val="21"/>
          <w:szCs w:val="21"/>
          <w:highlight w:val="none"/>
        </w:rPr>
        <w:t xml:space="preserve"> </w:t>
      </w:r>
      <w:r>
        <w:rPr>
          <w:rFonts w:hint="eastAsia" w:asciiTheme="minorEastAsia" w:hAnsiTheme="minorEastAsia" w:eastAsiaTheme="minorEastAsia" w:cstheme="minorEastAsia"/>
          <w:color w:val="auto"/>
          <w:sz w:val="21"/>
          <w:szCs w:val="21"/>
          <w:highlight w:val="none"/>
        </w:rPr>
        <w:t>4.4.1 项规定执行。</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4.5.2 除专用合同条款另有约定外，主要监理人员包括总监理工程师、专业监理工程师等； 其他人员包括各专业的监理员、资料员等。</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4.5.3 监理人应保证其主要监理人员在合同期限内的任何时候，都能按时参加委托人组织的 工作会议。</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4.5.4 国家规定应当持证上岗的工作人员均应持有相应的资格证明，委托人有权随时检查。 委托人认为有必要时，可以进行现场考核。</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31" w:name="_bookmark125"/>
      <w:bookmarkEnd w:id="231"/>
      <w:r>
        <w:rPr>
          <w:rFonts w:hint="eastAsia" w:asciiTheme="minorEastAsia" w:hAnsiTheme="minorEastAsia" w:eastAsiaTheme="minorEastAsia" w:cstheme="minorEastAsia"/>
          <w:color w:val="auto"/>
          <w:sz w:val="21"/>
          <w:szCs w:val="21"/>
          <w:highlight w:val="none"/>
        </w:rPr>
        <w:t>4.6</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撤换总监理工程师和其他人员</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监理人应对其总监理工程师和其他人员进行有效管理。委托人要求撤换不能胜任本职工作、 行为不端或玩忽职守的总监理工程师和其他人员的，监理人应予以撤换。</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32" w:name="_bookmark126"/>
      <w:bookmarkEnd w:id="232"/>
      <w:r>
        <w:rPr>
          <w:rFonts w:hint="eastAsia" w:asciiTheme="minorEastAsia" w:hAnsiTheme="minorEastAsia" w:eastAsiaTheme="minorEastAsia" w:cstheme="minorEastAsia"/>
          <w:color w:val="auto"/>
          <w:sz w:val="21"/>
          <w:szCs w:val="21"/>
          <w:highlight w:val="none"/>
        </w:rPr>
        <w:t>4.7</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保障人员的合法权益</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4.7.1 监理人应与其雇佣的人员签订劳动合同，并按时发放工资。</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4.7.2 </w:t>
      </w:r>
      <w:r>
        <w:rPr>
          <w:rFonts w:hint="eastAsia" w:asciiTheme="minorEastAsia" w:hAnsiTheme="minorEastAsia" w:eastAsiaTheme="minorEastAsia" w:cstheme="minorEastAsia"/>
          <w:color w:val="auto"/>
          <w:spacing w:val="-4"/>
          <w:sz w:val="21"/>
          <w:szCs w:val="21"/>
          <w:highlight w:val="none"/>
        </w:rPr>
        <w:t xml:space="preserve">监理人应按劳动法的规定安排工作时间，保证其雇佣人员享有休息和休假的权利。因 </w:t>
      </w:r>
      <w:r>
        <w:rPr>
          <w:rFonts w:hint="eastAsia" w:asciiTheme="minorEastAsia" w:hAnsiTheme="minorEastAsia" w:eastAsiaTheme="minorEastAsia" w:cstheme="minorEastAsia"/>
          <w:color w:val="auto"/>
          <w:sz w:val="21"/>
          <w:szCs w:val="21"/>
          <w:highlight w:val="none"/>
        </w:rPr>
        <w:t>监理需要占用休假日或延长工作时间的，应不超过法律规定的限度，并按法律规定给予补休或 付酬。</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4.7.3 监理人应按有关法律规定和合同约定，为其雇佣人员办理保险。</w:t>
      </w:r>
    </w:p>
    <w:p>
      <w:pPr>
        <w:pStyle w:val="41"/>
        <w:rPr>
          <w:rFonts w:hint="eastAsia" w:asciiTheme="minorEastAsia" w:hAnsiTheme="minorEastAsia" w:eastAsiaTheme="minorEastAsia" w:cstheme="minorEastAsia"/>
          <w:color w:val="auto"/>
          <w:sz w:val="21"/>
          <w:szCs w:val="21"/>
          <w:highlight w:val="none"/>
        </w:rPr>
      </w:pPr>
      <w:bookmarkStart w:id="233" w:name="_bookmark127"/>
      <w:bookmarkEnd w:id="233"/>
      <w:r>
        <w:rPr>
          <w:rFonts w:hint="eastAsia" w:asciiTheme="minorEastAsia" w:hAnsiTheme="minorEastAsia" w:eastAsiaTheme="minorEastAsia" w:cstheme="minorEastAsia"/>
          <w:color w:val="auto"/>
          <w:sz w:val="21"/>
          <w:szCs w:val="21"/>
          <w:highlight w:val="none"/>
        </w:rPr>
        <w:t>4.8</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合同价款应专款专用</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委托人按合同约定支付给监理人的各项价款，应专用于合同监理工作。</w:t>
      </w:r>
    </w:p>
    <w:p>
      <w:pPr>
        <w:pStyle w:val="43"/>
        <w:rPr>
          <w:rFonts w:hint="eastAsia" w:asciiTheme="minorEastAsia" w:hAnsiTheme="minorEastAsia" w:eastAsiaTheme="minorEastAsia" w:cstheme="minorEastAsia"/>
          <w:color w:val="auto"/>
          <w:sz w:val="21"/>
          <w:szCs w:val="21"/>
          <w:highlight w:val="none"/>
        </w:rPr>
      </w:pPr>
      <w:bookmarkStart w:id="234" w:name="_bookmark128"/>
      <w:bookmarkEnd w:id="234"/>
      <w:bookmarkStart w:id="235" w:name="_Toc508294976"/>
      <w:bookmarkStart w:id="236" w:name="_Toc32191"/>
      <w:bookmarkStart w:id="237" w:name="_Toc509329654"/>
      <w:bookmarkStart w:id="238" w:name="_Toc508295102"/>
      <w:bookmarkStart w:id="239" w:name="_Toc503856956"/>
      <w:bookmarkStart w:id="240" w:name="_Toc503538378"/>
      <w:bookmarkStart w:id="241" w:name="_Toc508963107"/>
      <w:r>
        <w:rPr>
          <w:rFonts w:hint="eastAsia" w:asciiTheme="minorEastAsia" w:hAnsiTheme="minorEastAsia" w:eastAsiaTheme="minorEastAsia" w:cstheme="minorEastAsia"/>
          <w:color w:val="auto"/>
          <w:sz w:val="21"/>
          <w:szCs w:val="21"/>
          <w:highlight w:val="none"/>
        </w:rPr>
        <w:t>5.  监理要求</w:t>
      </w:r>
      <w:bookmarkEnd w:id="235"/>
      <w:bookmarkEnd w:id="236"/>
      <w:bookmarkEnd w:id="237"/>
      <w:bookmarkEnd w:id="238"/>
      <w:bookmarkEnd w:id="239"/>
      <w:bookmarkEnd w:id="240"/>
      <w:bookmarkEnd w:id="241"/>
    </w:p>
    <w:p>
      <w:pPr>
        <w:pStyle w:val="41"/>
        <w:rPr>
          <w:rFonts w:hint="eastAsia" w:asciiTheme="minorEastAsia" w:hAnsiTheme="minorEastAsia" w:eastAsiaTheme="minorEastAsia" w:cstheme="minorEastAsia"/>
          <w:color w:val="auto"/>
          <w:sz w:val="21"/>
          <w:szCs w:val="21"/>
          <w:highlight w:val="none"/>
        </w:rPr>
      </w:pPr>
      <w:bookmarkStart w:id="242" w:name="_bookmark129"/>
      <w:bookmarkEnd w:id="242"/>
      <w:r>
        <w:rPr>
          <w:rFonts w:hint="eastAsia" w:asciiTheme="minorEastAsia" w:hAnsiTheme="minorEastAsia" w:eastAsiaTheme="minorEastAsia" w:cstheme="minorEastAsia"/>
          <w:color w:val="auto"/>
          <w:sz w:val="21"/>
          <w:szCs w:val="21"/>
          <w:highlight w:val="none"/>
        </w:rPr>
        <w:t>5.1  监理范围</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5.1.1 本合同的监理范围包括工程范围、阶段范围和工作范围，具体监理范围应当根据三者 之间的关联内容进行确定。</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5.1.2 工程范围指所监理工程的建设内容，具体范围在专用合同条款中约定。</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5.1.3 阶段范围指工程建设程序中的勘察阶段、设计阶段、施工阶段、缺陷责任期及保修阶 段中的一个或者多个阶段，具体范围在专用合同条款中约定。</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5.1.4 工作范围指监理工作中的质量控制、进度控制、投资控制、合同管理、信息管理、组 织协调和安全监理、环保监理中的一项或者多项工作，具体范围在专用合同条款中约定。</w:t>
      </w:r>
    </w:p>
    <w:p>
      <w:pPr>
        <w:pStyle w:val="41"/>
        <w:rPr>
          <w:rFonts w:hint="eastAsia" w:asciiTheme="minorEastAsia" w:hAnsiTheme="minorEastAsia" w:eastAsiaTheme="minorEastAsia" w:cstheme="minorEastAsia"/>
          <w:color w:val="auto"/>
          <w:sz w:val="21"/>
          <w:szCs w:val="21"/>
          <w:highlight w:val="none"/>
        </w:rPr>
      </w:pPr>
      <w:bookmarkStart w:id="243" w:name="_bookmark130"/>
      <w:bookmarkEnd w:id="243"/>
      <w:r>
        <w:rPr>
          <w:rFonts w:hint="eastAsia" w:asciiTheme="minorEastAsia" w:hAnsiTheme="minorEastAsia" w:eastAsiaTheme="minorEastAsia" w:cstheme="minorEastAsia"/>
          <w:color w:val="auto"/>
          <w:sz w:val="21"/>
          <w:szCs w:val="21"/>
          <w:highlight w:val="none"/>
        </w:rPr>
        <w:t>5.2  监理依据</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除专用合同条款另有约定外，本工程的监理依据如下：</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（1）适用的法律、行政法规及部门规章；</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（2）与工程有关的规范、标准、规程；</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（3）工程勘察文件、设计文件及其他文件；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（4）本工程监理的委托合同及补充合同；</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（5）委托人签订的勘察、设计和施工承包合同；</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（6）合同履行中与监理服务有关的来往函件；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（7）其他监理依据。</w:t>
      </w:r>
    </w:p>
    <w:p>
      <w:pPr>
        <w:pStyle w:val="41"/>
        <w:rPr>
          <w:rFonts w:hint="eastAsia" w:asciiTheme="minorEastAsia" w:hAnsiTheme="minorEastAsia" w:eastAsiaTheme="minorEastAsia" w:cstheme="minorEastAsia"/>
          <w:color w:val="auto"/>
          <w:sz w:val="21"/>
          <w:szCs w:val="21"/>
          <w:highlight w:val="none"/>
        </w:rPr>
      </w:pPr>
      <w:bookmarkStart w:id="244" w:name="_bookmark131"/>
      <w:bookmarkEnd w:id="244"/>
      <w:r>
        <w:rPr>
          <w:rFonts w:hint="eastAsia" w:asciiTheme="minorEastAsia" w:hAnsiTheme="minorEastAsia" w:eastAsiaTheme="minorEastAsia" w:cstheme="minorEastAsia"/>
          <w:color w:val="auto"/>
          <w:sz w:val="21"/>
          <w:szCs w:val="21"/>
          <w:highlight w:val="none"/>
        </w:rPr>
        <w:t>5.3  监理内容</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除专用条件另有约定外，监理工作内容包括：</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（1）收到工程设计文件后编制监理规划，并在第一次工地会议 7 天前报委托人。根据有关 规定和监理工作需要，编制监理实施细则；</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（2）熟悉工程设计文件，并参加由委托人主持的图纸会审和设计交底会议；</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（3）参加由委托人主持的第一次工地会议；主持监理例会并根据工程需要主持或参加专题 会议；</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（4）审查施工承包人提交的施工组织设计，重点审查其中的质量安全技术措施、专项施工 方案与工程建设强制性标准的符合性；</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（5）检查施工承包人工程质量、安全生产管理制度及组织机构和人员资格；</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（6）检查施工承包人专职安全生产管理人员的配备情况；</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（7）审查施工承包人提交的施工进度计划，核查承包人对施工进度计划的调整；</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（8）检查施工承包人的试验室；</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（9）审核施工分包人资质条件；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（10）查验施工承包人的施工测量放线成果；</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（11）审查工程开工条件，对条件具备的签发开工令；</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（12）审查施工承包人报送的工程材料、构配件、设备质量证明文件的有效性和符合性， 并按规定对用于工程的材料采取平行检验或见证取样方式进行抽检；</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（13）审核施工承包人提交的工程款支付申请，签发或出具工程款支付证书，并报委托人 审核、批准；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（14）在巡视、旁站和检验过程中，发现工程质量、施工安全存在事故隐患的，要求施工 承包人整改并报委托人；</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（15）经委托人同意，签发工程暂停令和复工令；</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（16）审查施工承包人提交的采用新材料、新工艺、新技术、新设备的论证材料及相关验 收标准；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（17）验收隐蔽工程、分部分项工程；</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（18）审查施工承包人提交的工程变更申请，协调处理施工进度调整、费用索赔、合同争 议等事项；</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（19）审查施工承包人提交的竣工验收申请，编写工程质量评估报告；</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（20）参加工程竣工验收，签署竣工验收意见；</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（21）审查施工承包人提交的竣工结算申请并报委托人；</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（22）编制、整理工程监理归档文件并报委托人。</w:t>
      </w:r>
    </w:p>
    <w:p>
      <w:pPr>
        <w:pStyle w:val="41"/>
        <w:rPr>
          <w:rFonts w:hint="eastAsia" w:asciiTheme="minorEastAsia" w:hAnsiTheme="minorEastAsia" w:eastAsiaTheme="minorEastAsia" w:cstheme="minorEastAsia"/>
          <w:color w:val="auto"/>
          <w:sz w:val="21"/>
          <w:szCs w:val="21"/>
          <w:highlight w:val="none"/>
        </w:rPr>
      </w:pPr>
      <w:bookmarkStart w:id="245" w:name="_bookmark132"/>
      <w:bookmarkEnd w:id="245"/>
      <w:r>
        <w:rPr>
          <w:rFonts w:hint="eastAsia" w:asciiTheme="minorEastAsia" w:hAnsiTheme="minorEastAsia" w:eastAsiaTheme="minorEastAsia" w:cstheme="minorEastAsia"/>
          <w:color w:val="auto"/>
          <w:sz w:val="21"/>
          <w:szCs w:val="21"/>
          <w:highlight w:val="none"/>
        </w:rPr>
        <w:t>5.4</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监理文件要求</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5.4.1 监理文件的编制应符合法律、规范标准的强制性规定和委托人要求，相关的监理依据 应当完整准确，文件内容和相应数据应当真实可靠。</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5.4.2 监理文件的深度应满足本阶段相应监理工作的规定要求，满足委托人的下步工作需要， 并应符合国家和行业现行规定。</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5.4.3 本工程监理文件的具体类别、编制要求、编制内容、提交时间和份数等，在专用合同 条款中约定。</w:t>
      </w:r>
    </w:p>
    <w:p>
      <w:pPr>
        <w:pStyle w:val="43"/>
        <w:rPr>
          <w:rFonts w:hint="eastAsia" w:asciiTheme="minorEastAsia" w:hAnsiTheme="minorEastAsia" w:eastAsiaTheme="minorEastAsia" w:cstheme="minorEastAsia"/>
          <w:color w:val="auto"/>
          <w:sz w:val="21"/>
          <w:szCs w:val="21"/>
          <w:highlight w:val="none"/>
        </w:rPr>
      </w:pPr>
      <w:bookmarkStart w:id="246" w:name="_bookmark133"/>
      <w:bookmarkEnd w:id="246"/>
      <w:bookmarkStart w:id="247" w:name="_Toc503538379"/>
      <w:bookmarkStart w:id="248" w:name="_Toc503856957"/>
      <w:bookmarkStart w:id="249" w:name="_Toc508963108"/>
      <w:bookmarkStart w:id="250" w:name="_Toc509329655"/>
      <w:bookmarkStart w:id="251" w:name="_Toc508295103"/>
      <w:bookmarkStart w:id="252" w:name="_Toc508294977"/>
      <w:bookmarkStart w:id="253" w:name="_Toc5179"/>
      <w:r>
        <w:rPr>
          <w:rFonts w:hint="eastAsia" w:asciiTheme="minorEastAsia" w:hAnsiTheme="minorEastAsia" w:eastAsiaTheme="minorEastAsia" w:cstheme="minorEastAsia"/>
          <w:color w:val="auto"/>
          <w:sz w:val="21"/>
          <w:szCs w:val="21"/>
          <w:highlight w:val="none"/>
        </w:rPr>
        <w:t>6.  开始监理和完成监理</w:t>
      </w:r>
      <w:bookmarkEnd w:id="247"/>
      <w:bookmarkEnd w:id="248"/>
      <w:bookmarkEnd w:id="249"/>
      <w:bookmarkEnd w:id="250"/>
      <w:bookmarkEnd w:id="251"/>
      <w:bookmarkEnd w:id="252"/>
      <w:bookmarkEnd w:id="253"/>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54" w:name="_bookmark134"/>
      <w:bookmarkEnd w:id="254"/>
      <w:r>
        <w:rPr>
          <w:rFonts w:hint="eastAsia" w:asciiTheme="minorEastAsia" w:hAnsiTheme="minorEastAsia" w:eastAsiaTheme="minorEastAsia" w:cstheme="minorEastAsia"/>
          <w:color w:val="auto"/>
          <w:sz w:val="21"/>
          <w:szCs w:val="21"/>
          <w:highlight w:val="none"/>
        </w:rPr>
        <w:t>6.1  开始监理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6.1.1 符合专用合同条款约定的开始监理条件的，委托人应提前 7 天向监理人发出开始监理通知。监理服务期限自开始监理通知中载明的开始监理日期起计算。</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6.1.2 除专用合同条款另有约定外，因委托人原因造成合同签订之日起 90 天内未能发出开 始监理通知的，监理人有权提出价格调整要求，或者解除合同。委托人应当承担由此增加的费 用和（或）周期延误。</w:t>
      </w:r>
    </w:p>
    <w:p>
      <w:pPr>
        <w:pStyle w:val="41"/>
        <w:rPr>
          <w:rFonts w:hint="eastAsia" w:asciiTheme="minorEastAsia" w:hAnsiTheme="minorEastAsia" w:eastAsiaTheme="minorEastAsia" w:cstheme="minorEastAsia"/>
          <w:color w:val="auto"/>
          <w:sz w:val="21"/>
          <w:szCs w:val="21"/>
          <w:highlight w:val="none"/>
        </w:rPr>
      </w:pPr>
      <w:bookmarkStart w:id="255" w:name="_bookmark135"/>
      <w:bookmarkEnd w:id="255"/>
      <w:r>
        <w:rPr>
          <w:rFonts w:hint="eastAsia" w:asciiTheme="minorEastAsia" w:hAnsiTheme="minorEastAsia" w:eastAsiaTheme="minorEastAsia" w:cstheme="minorEastAsia"/>
          <w:color w:val="auto"/>
          <w:sz w:val="21"/>
          <w:szCs w:val="21"/>
          <w:highlight w:val="none"/>
        </w:rPr>
        <w:t>6.2</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监理周期延误</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在履行合同过程中，由于下列原因造成监理服务期限延误的，委托人应当延长监理服务期 限并增加监理报酬，具体方法在专用合同条款中约定。</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（1）合同变更；</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（2）因委托人原因导致的监理工作暂停；</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（3）未按合同约定及时支付监理报酬；</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（4）未及时履行合同约定的相关义务；</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（5）由于承包人延误、行政管理造成的监理服务期延误；</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（6）造成监理服务期限延误的其他原因。</w:t>
      </w:r>
    </w:p>
    <w:p>
      <w:pPr>
        <w:pStyle w:val="41"/>
        <w:rPr>
          <w:rFonts w:hint="eastAsia" w:asciiTheme="minorEastAsia" w:hAnsiTheme="minorEastAsia" w:eastAsiaTheme="minorEastAsia" w:cstheme="minorEastAsia"/>
          <w:color w:val="auto"/>
          <w:sz w:val="21"/>
          <w:szCs w:val="21"/>
          <w:highlight w:val="none"/>
        </w:rPr>
      </w:pPr>
      <w:bookmarkStart w:id="256" w:name="_bookmark136"/>
      <w:bookmarkEnd w:id="256"/>
      <w:r>
        <w:rPr>
          <w:rFonts w:hint="eastAsia" w:asciiTheme="minorEastAsia" w:hAnsiTheme="minorEastAsia" w:eastAsiaTheme="minorEastAsia" w:cstheme="minorEastAsia"/>
          <w:color w:val="auto"/>
          <w:sz w:val="21"/>
          <w:szCs w:val="21"/>
          <w:highlight w:val="none"/>
        </w:rPr>
        <w:t>6.3  完成监理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6.3.1 监理人应当根据法律、规范标准、合同约定和委托人要求实施和完成监理，并编制和移交监理文件。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6.3.2 </w:t>
      </w:r>
      <w:r>
        <w:rPr>
          <w:rFonts w:hint="eastAsia" w:asciiTheme="minorEastAsia" w:hAnsiTheme="minorEastAsia" w:eastAsiaTheme="minorEastAsia" w:cstheme="minorEastAsia"/>
          <w:color w:val="auto"/>
          <w:spacing w:val="-4"/>
          <w:sz w:val="21"/>
          <w:szCs w:val="21"/>
          <w:highlight w:val="none"/>
        </w:rPr>
        <w:t xml:space="preserve">根据委托人要求或者基于专业能力判断，监理人认为能够提前完成监理的，可向委托 </w:t>
      </w:r>
      <w:r>
        <w:rPr>
          <w:rFonts w:hint="eastAsia" w:asciiTheme="minorEastAsia" w:hAnsiTheme="minorEastAsia" w:eastAsiaTheme="minorEastAsia" w:cstheme="minorEastAsia"/>
          <w:color w:val="auto"/>
          <w:sz w:val="21"/>
          <w:szCs w:val="21"/>
          <w:highlight w:val="none"/>
        </w:rPr>
        <w:t>人递交一份提前完成监理建议书，包括实施方案、提前时间、监理报酬变动等内容。除专用合 同条款另有约定之外，委托人接受建议书的，不因提前完成监理而减少监理报酬；增加监理报 酬的，所增费用由委托人承担。</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6.3.3 缺陷修复监理指缺陷责任期间，监理人对承包人修复质量缺陷进行的监理。缺陷修复 监理的责任由监理人负责。</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6.3.4 </w:t>
      </w:r>
      <w:r>
        <w:rPr>
          <w:rFonts w:hint="eastAsia" w:asciiTheme="minorEastAsia" w:hAnsiTheme="minorEastAsia" w:eastAsiaTheme="minorEastAsia" w:cstheme="minorEastAsia"/>
          <w:color w:val="auto"/>
          <w:spacing w:val="-4"/>
          <w:sz w:val="21"/>
          <w:szCs w:val="21"/>
          <w:highlight w:val="none"/>
        </w:rPr>
        <w:t xml:space="preserve">委托人应当及时接收监理人提交的监理文件。如无正当理由拒收的，视为委托人已经 </w:t>
      </w:r>
      <w:r>
        <w:rPr>
          <w:rFonts w:hint="eastAsia" w:asciiTheme="minorEastAsia" w:hAnsiTheme="minorEastAsia" w:eastAsiaTheme="minorEastAsia" w:cstheme="minorEastAsia"/>
          <w:color w:val="auto"/>
          <w:spacing w:val="-1"/>
          <w:sz w:val="21"/>
          <w:szCs w:val="21"/>
          <w:highlight w:val="none"/>
        </w:rPr>
        <w:t xml:space="preserve">接收监理文件。接收监理文件时，委托人应向监理人出具文件签收凭证，凭证内容包括文件名 </w:t>
      </w:r>
      <w:r>
        <w:rPr>
          <w:rFonts w:hint="eastAsia" w:asciiTheme="minorEastAsia" w:hAnsiTheme="minorEastAsia" w:eastAsiaTheme="minorEastAsia" w:cstheme="minorEastAsia"/>
          <w:color w:val="auto"/>
          <w:sz w:val="21"/>
          <w:szCs w:val="21"/>
          <w:highlight w:val="none"/>
        </w:rPr>
        <w:t>称、文件内容、文件形式、份数、提交和接收日期、提交人与接收人的亲笔签名等。</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6.3.5 </w:t>
      </w:r>
      <w:r>
        <w:rPr>
          <w:rFonts w:hint="eastAsia" w:asciiTheme="minorEastAsia" w:hAnsiTheme="minorEastAsia" w:eastAsiaTheme="minorEastAsia" w:cstheme="minorEastAsia"/>
          <w:color w:val="auto"/>
          <w:spacing w:val="-4"/>
          <w:sz w:val="21"/>
          <w:szCs w:val="21"/>
          <w:highlight w:val="none"/>
        </w:rPr>
        <w:t xml:space="preserve">除专用合同条款另有约定外，监理文件包括纸质文件和电子文件两种形式，两者若有 </w:t>
      </w:r>
      <w:r>
        <w:rPr>
          <w:rFonts w:hint="eastAsia" w:asciiTheme="minorEastAsia" w:hAnsiTheme="minorEastAsia" w:eastAsiaTheme="minorEastAsia" w:cstheme="minorEastAsia"/>
          <w:color w:val="auto"/>
          <w:spacing w:val="-1"/>
          <w:sz w:val="21"/>
          <w:szCs w:val="21"/>
          <w:highlight w:val="none"/>
        </w:rPr>
        <w:t xml:space="preserve">不一致时，应以纸质文件为准。纸质文件应当加盖单位章和总监理工程师的注册执业印章，具 </w:t>
      </w:r>
      <w:r>
        <w:rPr>
          <w:rFonts w:hint="eastAsia" w:asciiTheme="minorEastAsia" w:hAnsiTheme="minorEastAsia" w:eastAsiaTheme="minorEastAsia" w:cstheme="minorEastAsia"/>
          <w:color w:val="auto"/>
          <w:sz w:val="21"/>
          <w:szCs w:val="21"/>
          <w:highlight w:val="none"/>
        </w:rPr>
        <w:t>体份数、纸幅、装订格式等要求，应在专用合同条款中约定；电子文件应使用光盘和</w:t>
      </w:r>
      <w:r>
        <w:rPr>
          <w:rFonts w:hint="eastAsia" w:asciiTheme="minorEastAsia" w:hAnsiTheme="minorEastAsia" w:eastAsiaTheme="minorEastAsia" w:cstheme="minorEastAsia"/>
          <w:color w:val="auto"/>
          <w:spacing w:val="-75"/>
          <w:sz w:val="21"/>
          <w:szCs w:val="21"/>
          <w:highlight w:val="none"/>
        </w:rPr>
        <w:t xml:space="preserve"> </w:t>
      </w:r>
      <w:r>
        <w:rPr>
          <w:rFonts w:hint="eastAsia" w:asciiTheme="minorEastAsia" w:hAnsiTheme="minorEastAsia" w:eastAsiaTheme="minorEastAsia" w:cstheme="minorEastAsia"/>
          <w:color w:val="auto"/>
          <w:sz w:val="21"/>
          <w:szCs w:val="21"/>
          <w:highlight w:val="none"/>
        </w:rPr>
        <w:t>U 盘分别 贮存。</w:t>
      </w:r>
    </w:p>
    <w:p>
      <w:pPr>
        <w:pStyle w:val="43"/>
        <w:ind w:left="0" w:leftChars="0" w:firstLine="422" w:firstLineChars="200"/>
        <w:rPr>
          <w:rFonts w:hint="eastAsia" w:asciiTheme="minorEastAsia" w:hAnsiTheme="minorEastAsia" w:eastAsiaTheme="minorEastAsia" w:cstheme="minorEastAsia"/>
          <w:color w:val="auto"/>
          <w:sz w:val="21"/>
          <w:szCs w:val="21"/>
          <w:highlight w:val="none"/>
        </w:rPr>
      </w:pPr>
      <w:bookmarkStart w:id="257" w:name="_bookmark137"/>
      <w:bookmarkEnd w:id="257"/>
      <w:bookmarkStart w:id="258" w:name="_Toc19918"/>
      <w:bookmarkStart w:id="259" w:name="_Toc508294978"/>
      <w:bookmarkStart w:id="260" w:name="_Toc508295104"/>
      <w:bookmarkStart w:id="261" w:name="_Toc509329656"/>
      <w:bookmarkStart w:id="262" w:name="_Toc508963109"/>
      <w:bookmarkStart w:id="263" w:name="_Toc503856958"/>
      <w:bookmarkStart w:id="264" w:name="_Toc503538380"/>
      <w:r>
        <w:rPr>
          <w:rFonts w:hint="eastAsia" w:asciiTheme="minorEastAsia" w:hAnsiTheme="minorEastAsia" w:eastAsiaTheme="minorEastAsia" w:cstheme="minorEastAsia"/>
          <w:color w:val="auto"/>
          <w:sz w:val="21"/>
          <w:szCs w:val="21"/>
          <w:highlight w:val="none"/>
        </w:rPr>
        <w:t>7.  监理责任与保险</w:t>
      </w:r>
      <w:bookmarkEnd w:id="258"/>
      <w:bookmarkEnd w:id="259"/>
      <w:bookmarkEnd w:id="260"/>
      <w:bookmarkEnd w:id="261"/>
      <w:bookmarkEnd w:id="262"/>
      <w:bookmarkEnd w:id="263"/>
      <w:bookmarkEnd w:id="264"/>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65" w:name="_bookmark138"/>
      <w:bookmarkEnd w:id="265"/>
      <w:r>
        <w:rPr>
          <w:rFonts w:hint="eastAsia" w:asciiTheme="minorEastAsia" w:hAnsiTheme="minorEastAsia" w:eastAsiaTheme="minorEastAsia" w:cstheme="minorEastAsia"/>
          <w:color w:val="auto"/>
          <w:sz w:val="21"/>
          <w:szCs w:val="21"/>
          <w:highlight w:val="none"/>
        </w:rPr>
        <w:t>7.1</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监理责任主体</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7.1.1 </w:t>
      </w:r>
      <w:r>
        <w:rPr>
          <w:rFonts w:hint="eastAsia" w:asciiTheme="minorEastAsia" w:hAnsiTheme="minorEastAsia" w:eastAsiaTheme="minorEastAsia" w:cstheme="minorEastAsia"/>
          <w:color w:val="auto"/>
          <w:spacing w:val="-4"/>
          <w:sz w:val="21"/>
          <w:szCs w:val="21"/>
          <w:highlight w:val="none"/>
        </w:rPr>
        <w:t xml:space="preserve">监理人应运用一切合理的专业技术、知识技能和项目经验，按照职业道德准则和行业 </w:t>
      </w:r>
      <w:r>
        <w:rPr>
          <w:rFonts w:hint="eastAsia" w:asciiTheme="minorEastAsia" w:hAnsiTheme="minorEastAsia" w:eastAsiaTheme="minorEastAsia" w:cstheme="minorEastAsia"/>
          <w:color w:val="auto"/>
          <w:sz w:val="21"/>
          <w:szCs w:val="21"/>
          <w:highlight w:val="none"/>
        </w:rPr>
        <w:t>公认标准尽其全部职责，勤勉、谨慎、公正地履行其在本合同项下的责任和义务。</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7.1.2 </w:t>
      </w:r>
      <w:r>
        <w:rPr>
          <w:rFonts w:hint="eastAsia" w:asciiTheme="minorEastAsia" w:hAnsiTheme="minorEastAsia" w:eastAsiaTheme="minorEastAsia" w:cstheme="minorEastAsia"/>
          <w:color w:val="auto"/>
          <w:spacing w:val="-4"/>
          <w:sz w:val="21"/>
          <w:szCs w:val="21"/>
          <w:highlight w:val="none"/>
        </w:rPr>
        <w:t xml:space="preserve">监理责任为监理单位项目负责人终身责任制。总监理工程师应当按照法律法规、有关 </w:t>
      </w:r>
      <w:r>
        <w:rPr>
          <w:rFonts w:hint="eastAsia" w:asciiTheme="minorEastAsia" w:hAnsiTheme="minorEastAsia" w:eastAsiaTheme="minorEastAsia" w:cstheme="minorEastAsia"/>
          <w:color w:val="auto"/>
          <w:sz w:val="21"/>
          <w:szCs w:val="21"/>
          <w:highlight w:val="none"/>
        </w:rPr>
        <w:t>技术标准、设计文件和工程承包合同进行监理，对施工质量承担监理责任。</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7.1.3 总监理工程师应当在办理工程质量监督手续前签署工程质量终身责任承诺书，连同法 定代表人出具的授权书，报工程质量监督机构备案。</w:t>
      </w:r>
    </w:p>
    <w:p>
      <w:pPr>
        <w:pStyle w:val="41"/>
        <w:rPr>
          <w:rFonts w:hint="eastAsia" w:asciiTheme="minorEastAsia" w:hAnsiTheme="minorEastAsia" w:eastAsiaTheme="minorEastAsia" w:cstheme="minorEastAsia"/>
          <w:color w:val="auto"/>
          <w:sz w:val="21"/>
          <w:szCs w:val="21"/>
          <w:highlight w:val="none"/>
        </w:rPr>
      </w:pPr>
      <w:bookmarkStart w:id="266" w:name="_bookmark139"/>
      <w:bookmarkEnd w:id="266"/>
      <w:r>
        <w:rPr>
          <w:rFonts w:hint="eastAsia" w:asciiTheme="minorEastAsia" w:hAnsiTheme="minorEastAsia" w:eastAsiaTheme="minorEastAsia" w:cstheme="minorEastAsia"/>
          <w:color w:val="auto"/>
          <w:sz w:val="21"/>
          <w:szCs w:val="21"/>
          <w:highlight w:val="none"/>
        </w:rPr>
        <w:t>7.2</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监理责任保险</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除专用合同条款另有约定外，建议监理人根据工程情况对监理责任进行保险，并在合同履 行期间保持足额、有效。</w:t>
      </w:r>
    </w:p>
    <w:p>
      <w:pPr>
        <w:pStyle w:val="7"/>
        <w:rPr>
          <w:rFonts w:hint="eastAsia" w:asciiTheme="minorEastAsia" w:hAnsiTheme="minorEastAsia" w:eastAsiaTheme="minorEastAsia" w:cstheme="minorEastAsia"/>
          <w:color w:val="auto"/>
          <w:sz w:val="21"/>
          <w:szCs w:val="21"/>
          <w:highlight w:val="none"/>
        </w:rPr>
      </w:pPr>
      <w:bookmarkStart w:id="267" w:name="_bookmark140"/>
      <w:bookmarkEnd w:id="267"/>
      <w:bookmarkStart w:id="268" w:name="_Toc509329657"/>
      <w:bookmarkStart w:id="269" w:name="_Toc17583"/>
      <w:bookmarkStart w:id="270" w:name="_Toc503538381"/>
      <w:bookmarkStart w:id="271" w:name="_Toc503856959"/>
      <w:bookmarkStart w:id="272" w:name="_Toc508963110"/>
      <w:bookmarkStart w:id="273" w:name="_Toc508294979"/>
      <w:bookmarkStart w:id="274" w:name="_Toc508295105"/>
      <w:r>
        <w:rPr>
          <w:rFonts w:hint="eastAsia" w:asciiTheme="minorEastAsia" w:hAnsiTheme="minorEastAsia" w:eastAsiaTheme="minorEastAsia" w:cstheme="minorEastAsia"/>
          <w:color w:val="auto"/>
          <w:sz w:val="21"/>
          <w:szCs w:val="21"/>
          <w:highlight w:val="none"/>
        </w:rPr>
        <w:t>8. 合同变更</w:t>
      </w:r>
      <w:bookmarkEnd w:id="268"/>
      <w:bookmarkEnd w:id="269"/>
      <w:bookmarkEnd w:id="270"/>
      <w:bookmarkEnd w:id="271"/>
      <w:bookmarkEnd w:id="272"/>
      <w:bookmarkEnd w:id="273"/>
      <w:bookmarkEnd w:id="274"/>
    </w:p>
    <w:p>
      <w:pPr>
        <w:pStyle w:val="41"/>
        <w:rPr>
          <w:rFonts w:hint="eastAsia" w:asciiTheme="minorEastAsia" w:hAnsiTheme="minorEastAsia" w:eastAsiaTheme="minorEastAsia" w:cstheme="minorEastAsia"/>
          <w:color w:val="auto"/>
          <w:sz w:val="21"/>
          <w:szCs w:val="21"/>
          <w:highlight w:val="none"/>
        </w:rPr>
      </w:pPr>
      <w:bookmarkStart w:id="275" w:name="_bookmark141"/>
      <w:bookmarkEnd w:id="275"/>
      <w:r>
        <w:rPr>
          <w:rFonts w:hint="eastAsia" w:asciiTheme="minorEastAsia" w:hAnsiTheme="minorEastAsia" w:eastAsiaTheme="minorEastAsia" w:cstheme="minorEastAsia"/>
          <w:color w:val="auto"/>
          <w:sz w:val="21"/>
          <w:szCs w:val="21"/>
          <w:highlight w:val="none"/>
        </w:rPr>
        <w:t>8.1  变更情形</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8.1.1 合同履行中发生下述情形时，合同一方均可向对方提出变更请求，经双方协商一致后 进行变更，监理服务期限和监理报酬的调整方法在专用合同条款中约定。</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（1）监理范围发生变化；</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（2）除不可抗力外，非监理人的原因引起的周期延误；</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（3）非监理人的原因，对工程同一部分重复进行监理；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（4）非监理人的原因，对工程暂停监理及恢复监理。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8.1.2 基准日后，因颁布新的或修订原有法律、法规、规范和标准等引发合同变更情形的， 按照上述约定进行调整。</w:t>
      </w:r>
    </w:p>
    <w:p>
      <w:pPr>
        <w:pStyle w:val="41"/>
        <w:rPr>
          <w:rFonts w:hint="eastAsia" w:asciiTheme="minorEastAsia" w:hAnsiTheme="minorEastAsia" w:eastAsiaTheme="minorEastAsia" w:cstheme="minorEastAsia"/>
          <w:color w:val="auto"/>
          <w:sz w:val="21"/>
          <w:szCs w:val="21"/>
          <w:highlight w:val="none"/>
        </w:rPr>
      </w:pPr>
      <w:bookmarkStart w:id="276" w:name="_bookmark142"/>
      <w:bookmarkEnd w:id="276"/>
      <w:r>
        <w:rPr>
          <w:rFonts w:hint="eastAsia" w:asciiTheme="minorEastAsia" w:hAnsiTheme="minorEastAsia" w:eastAsiaTheme="minorEastAsia" w:cstheme="minorEastAsia"/>
          <w:color w:val="auto"/>
          <w:sz w:val="21"/>
          <w:szCs w:val="21"/>
          <w:highlight w:val="none"/>
        </w:rPr>
        <w:t>8.2  合理化建议</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8.2.1 合同履行中，监理人可对委托人要求提出合理化建议。合理化建议应以书面形式提交委托人，被委托人采纳并构成变更的，执行第</w:t>
      </w:r>
      <w:r>
        <w:rPr>
          <w:rFonts w:hint="eastAsia" w:asciiTheme="minorEastAsia" w:hAnsiTheme="minorEastAsia" w:eastAsiaTheme="minorEastAsia" w:cstheme="minorEastAsia"/>
          <w:color w:val="auto"/>
          <w:spacing w:val="-57"/>
          <w:sz w:val="21"/>
          <w:szCs w:val="21"/>
          <w:highlight w:val="none"/>
        </w:rPr>
        <w:t xml:space="preserve"> </w:t>
      </w:r>
      <w:r>
        <w:rPr>
          <w:rFonts w:hint="eastAsia" w:asciiTheme="minorEastAsia" w:hAnsiTheme="minorEastAsia" w:eastAsiaTheme="minorEastAsia" w:cstheme="minorEastAsia"/>
          <w:color w:val="auto"/>
          <w:sz w:val="21"/>
          <w:szCs w:val="21"/>
          <w:highlight w:val="none"/>
        </w:rPr>
        <w:t>8.1 款约定。</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8.2.2 监理人提出的合理化建议降低了工程投资、缩短了施工期限或者提高了工程经济效益 的，委托人应按专用合同条款中的约定给予奖励。</w:t>
      </w:r>
    </w:p>
    <w:p>
      <w:pPr>
        <w:pStyle w:val="43"/>
        <w:ind w:left="0" w:leftChars="0" w:firstLine="422" w:firstLineChars="200"/>
        <w:rPr>
          <w:rFonts w:hint="eastAsia" w:asciiTheme="minorEastAsia" w:hAnsiTheme="minorEastAsia" w:eastAsiaTheme="minorEastAsia" w:cstheme="minorEastAsia"/>
          <w:color w:val="auto"/>
          <w:sz w:val="21"/>
          <w:szCs w:val="21"/>
          <w:highlight w:val="none"/>
        </w:rPr>
      </w:pPr>
      <w:bookmarkStart w:id="277" w:name="_bookmark143"/>
      <w:bookmarkEnd w:id="277"/>
      <w:bookmarkStart w:id="278" w:name="_Toc503856960"/>
      <w:bookmarkStart w:id="279" w:name="_Toc508294980"/>
      <w:bookmarkStart w:id="280" w:name="_Toc25898"/>
      <w:bookmarkStart w:id="281" w:name="_Toc503538382"/>
      <w:bookmarkStart w:id="282" w:name="_Toc509329658"/>
      <w:bookmarkStart w:id="283" w:name="_Toc508295106"/>
      <w:bookmarkStart w:id="284" w:name="_Toc508963111"/>
      <w:r>
        <w:rPr>
          <w:rFonts w:hint="eastAsia" w:asciiTheme="minorEastAsia" w:hAnsiTheme="minorEastAsia" w:eastAsiaTheme="minorEastAsia" w:cstheme="minorEastAsia"/>
          <w:color w:val="auto"/>
          <w:sz w:val="21"/>
          <w:szCs w:val="21"/>
          <w:highlight w:val="none"/>
        </w:rPr>
        <w:t>9.  合同价格与支付</w:t>
      </w:r>
      <w:bookmarkEnd w:id="278"/>
      <w:bookmarkEnd w:id="279"/>
      <w:bookmarkEnd w:id="280"/>
      <w:bookmarkEnd w:id="281"/>
      <w:bookmarkEnd w:id="282"/>
      <w:bookmarkEnd w:id="283"/>
      <w:bookmarkEnd w:id="284"/>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285" w:name="_bookmark144"/>
      <w:bookmarkEnd w:id="285"/>
      <w:r>
        <w:rPr>
          <w:rFonts w:hint="eastAsia" w:asciiTheme="minorEastAsia" w:hAnsiTheme="minorEastAsia" w:eastAsiaTheme="minorEastAsia" w:cstheme="minorEastAsia"/>
          <w:color w:val="auto"/>
          <w:sz w:val="21"/>
          <w:szCs w:val="21"/>
          <w:highlight w:val="none"/>
        </w:rPr>
        <w:t>9.1  合同价格</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9.1.1 本合同的价款确定方式、调整方式和风险范围划分，在专用合同条款中约定。</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9.1.2 除专用合同条款另有约定外，合同价格应当包括收集资料、踏勘现场、制订纲要、实 施监理、编制监理文件等全部费用和国家规定的增值税税金。</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9.1.3 委托人要求监理人进行外出考察、试验检测、专项咨询或专家评审时，相应费用不含在合同价格之中，由委托人另行支付。</w:t>
      </w:r>
    </w:p>
    <w:p>
      <w:pPr>
        <w:pStyle w:val="41"/>
        <w:rPr>
          <w:rFonts w:hint="eastAsia" w:asciiTheme="minorEastAsia" w:hAnsiTheme="minorEastAsia" w:eastAsiaTheme="minorEastAsia" w:cstheme="minorEastAsia"/>
          <w:color w:val="auto"/>
          <w:sz w:val="21"/>
          <w:szCs w:val="21"/>
          <w:highlight w:val="none"/>
        </w:rPr>
      </w:pPr>
      <w:bookmarkStart w:id="286" w:name="_bookmark145"/>
      <w:bookmarkEnd w:id="286"/>
      <w:r>
        <w:rPr>
          <w:rFonts w:hint="eastAsia" w:asciiTheme="minorEastAsia" w:hAnsiTheme="minorEastAsia" w:eastAsiaTheme="minorEastAsia" w:cstheme="minorEastAsia"/>
          <w:color w:val="auto"/>
          <w:sz w:val="21"/>
          <w:szCs w:val="21"/>
          <w:highlight w:val="none"/>
        </w:rPr>
        <w:t>9.2  预付款</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9.2.1 预付款应专用于本工程的监理。预付款的额度、支付方式及抵扣方式在专用合同条款 中约定。</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9.2.2 委托人应在收到预付款支付申请后 28 天内，将预付款支付给监理人；监理人应当提供等额的增值税发票。</w:t>
      </w:r>
    </w:p>
    <w:p>
      <w:pPr>
        <w:pStyle w:val="41"/>
        <w:rPr>
          <w:rFonts w:hint="eastAsia" w:asciiTheme="minorEastAsia" w:hAnsiTheme="minorEastAsia" w:eastAsiaTheme="minorEastAsia" w:cstheme="minorEastAsia"/>
          <w:color w:val="auto"/>
          <w:sz w:val="21"/>
          <w:szCs w:val="21"/>
          <w:highlight w:val="none"/>
        </w:rPr>
      </w:pPr>
      <w:bookmarkStart w:id="287" w:name="_bookmark146"/>
      <w:bookmarkEnd w:id="287"/>
      <w:r>
        <w:rPr>
          <w:rFonts w:hint="eastAsia" w:asciiTheme="minorEastAsia" w:hAnsiTheme="minorEastAsia" w:eastAsiaTheme="minorEastAsia" w:cstheme="minorEastAsia"/>
          <w:color w:val="auto"/>
          <w:sz w:val="21"/>
          <w:szCs w:val="21"/>
          <w:highlight w:val="none"/>
        </w:rPr>
        <w:t>9.3  中期支付</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9.3.1 监理人应按委托人批准或专用合同条款约定的格式及份数，向委托人提交中期支付申 请，并附相应的支持性证明文件。</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9.3.2 委托人应在收到中期支付申请后的 28 天内，将应付款项支付给监理人；监理人应当提供等额的增值税发票。委托人未能在前述时间内完成审批或不予答复的，视为委托人同意中 期支付申请。委托人不按期支付的，按专用合同条款的约定支付逾期付款违约金。</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9.3.3 中期支付涉及政府投资资金的，按照国库集中支付等国家相关规定和专用合同条款的 约定执行。</w:t>
      </w:r>
    </w:p>
    <w:p>
      <w:pPr>
        <w:pStyle w:val="41"/>
        <w:rPr>
          <w:rFonts w:hint="eastAsia" w:asciiTheme="minorEastAsia" w:hAnsiTheme="minorEastAsia" w:eastAsiaTheme="minorEastAsia" w:cstheme="minorEastAsia"/>
          <w:color w:val="auto"/>
          <w:sz w:val="21"/>
          <w:szCs w:val="21"/>
          <w:highlight w:val="none"/>
        </w:rPr>
      </w:pPr>
      <w:bookmarkStart w:id="288" w:name="_bookmark147"/>
      <w:bookmarkEnd w:id="288"/>
      <w:r>
        <w:rPr>
          <w:rFonts w:hint="eastAsia" w:asciiTheme="minorEastAsia" w:hAnsiTheme="minorEastAsia" w:eastAsiaTheme="minorEastAsia" w:cstheme="minorEastAsia"/>
          <w:color w:val="auto"/>
          <w:sz w:val="21"/>
          <w:szCs w:val="21"/>
          <w:highlight w:val="none"/>
        </w:rPr>
        <w:t>9.4  费用结算</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9.4.1 合同工作完成后，监理人可按专用合同条款约定的份数和期限，向委托人提交监理费 用结算申请，并提供相关证明材料。</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9.4.2 委托人应在收到费用结算申请后的 28 天内，将应付款项支付给监理人；监理人应当 提供等额的增值税发票。委托人未能在前述时间内完成审批或不予答复的，视为委托人同意费 用结算申请。委托人不按期支付的，按专用合同条款的约定支付逾期付款违约金。</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9.4.3 委托人对费用结算申请内容有异议的，有权要求监理人进行修正和提供补充资料，由监理人重新提交。监理人对此有异议的，按第 12 条的约定执行。</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9.4.4 最终结清付款涉及政府投资资金的，按第 9.3.3 项的约定执行。</w:t>
      </w:r>
    </w:p>
    <w:p>
      <w:pPr>
        <w:pStyle w:val="43"/>
        <w:rPr>
          <w:rFonts w:hint="eastAsia" w:asciiTheme="minorEastAsia" w:hAnsiTheme="minorEastAsia" w:eastAsiaTheme="minorEastAsia" w:cstheme="minorEastAsia"/>
          <w:color w:val="auto"/>
          <w:sz w:val="21"/>
          <w:szCs w:val="21"/>
          <w:highlight w:val="none"/>
        </w:rPr>
      </w:pPr>
      <w:bookmarkStart w:id="289" w:name="_bookmark148"/>
      <w:bookmarkEnd w:id="289"/>
      <w:bookmarkStart w:id="290" w:name="_Toc25743"/>
      <w:bookmarkStart w:id="291" w:name="_Toc503538383"/>
      <w:bookmarkStart w:id="292" w:name="_Toc508295107"/>
      <w:bookmarkStart w:id="293" w:name="_Toc508294981"/>
      <w:bookmarkStart w:id="294" w:name="_Toc503856961"/>
      <w:bookmarkStart w:id="295" w:name="_Toc509329659"/>
      <w:bookmarkStart w:id="296" w:name="_Toc508963112"/>
      <w:r>
        <w:rPr>
          <w:rFonts w:hint="eastAsia" w:asciiTheme="minorEastAsia" w:hAnsiTheme="minorEastAsia" w:eastAsiaTheme="minorEastAsia" w:cstheme="minorEastAsia"/>
          <w:color w:val="auto"/>
          <w:sz w:val="21"/>
          <w:szCs w:val="21"/>
          <w:highlight w:val="none"/>
        </w:rPr>
        <w:t>10.  不可抗力</w:t>
      </w:r>
      <w:bookmarkEnd w:id="290"/>
      <w:bookmarkEnd w:id="291"/>
      <w:bookmarkEnd w:id="292"/>
      <w:bookmarkEnd w:id="293"/>
      <w:bookmarkEnd w:id="294"/>
      <w:bookmarkEnd w:id="295"/>
      <w:bookmarkEnd w:id="296"/>
    </w:p>
    <w:p>
      <w:pPr>
        <w:pStyle w:val="41"/>
        <w:rPr>
          <w:rFonts w:hint="eastAsia" w:asciiTheme="minorEastAsia" w:hAnsiTheme="minorEastAsia" w:eastAsiaTheme="minorEastAsia" w:cstheme="minorEastAsia"/>
          <w:color w:val="auto"/>
          <w:sz w:val="21"/>
          <w:szCs w:val="21"/>
          <w:highlight w:val="none"/>
        </w:rPr>
      </w:pPr>
      <w:bookmarkStart w:id="297" w:name="_bookmark149"/>
      <w:bookmarkEnd w:id="297"/>
      <w:r>
        <w:rPr>
          <w:rFonts w:hint="eastAsia" w:asciiTheme="minorEastAsia" w:hAnsiTheme="minorEastAsia" w:eastAsiaTheme="minorEastAsia" w:cstheme="minorEastAsia"/>
          <w:color w:val="auto"/>
          <w:sz w:val="21"/>
          <w:szCs w:val="21"/>
          <w:highlight w:val="none"/>
        </w:rPr>
        <w:t>10.1</w:t>
      </w:r>
      <w:r>
        <w:rPr>
          <w:rFonts w:hint="eastAsia" w:asciiTheme="minorEastAsia" w:hAnsiTheme="minorEastAsia" w:eastAsiaTheme="minorEastAsia" w:cstheme="minorEastAsia"/>
          <w:color w:val="auto"/>
          <w:spacing w:val="68"/>
          <w:sz w:val="21"/>
          <w:szCs w:val="21"/>
          <w:highlight w:val="none"/>
        </w:rPr>
        <w:t xml:space="preserve"> </w:t>
      </w:r>
      <w:r>
        <w:rPr>
          <w:rFonts w:hint="eastAsia" w:asciiTheme="minorEastAsia" w:hAnsiTheme="minorEastAsia" w:eastAsiaTheme="minorEastAsia" w:cstheme="minorEastAsia"/>
          <w:color w:val="auto"/>
          <w:sz w:val="21"/>
          <w:szCs w:val="21"/>
          <w:highlight w:val="none"/>
        </w:rPr>
        <w:t>不可抗力的确认</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10.1.1 不可抗力是指监理人和委托人在订立合同时不可预见，在履行合同过程中不可避免 发生并不能克服的自然灾害和社会性突发事件，如地震、海啸、瘟疫、水灾、骚乱、暴动、战 争和专用合同条款约定的其他情形。</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10.1.2 不可抗力发生后，委托人和监理人应及时认真统计所造成的损失，收集不可抗力造成损</w:t>
      </w:r>
      <w:r>
        <w:rPr>
          <w:rFonts w:hint="eastAsia" w:asciiTheme="minorEastAsia" w:hAnsiTheme="minorEastAsia" w:eastAsiaTheme="minorEastAsia" w:cstheme="minorEastAsia"/>
          <w:color w:val="auto"/>
          <w:spacing w:val="-3"/>
          <w:sz w:val="21"/>
          <w:szCs w:val="21"/>
          <w:highlight w:val="none"/>
        </w:rPr>
        <w:t>失</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pacing w:val="-3"/>
          <w:sz w:val="21"/>
          <w:szCs w:val="21"/>
          <w:highlight w:val="none"/>
        </w:rPr>
        <w:t>证</w:t>
      </w:r>
      <w:r>
        <w:rPr>
          <w:rFonts w:hint="eastAsia" w:asciiTheme="minorEastAsia" w:hAnsiTheme="minorEastAsia" w:eastAsiaTheme="minorEastAsia" w:cstheme="minorEastAsia"/>
          <w:color w:val="auto"/>
          <w:sz w:val="21"/>
          <w:szCs w:val="21"/>
          <w:highlight w:val="none"/>
        </w:rPr>
        <w:t>据</w:t>
      </w:r>
      <w:r>
        <w:rPr>
          <w:rFonts w:hint="eastAsia" w:asciiTheme="minorEastAsia" w:hAnsiTheme="minorEastAsia" w:eastAsiaTheme="minorEastAsia" w:cstheme="minorEastAsia"/>
          <w:color w:val="auto"/>
          <w:spacing w:val="-92"/>
          <w:sz w:val="21"/>
          <w:szCs w:val="21"/>
          <w:highlight w:val="none"/>
        </w:rPr>
        <w:t>。</w:t>
      </w:r>
      <w:r>
        <w:rPr>
          <w:rFonts w:hint="eastAsia" w:asciiTheme="minorEastAsia" w:hAnsiTheme="minorEastAsia" w:eastAsiaTheme="minorEastAsia" w:cstheme="minorEastAsia"/>
          <w:color w:val="auto"/>
          <w:spacing w:val="-3"/>
          <w:sz w:val="21"/>
          <w:szCs w:val="21"/>
          <w:highlight w:val="none"/>
        </w:rPr>
        <w:t>合</w:t>
      </w:r>
      <w:r>
        <w:rPr>
          <w:rFonts w:hint="eastAsia" w:asciiTheme="minorEastAsia" w:hAnsiTheme="minorEastAsia" w:eastAsiaTheme="minorEastAsia" w:cstheme="minorEastAsia"/>
          <w:color w:val="auto"/>
          <w:sz w:val="21"/>
          <w:szCs w:val="21"/>
          <w:highlight w:val="none"/>
        </w:rPr>
        <w:t>同</w:t>
      </w:r>
      <w:r>
        <w:rPr>
          <w:rFonts w:hint="eastAsia" w:asciiTheme="minorEastAsia" w:hAnsiTheme="minorEastAsia" w:eastAsiaTheme="minorEastAsia" w:cstheme="minorEastAsia"/>
          <w:color w:val="auto"/>
          <w:spacing w:val="-3"/>
          <w:sz w:val="21"/>
          <w:szCs w:val="21"/>
          <w:highlight w:val="none"/>
        </w:rPr>
        <w:t>双</w:t>
      </w:r>
      <w:r>
        <w:rPr>
          <w:rFonts w:hint="eastAsia" w:asciiTheme="minorEastAsia" w:hAnsiTheme="minorEastAsia" w:eastAsiaTheme="minorEastAsia" w:cstheme="minorEastAsia"/>
          <w:color w:val="auto"/>
          <w:sz w:val="21"/>
          <w:szCs w:val="21"/>
          <w:highlight w:val="none"/>
        </w:rPr>
        <w:t>方</w:t>
      </w:r>
      <w:r>
        <w:rPr>
          <w:rFonts w:hint="eastAsia" w:asciiTheme="minorEastAsia" w:hAnsiTheme="minorEastAsia" w:eastAsiaTheme="minorEastAsia" w:cstheme="minorEastAsia"/>
          <w:color w:val="auto"/>
          <w:spacing w:val="-3"/>
          <w:sz w:val="21"/>
          <w:szCs w:val="21"/>
          <w:highlight w:val="none"/>
        </w:rPr>
        <w:t>对</w:t>
      </w:r>
      <w:r>
        <w:rPr>
          <w:rFonts w:hint="eastAsia" w:asciiTheme="minorEastAsia" w:hAnsiTheme="minorEastAsia" w:eastAsiaTheme="minorEastAsia" w:cstheme="minorEastAsia"/>
          <w:color w:val="auto"/>
          <w:sz w:val="21"/>
          <w:szCs w:val="21"/>
          <w:highlight w:val="none"/>
        </w:rPr>
        <w:t>是否</w:t>
      </w:r>
      <w:r>
        <w:rPr>
          <w:rFonts w:hint="eastAsia" w:asciiTheme="minorEastAsia" w:hAnsiTheme="minorEastAsia" w:eastAsiaTheme="minorEastAsia" w:cstheme="minorEastAsia"/>
          <w:color w:val="auto"/>
          <w:spacing w:val="-3"/>
          <w:sz w:val="21"/>
          <w:szCs w:val="21"/>
          <w:highlight w:val="none"/>
        </w:rPr>
        <w:t>属</w:t>
      </w:r>
      <w:r>
        <w:rPr>
          <w:rFonts w:hint="eastAsia" w:asciiTheme="minorEastAsia" w:hAnsiTheme="minorEastAsia" w:eastAsiaTheme="minorEastAsia" w:cstheme="minorEastAsia"/>
          <w:color w:val="auto"/>
          <w:sz w:val="21"/>
          <w:szCs w:val="21"/>
          <w:highlight w:val="none"/>
        </w:rPr>
        <w:t>于</w:t>
      </w:r>
      <w:r>
        <w:rPr>
          <w:rFonts w:hint="eastAsia" w:asciiTheme="minorEastAsia" w:hAnsiTheme="minorEastAsia" w:eastAsiaTheme="minorEastAsia" w:cstheme="minorEastAsia"/>
          <w:color w:val="auto"/>
          <w:spacing w:val="-3"/>
          <w:sz w:val="21"/>
          <w:szCs w:val="21"/>
          <w:highlight w:val="none"/>
        </w:rPr>
        <w:t>不</w:t>
      </w:r>
      <w:r>
        <w:rPr>
          <w:rFonts w:hint="eastAsia" w:asciiTheme="minorEastAsia" w:hAnsiTheme="minorEastAsia" w:eastAsiaTheme="minorEastAsia" w:cstheme="minorEastAsia"/>
          <w:color w:val="auto"/>
          <w:sz w:val="21"/>
          <w:szCs w:val="21"/>
          <w:highlight w:val="none"/>
        </w:rPr>
        <w:t>可</w:t>
      </w:r>
      <w:r>
        <w:rPr>
          <w:rFonts w:hint="eastAsia" w:asciiTheme="minorEastAsia" w:hAnsiTheme="minorEastAsia" w:eastAsiaTheme="minorEastAsia" w:cstheme="minorEastAsia"/>
          <w:color w:val="auto"/>
          <w:spacing w:val="-3"/>
          <w:sz w:val="21"/>
          <w:szCs w:val="21"/>
          <w:highlight w:val="none"/>
        </w:rPr>
        <w:t>抗</w:t>
      </w:r>
      <w:r>
        <w:rPr>
          <w:rFonts w:hint="eastAsia" w:asciiTheme="minorEastAsia" w:hAnsiTheme="minorEastAsia" w:eastAsiaTheme="minorEastAsia" w:cstheme="minorEastAsia"/>
          <w:color w:val="auto"/>
          <w:sz w:val="21"/>
          <w:szCs w:val="21"/>
          <w:highlight w:val="none"/>
        </w:rPr>
        <w:t>力</w:t>
      </w:r>
      <w:r>
        <w:rPr>
          <w:rFonts w:hint="eastAsia" w:asciiTheme="minorEastAsia" w:hAnsiTheme="minorEastAsia" w:eastAsiaTheme="minorEastAsia" w:cstheme="minorEastAsia"/>
          <w:color w:val="auto"/>
          <w:spacing w:val="-3"/>
          <w:sz w:val="21"/>
          <w:szCs w:val="21"/>
          <w:highlight w:val="none"/>
        </w:rPr>
        <w:t>或</w:t>
      </w:r>
      <w:r>
        <w:rPr>
          <w:rFonts w:hint="eastAsia" w:asciiTheme="minorEastAsia" w:hAnsiTheme="minorEastAsia" w:eastAsiaTheme="minorEastAsia" w:cstheme="minorEastAsia"/>
          <w:color w:val="auto"/>
          <w:sz w:val="21"/>
          <w:szCs w:val="21"/>
          <w:highlight w:val="none"/>
        </w:rPr>
        <w:t>其</w:t>
      </w:r>
      <w:r>
        <w:rPr>
          <w:rFonts w:hint="eastAsia" w:asciiTheme="minorEastAsia" w:hAnsiTheme="minorEastAsia" w:eastAsiaTheme="minorEastAsia" w:cstheme="minorEastAsia"/>
          <w:color w:val="auto"/>
          <w:spacing w:val="-3"/>
          <w:sz w:val="21"/>
          <w:szCs w:val="21"/>
          <w:highlight w:val="none"/>
        </w:rPr>
        <w:t>损</w:t>
      </w:r>
      <w:r>
        <w:rPr>
          <w:rFonts w:hint="eastAsia" w:asciiTheme="minorEastAsia" w:hAnsiTheme="minorEastAsia" w:eastAsiaTheme="minorEastAsia" w:cstheme="minorEastAsia"/>
          <w:color w:val="auto"/>
          <w:sz w:val="21"/>
          <w:szCs w:val="21"/>
          <w:highlight w:val="none"/>
        </w:rPr>
        <w:t>失的</w:t>
      </w:r>
      <w:r>
        <w:rPr>
          <w:rFonts w:hint="eastAsia" w:asciiTheme="minorEastAsia" w:hAnsiTheme="minorEastAsia" w:eastAsiaTheme="minorEastAsia" w:cstheme="minorEastAsia"/>
          <w:color w:val="auto"/>
          <w:spacing w:val="-3"/>
          <w:sz w:val="21"/>
          <w:szCs w:val="21"/>
          <w:highlight w:val="none"/>
        </w:rPr>
        <w:t>意</w:t>
      </w:r>
      <w:r>
        <w:rPr>
          <w:rFonts w:hint="eastAsia" w:asciiTheme="minorEastAsia" w:hAnsiTheme="minorEastAsia" w:eastAsiaTheme="minorEastAsia" w:cstheme="minorEastAsia"/>
          <w:color w:val="auto"/>
          <w:sz w:val="21"/>
          <w:szCs w:val="21"/>
          <w:highlight w:val="none"/>
        </w:rPr>
        <w:t>见</w:t>
      </w:r>
      <w:r>
        <w:rPr>
          <w:rFonts w:hint="eastAsia" w:asciiTheme="minorEastAsia" w:hAnsiTheme="minorEastAsia" w:eastAsiaTheme="minorEastAsia" w:cstheme="minorEastAsia"/>
          <w:color w:val="auto"/>
          <w:spacing w:val="-3"/>
          <w:sz w:val="21"/>
          <w:szCs w:val="21"/>
          <w:highlight w:val="none"/>
        </w:rPr>
        <w:t>不</w:t>
      </w:r>
      <w:r>
        <w:rPr>
          <w:rFonts w:hint="eastAsia" w:asciiTheme="minorEastAsia" w:hAnsiTheme="minorEastAsia" w:eastAsiaTheme="minorEastAsia" w:cstheme="minorEastAsia"/>
          <w:color w:val="auto"/>
          <w:sz w:val="21"/>
          <w:szCs w:val="21"/>
          <w:highlight w:val="none"/>
        </w:rPr>
        <w:t>一</w:t>
      </w:r>
      <w:r>
        <w:rPr>
          <w:rFonts w:hint="eastAsia" w:asciiTheme="minorEastAsia" w:hAnsiTheme="minorEastAsia" w:eastAsiaTheme="minorEastAsia" w:cstheme="minorEastAsia"/>
          <w:color w:val="auto"/>
          <w:spacing w:val="-3"/>
          <w:sz w:val="21"/>
          <w:szCs w:val="21"/>
          <w:highlight w:val="none"/>
        </w:rPr>
        <w:t>致</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pacing w:val="-92"/>
          <w:sz w:val="21"/>
          <w:szCs w:val="21"/>
          <w:highlight w:val="none"/>
        </w:rPr>
        <w:t>，</w:t>
      </w:r>
      <w:r>
        <w:rPr>
          <w:rFonts w:hint="eastAsia" w:asciiTheme="minorEastAsia" w:hAnsiTheme="minorEastAsia" w:eastAsiaTheme="minorEastAsia" w:cstheme="minorEastAsia"/>
          <w:color w:val="auto"/>
          <w:spacing w:val="-3"/>
          <w:sz w:val="21"/>
          <w:szCs w:val="21"/>
          <w:highlight w:val="none"/>
        </w:rPr>
        <w:t>由</w:t>
      </w:r>
      <w:r>
        <w:rPr>
          <w:rFonts w:hint="eastAsia" w:asciiTheme="minorEastAsia" w:hAnsiTheme="minorEastAsia" w:eastAsiaTheme="minorEastAsia" w:cstheme="minorEastAsia"/>
          <w:color w:val="auto"/>
          <w:sz w:val="21"/>
          <w:szCs w:val="21"/>
          <w:highlight w:val="none"/>
        </w:rPr>
        <w:t>合</w:t>
      </w:r>
      <w:r>
        <w:rPr>
          <w:rFonts w:hint="eastAsia" w:asciiTheme="minorEastAsia" w:hAnsiTheme="minorEastAsia" w:eastAsiaTheme="minorEastAsia" w:cstheme="minorEastAsia"/>
          <w:color w:val="auto"/>
          <w:spacing w:val="-3"/>
          <w:sz w:val="21"/>
          <w:szCs w:val="21"/>
          <w:highlight w:val="none"/>
        </w:rPr>
        <w:t>同</w:t>
      </w:r>
      <w:r>
        <w:rPr>
          <w:rFonts w:hint="eastAsia" w:asciiTheme="minorEastAsia" w:hAnsiTheme="minorEastAsia" w:eastAsiaTheme="minorEastAsia" w:cstheme="minorEastAsia"/>
          <w:color w:val="auto"/>
          <w:sz w:val="21"/>
          <w:szCs w:val="21"/>
          <w:highlight w:val="none"/>
        </w:rPr>
        <w:t>双方</w:t>
      </w:r>
      <w:r>
        <w:rPr>
          <w:rFonts w:hint="eastAsia" w:asciiTheme="minorEastAsia" w:hAnsiTheme="minorEastAsia" w:eastAsiaTheme="minorEastAsia" w:cstheme="minorEastAsia"/>
          <w:color w:val="auto"/>
          <w:spacing w:val="-3"/>
          <w:sz w:val="21"/>
          <w:szCs w:val="21"/>
          <w:highlight w:val="none"/>
        </w:rPr>
        <w:t>协商确定</w:t>
      </w:r>
      <w:r>
        <w:rPr>
          <w:rFonts w:hint="eastAsia" w:asciiTheme="minorEastAsia" w:hAnsiTheme="minorEastAsia" w:eastAsiaTheme="minorEastAsia" w:cstheme="minorEastAsia"/>
          <w:color w:val="auto"/>
          <w:sz w:val="21"/>
          <w:szCs w:val="21"/>
          <w:highlight w:val="none"/>
        </w:rPr>
        <w:t>。</w:t>
      </w:r>
    </w:p>
    <w:p>
      <w:pPr>
        <w:pStyle w:val="41"/>
        <w:rPr>
          <w:rFonts w:hint="eastAsia" w:asciiTheme="minorEastAsia" w:hAnsiTheme="minorEastAsia" w:eastAsiaTheme="minorEastAsia" w:cstheme="minorEastAsia"/>
          <w:color w:val="auto"/>
          <w:sz w:val="21"/>
          <w:szCs w:val="21"/>
          <w:highlight w:val="none"/>
        </w:rPr>
      </w:pPr>
      <w:bookmarkStart w:id="298" w:name="_bookmark150"/>
      <w:bookmarkEnd w:id="298"/>
      <w:r>
        <w:rPr>
          <w:rFonts w:hint="eastAsia" w:asciiTheme="minorEastAsia" w:hAnsiTheme="minorEastAsia" w:eastAsiaTheme="minorEastAsia" w:cstheme="minorEastAsia"/>
          <w:color w:val="auto"/>
          <w:sz w:val="21"/>
          <w:szCs w:val="21"/>
          <w:highlight w:val="none"/>
        </w:rPr>
        <w:t>10.2</w:t>
      </w:r>
      <w:r>
        <w:rPr>
          <w:rFonts w:hint="eastAsia" w:asciiTheme="minorEastAsia" w:hAnsiTheme="minorEastAsia" w:eastAsiaTheme="minorEastAsia" w:cstheme="minorEastAsia"/>
          <w:color w:val="auto"/>
          <w:spacing w:val="68"/>
          <w:sz w:val="21"/>
          <w:szCs w:val="21"/>
          <w:highlight w:val="none"/>
        </w:rPr>
        <w:t xml:space="preserve"> </w:t>
      </w:r>
      <w:r>
        <w:rPr>
          <w:rFonts w:hint="eastAsia" w:asciiTheme="minorEastAsia" w:hAnsiTheme="minorEastAsia" w:eastAsiaTheme="minorEastAsia" w:cstheme="minorEastAsia"/>
          <w:color w:val="auto"/>
          <w:sz w:val="21"/>
          <w:szCs w:val="21"/>
          <w:highlight w:val="none"/>
        </w:rPr>
        <w:t>不可抗力的通知</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10.2.1 合同一方当事人遇到不可抗力事件，使其履行合同义务受到阻碍时，应立即通知合 同另一方当事人，书面说明不可抗力和受阻碍的详细情况，并提供必要的证明。</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10.2.2  如不可抗力持续发生，合同一方当事人应及时向合同另一方当事人提交中间报告，</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说明不可抗力和履行合同受阻的情况，并于不可抗力事件结束后 28 天内提交最终报告及有关资 料。</w:t>
      </w:r>
    </w:p>
    <w:p>
      <w:pPr>
        <w:pStyle w:val="41"/>
        <w:rPr>
          <w:rFonts w:hint="eastAsia" w:asciiTheme="minorEastAsia" w:hAnsiTheme="minorEastAsia" w:eastAsiaTheme="minorEastAsia" w:cstheme="minorEastAsia"/>
          <w:color w:val="auto"/>
          <w:sz w:val="21"/>
          <w:szCs w:val="21"/>
          <w:highlight w:val="none"/>
        </w:rPr>
      </w:pPr>
      <w:bookmarkStart w:id="299" w:name="_bookmark151"/>
      <w:bookmarkEnd w:id="299"/>
      <w:r>
        <w:rPr>
          <w:rFonts w:hint="eastAsia" w:asciiTheme="minorEastAsia" w:hAnsiTheme="minorEastAsia" w:eastAsiaTheme="minorEastAsia" w:cstheme="minorEastAsia"/>
          <w:color w:val="auto"/>
          <w:sz w:val="21"/>
          <w:szCs w:val="21"/>
          <w:highlight w:val="none"/>
        </w:rPr>
        <w:t>10.3  不可抗力后果及其处理</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10.3.1 不可抗力引起的后果及其损失，应由合同当事人依据法律规定各自承担。不可抗力 发生前已完成的监理工作，应当按照合同约定进行支付。</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10.3.2 不可抗力发生后，合同当事人应当采取有效措施避免损失进一步扩大，如未采取有 效措施致使损失扩大的，应当自行承担扩大部分的损失。</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10.3.3 因一方当事人迟延履行合同义务，致使迟延履行期间遭遇不可抗力的，应由该当事 人承担全部损失。</w:t>
      </w:r>
    </w:p>
    <w:p>
      <w:pPr>
        <w:pStyle w:val="43"/>
        <w:rPr>
          <w:rFonts w:hint="eastAsia" w:asciiTheme="minorEastAsia" w:hAnsiTheme="minorEastAsia" w:eastAsiaTheme="minorEastAsia" w:cstheme="minorEastAsia"/>
          <w:color w:val="auto"/>
          <w:sz w:val="21"/>
          <w:szCs w:val="21"/>
          <w:highlight w:val="none"/>
        </w:rPr>
      </w:pPr>
      <w:bookmarkStart w:id="300" w:name="_bookmark152"/>
      <w:bookmarkEnd w:id="300"/>
      <w:bookmarkStart w:id="301" w:name="_Toc509329660"/>
      <w:bookmarkStart w:id="302" w:name="_Toc508963113"/>
      <w:bookmarkStart w:id="303" w:name="_Toc508294982"/>
      <w:bookmarkStart w:id="304" w:name="_Toc13136"/>
      <w:bookmarkStart w:id="305" w:name="_Toc503856962"/>
      <w:bookmarkStart w:id="306" w:name="_Toc503538384"/>
      <w:bookmarkStart w:id="307" w:name="_Toc508295108"/>
      <w:r>
        <w:rPr>
          <w:rFonts w:hint="eastAsia" w:asciiTheme="minorEastAsia" w:hAnsiTheme="minorEastAsia" w:eastAsiaTheme="minorEastAsia" w:cstheme="minorEastAsia"/>
          <w:color w:val="auto"/>
          <w:sz w:val="21"/>
          <w:szCs w:val="21"/>
          <w:highlight w:val="none"/>
        </w:rPr>
        <w:t>11.  违约</w:t>
      </w:r>
      <w:bookmarkEnd w:id="301"/>
      <w:bookmarkEnd w:id="302"/>
      <w:bookmarkEnd w:id="303"/>
      <w:bookmarkEnd w:id="304"/>
      <w:bookmarkEnd w:id="305"/>
      <w:bookmarkEnd w:id="306"/>
      <w:bookmarkEnd w:id="307"/>
    </w:p>
    <w:p>
      <w:pPr>
        <w:pStyle w:val="41"/>
        <w:rPr>
          <w:rFonts w:hint="eastAsia" w:asciiTheme="minorEastAsia" w:hAnsiTheme="minorEastAsia" w:eastAsiaTheme="minorEastAsia" w:cstheme="minorEastAsia"/>
          <w:color w:val="auto"/>
          <w:sz w:val="21"/>
          <w:szCs w:val="21"/>
          <w:highlight w:val="none"/>
        </w:rPr>
      </w:pPr>
      <w:bookmarkStart w:id="308" w:name="_bookmark153"/>
      <w:bookmarkEnd w:id="308"/>
      <w:r>
        <w:rPr>
          <w:rFonts w:hint="eastAsia" w:asciiTheme="minorEastAsia" w:hAnsiTheme="minorEastAsia" w:eastAsiaTheme="minorEastAsia" w:cstheme="minorEastAsia"/>
          <w:color w:val="auto"/>
          <w:sz w:val="21"/>
          <w:szCs w:val="21"/>
          <w:highlight w:val="none"/>
        </w:rPr>
        <w:t>11.1  监理人违约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11.1.1 合同履行中发生下列情况之一的，属监理人违约：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（1）监理文件不符合规范标准以及合同约定；</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（2）监理人转让监理工作；</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（3）监理人未按合同约定实施监理并造成工程损失；</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（4）监理人无法履行或停止履行合同；</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（5）监理人不履行合同约定的其他义务。</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11.1.2 监理人发生违约情况时，委托人可向监理人发出整改通知，要求其在限定期限内纠 正；逾期仍不纠正的，委托人有权解除合同并向监理人发出解除合同通知。监理人应当承担由 于违约所造成的费用增加、周期延误和委托人损失等。</w:t>
      </w:r>
    </w:p>
    <w:p>
      <w:pPr>
        <w:pStyle w:val="41"/>
        <w:rPr>
          <w:rFonts w:hint="eastAsia" w:asciiTheme="minorEastAsia" w:hAnsiTheme="minorEastAsia" w:eastAsiaTheme="minorEastAsia" w:cstheme="minorEastAsia"/>
          <w:color w:val="auto"/>
          <w:sz w:val="21"/>
          <w:szCs w:val="21"/>
          <w:highlight w:val="none"/>
        </w:rPr>
      </w:pPr>
      <w:bookmarkStart w:id="309" w:name="_bookmark154"/>
      <w:bookmarkEnd w:id="309"/>
      <w:r>
        <w:rPr>
          <w:rFonts w:hint="eastAsia" w:asciiTheme="minorEastAsia" w:hAnsiTheme="minorEastAsia" w:eastAsiaTheme="minorEastAsia" w:cstheme="minorEastAsia"/>
          <w:color w:val="auto"/>
          <w:sz w:val="21"/>
          <w:szCs w:val="21"/>
          <w:highlight w:val="none"/>
        </w:rPr>
        <w:t>12.2</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委托人违约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12.2.1 合同履行中发生下列情况之一的，属委托人违约：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（1）委托人未按合同约定支付监理报酬；</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（2）委托人原因造成监理停止；</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（3）委托人无法履行或停止履行合同；</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（4）委托人不履行合同约定的其他义务。</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11.2.2 委托人发生违约情况时，监理人可向委托人发出暂停监理通知，要求其在限定期限 内纠正；逾期仍不纠正的，监理人有权解除合同并向委托人发出解除合同通知。委托人应当承 担由于违约所造成的费用增加、周期延误和监理人损失等。</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bookmarkStart w:id="310" w:name="_bookmark155"/>
      <w:bookmarkEnd w:id="310"/>
      <w:r>
        <w:rPr>
          <w:rFonts w:hint="eastAsia" w:asciiTheme="minorEastAsia" w:hAnsiTheme="minorEastAsia" w:eastAsiaTheme="minorEastAsia" w:cstheme="minorEastAsia"/>
          <w:color w:val="auto"/>
          <w:sz w:val="21"/>
          <w:szCs w:val="21"/>
          <w:highlight w:val="none"/>
        </w:rPr>
        <w:t>11.3  第三人造成的违约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在履行合同过程中，一方当事人因第三人的原因造成违约的，应当向对方当事人承担违约 责任。一方当事人和第三人之间的纠纷，依照法律规定或者按照约定解决。</w:t>
      </w:r>
    </w:p>
    <w:p>
      <w:pPr>
        <w:pStyle w:val="43"/>
        <w:rPr>
          <w:rFonts w:hint="eastAsia" w:asciiTheme="minorEastAsia" w:hAnsiTheme="minorEastAsia" w:eastAsiaTheme="minorEastAsia" w:cstheme="minorEastAsia"/>
          <w:color w:val="auto"/>
          <w:sz w:val="21"/>
          <w:szCs w:val="21"/>
          <w:highlight w:val="none"/>
        </w:rPr>
      </w:pPr>
      <w:bookmarkStart w:id="311" w:name="_bookmark156"/>
      <w:bookmarkEnd w:id="311"/>
      <w:bookmarkStart w:id="312" w:name="_Toc20972"/>
      <w:bookmarkStart w:id="313" w:name="_Toc508294983"/>
      <w:bookmarkStart w:id="314" w:name="_Toc503538385"/>
      <w:bookmarkStart w:id="315" w:name="_Toc508963114"/>
      <w:bookmarkStart w:id="316" w:name="_Toc508295109"/>
      <w:bookmarkStart w:id="317" w:name="_Toc503856963"/>
      <w:bookmarkStart w:id="318" w:name="_Toc509329661"/>
      <w:r>
        <w:rPr>
          <w:rFonts w:hint="eastAsia" w:asciiTheme="minorEastAsia" w:hAnsiTheme="minorEastAsia" w:eastAsiaTheme="minorEastAsia" w:cstheme="minorEastAsia"/>
          <w:color w:val="auto"/>
          <w:sz w:val="21"/>
          <w:szCs w:val="21"/>
          <w:highlight w:val="none"/>
        </w:rPr>
        <w:t>12.  争议的解决</w:t>
      </w:r>
      <w:bookmarkEnd w:id="312"/>
      <w:bookmarkEnd w:id="313"/>
      <w:bookmarkEnd w:id="314"/>
      <w:bookmarkEnd w:id="315"/>
      <w:bookmarkEnd w:id="316"/>
      <w:bookmarkEnd w:id="317"/>
      <w:bookmarkEnd w:id="318"/>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委托人和监理人在履行合同中发生争议的，可以友好协商解决。合同当事人友好协商解决 不成的，可在专用合同条款中约定下列一种方式解决：</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（1）向约定的仲裁委员会申请仲裁；</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（2）向有管辖权的人民法院提起诉讼。</w:t>
      </w:r>
    </w:p>
    <w:p>
      <w:pPr>
        <w:pStyle w:val="3"/>
        <w:numPr>
          <w:ilvl w:val="1"/>
          <w:numId w:val="0"/>
        </w:numPr>
        <w:ind w:firstLine="643" w:firstLineChars="200"/>
        <w:rPr>
          <w:rFonts w:hint="eastAsia"/>
          <w:color w:val="auto"/>
          <w:highlight w:val="none"/>
        </w:rPr>
      </w:pPr>
      <w:bookmarkStart w:id="319" w:name="_Toc503856964"/>
      <w:bookmarkStart w:id="320" w:name="_Toc355269802"/>
      <w:bookmarkStart w:id="321" w:name="_Toc366138552"/>
      <w:bookmarkStart w:id="322" w:name="_Toc508294984"/>
      <w:bookmarkStart w:id="323" w:name="_Toc370151018"/>
      <w:bookmarkStart w:id="324" w:name="_Toc508295110"/>
      <w:bookmarkStart w:id="325" w:name="_Toc16495"/>
      <w:bookmarkStart w:id="326" w:name="_Toc509329662"/>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3"/>
        <w:numPr>
          <w:ilvl w:val="1"/>
          <w:numId w:val="0"/>
        </w:numPr>
        <w:ind w:firstLine="643" w:firstLineChars="200"/>
        <w:rPr>
          <w:rFonts w:hint="eastAsia"/>
          <w:color w:val="auto"/>
          <w:highlight w:val="none"/>
        </w:rPr>
      </w:pPr>
      <w:r>
        <w:rPr>
          <w:rFonts w:hint="eastAsia"/>
          <w:color w:val="auto"/>
          <w:highlight w:val="none"/>
        </w:rPr>
        <w:t>第三部分   专用</w:t>
      </w:r>
      <w:bookmarkEnd w:id="319"/>
      <w:bookmarkEnd w:id="320"/>
      <w:bookmarkEnd w:id="321"/>
      <w:bookmarkEnd w:id="322"/>
      <w:bookmarkEnd w:id="323"/>
      <w:bookmarkEnd w:id="324"/>
      <w:r>
        <w:rPr>
          <w:rFonts w:hint="eastAsia"/>
          <w:color w:val="auto"/>
          <w:highlight w:val="none"/>
        </w:rPr>
        <w:t>合同条款</w:t>
      </w:r>
      <w:bookmarkEnd w:id="325"/>
      <w:bookmarkEnd w:id="326"/>
    </w:p>
    <w:p>
      <w:pPr>
        <w:pStyle w:val="43"/>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一般约定</w:t>
      </w:r>
    </w:p>
    <w:p>
      <w:pPr>
        <w:pStyle w:val="4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合同文件的优先顺序</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（1）合同协议书；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（2）中标通知书；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（3）投标函及投标函附录；</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（4）专用合同条款；</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（5）通用合同条款；</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（6）委托人要求；</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（7）监理报酬清单；</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（8）监理大纲；</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（9）其他合同文件。</w:t>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2. 委托人义务</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w:t>
      </w:r>
      <w:r>
        <w:rPr>
          <w:rFonts w:hint="eastAsia" w:asciiTheme="minorEastAsia" w:hAnsiTheme="minorEastAsia" w:eastAsiaTheme="minorEastAsia" w:cstheme="minorEastAsia"/>
          <w:color w:val="auto"/>
          <w:spacing w:val="68"/>
          <w:sz w:val="21"/>
          <w:szCs w:val="21"/>
          <w:highlight w:val="none"/>
        </w:rPr>
        <w:t xml:space="preserve"> </w:t>
      </w:r>
      <w:r>
        <w:rPr>
          <w:rFonts w:hint="eastAsia" w:asciiTheme="minorEastAsia" w:hAnsiTheme="minorEastAsia" w:eastAsiaTheme="minorEastAsia" w:cstheme="minorEastAsia"/>
          <w:color w:val="auto"/>
          <w:sz w:val="21"/>
          <w:szCs w:val="21"/>
          <w:highlight w:val="none"/>
        </w:rPr>
        <w:t>发出开始监理通知</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委托人不提供办公房间、办公桌椅、互联网接口、冷暖设施、生活设施、进出现场交通服务和其他条件。</w:t>
      </w:r>
    </w:p>
    <w:p>
      <w:pPr>
        <w:pStyle w:val="43"/>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  监理人义务</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4.2  履约保证金</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无履约保证金。</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4.4</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总监理工程师</w:t>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4.4.1 </w:t>
      </w:r>
      <w:r>
        <w:rPr>
          <w:rFonts w:hint="eastAsia" w:asciiTheme="minorEastAsia" w:hAnsiTheme="minorEastAsia" w:eastAsiaTheme="minorEastAsia" w:cstheme="minorEastAsia"/>
          <w:color w:val="auto"/>
          <w:sz w:val="21"/>
          <w:szCs w:val="21"/>
          <w:highlight w:val="none"/>
        </w:rPr>
        <w:t>本款补充：承包人须按投标文件中承诺，向施工现场派驻总监理工程师和其他主要人员，签订合同时须向发包人提交总监理工程师和其他主要人员的相关证书，在施工期间由发包人保管。总监理工程师和其他主要人员不得在本合同以外的工程项目中兼任任何职务。所有拟派人员未经发包人的批准驻工地时间每月不得少于22日历天，离开现场必须事先征得发包人同意，总监理工程师缺勤一天罚款5000元，</w:t>
      </w:r>
      <w:r>
        <w:rPr>
          <w:rFonts w:hint="eastAsia" w:asciiTheme="minorEastAsia" w:hAnsiTheme="minorEastAsia" w:eastAsiaTheme="minorEastAsia" w:cstheme="minorEastAsia"/>
          <w:bCs/>
          <w:color w:val="auto"/>
          <w:sz w:val="21"/>
          <w:szCs w:val="21"/>
          <w:highlight w:val="none"/>
        </w:rPr>
        <w:t>其他主要人员</w:t>
      </w:r>
      <w:r>
        <w:rPr>
          <w:rFonts w:hint="eastAsia" w:asciiTheme="minorEastAsia" w:hAnsiTheme="minorEastAsia" w:eastAsiaTheme="minorEastAsia" w:cstheme="minorEastAsia"/>
          <w:color w:val="auto"/>
          <w:sz w:val="21"/>
          <w:szCs w:val="21"/>
          <w:highlight w:val="none"/>
        </w:rPr>
        <w:t>缺勤一天</w:t>
      </w:r>
      <w:r>
        <w:rPr>
          <w:rFonts w:hint="eastAsia" w:asciiTheme="minorEastAsia" w:hAnsiTheme="minorEastAsia" w:eastAsiaTheme="minorEastAsia" w:cstheme="minorEastAsia"/>
          <w:bCs/>
          <w:color w:val="auto"/>
          <w:sz w:val="21"/>
          <w:szCs w:val="21"/>
          <w:highlight w:val="none"/>
        </w:rPr>
        <w:t>罚款1000元</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Cs/>
          <w:color w:val="auto"/>
          <w:sz w:val="21"/>
          <w:szCs w:val="21"/>
          <w:highlight w:val="none"/>
        </w:rPr>
        <w:t>承包人更换</w:t>
      </w:r>
      <w:r>
        <w:rPr>
          <w:rFonts w:hint="eastAsia" w:asciiTheme="minorEastAsia" w:hAnsiTheme="minorEastAsia" w:eastAsiaTheme="minorEastAsia" w:cstheme="minorEastAsia"/>
          <w:color w:val="auto"/>
          <w:sz w:val="21"/>
          <w:szCs w:val="21"/>
          <w:highlight w:val="none"/>
        </w:rPr>
        <w:t>总监理工程师</w:t>
      </w:r>
      <w:r>
        <w:rPr>
          <w:rFonts w:hint="eastAsia" w:asciiTheme="minorEastAsia" w:hAnsiTheme="minorEastAsia" w:eastAsiaTheme="minorEastAsia" w:cstheme="minorEastAsia"/>
          <w:bCs/>
          <w:color w:val="auto"/>
          <w:sz w:val="21"/>
          <w:szCs w:val="21"/>
          <w:highlight w:val="none"/>
        </w:rPr>
        <w:t>须征得发包人同意，并向发包人支付</w:t>
      </w:r>
      <w:r>
        <w:rPr>
          <w:rFonts w:hint="eastAsia" w:asciiTheme="minorEastAsia" w:hAnsiTheme="minorEastAsia" w:eastAsiaTheme="minorEastAsia" w:cstheme="minorEastAsia"/>
          <w:bCs/>
          <w:color w:val="auto"/>
          <w:sz w:val="21"/>
          <w:szCs w:val="21"/>
          <w:highlight w:val="none"/>
          <w:lang w:val="en-US" w:eastAsia="zh-CN"/>
        </w:rPr>
        <w:t>贰</w:t>
      </w:r>
      <w:r>
        <w:rPr>
          <w:rFonts w:hint="eastAsia" w:asciiTheme="minorEastAsia" w:hAnsiTheme="minorEastAsia" w:eastAsiaTheme="minorEastAsia" w:cstheme="minorEastAsia"/>
          <w:bCs/>
          <w:color w:val="auto"/>
          <w:sz w:val="21"/>
          <w:szCs w:val="21"/>
          <w:highlight w:val="none"/>
        </w:rPr>
        <w:t>万元（￥</w:t>
      </w: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rPr>
        <w:t>0000.00元/每人·次）违约金，且更换后的</w:t>
      </w:r>
      <w:r>
        <w:rPr>
          <w:rFonts w:hint="eastAsia" w:asciiTheme="minorEastAsia" w:hAnsiTheme="minorEastAsia" w:eastAsiaTheme="minorEastAsia" w:cstheme="minorEastAsia"/>
          <w:color w:val="auto"/>
          <w:sz w:val="21"/>
          <w:szCs w:val="21"/>
          <w:highlight w:val="none"/>
        </w:rPr>
        <w:t>总监理工程师</w:t>
      </w:r>
      <w:r>
        <w:rPr>
          <w:rFonts w:hint="eastAsia" w:asciiTheme="minorEastAsia" w:hAnsiTheme="minorEastAsia" w:eastAsiaTheme="minorEastAsia" w:cstheme="minorEastAsia"/>
          <w:bCs/>
          <w:color w:val="auto"/>
          <w:sz w:val="21"/>
          <w:szCs w:val="21"/>
          <w:highlight w:val="none"/>
        </w:rPr>
        <w:t>不得低于原来的专业技术职称</w:t>
      </w:r>
      <w:r>
        <w:rPr>
          <w:rFonts w:hint="eastAsia" w:asciiTheme="minorEastAsia" w:hAnsiTheme="minorEastAsia" w:eastAsiaTheme="minorEastAsia" w:cstheme="minorEastAsia"/>
          <w:color w:val="auto"/>
          <w:sz w:val="21"/>
          <w:szCs w:val="21"/>
          <w:highlight w:val="none"/>
        </w:rPr>
        <w:t>。</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4.6撤换总监理工程师和其他人员</w:t>
      </w:r>
    </w:p>
    <w:p>
      <w:pPr>
        <w:pStyle w:val="7"/>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发包人有权要求监理人对其认为不能称职的总监理工程师和其他主要人员进行更换，并按本专用条款“</w:t>
      </w:r>
      <w:r>
        <w:rPr>
          <w:rFonts w:hint="eastAsia" w:asciiTheme="minorEastAsia" w:hAnsiTheme="minorEastAsia" w:eastAsiaTheme="minorEastAsia" w:cstheme="minorEastAsia"/>
          <w:bCs/>
          <w:color w:val="auto"/>
          <w:sz w:val="21"/>
          <w:szCs w:val="21"/>
          <w:highlight w:val="none"/>
        </w:rPr>
        <w:t>4.4.1</w:t>
      </w:r>
      <w:r>
        <w:rPr>
          <w:rFonts w:hint="eastAsia" w:asciiTheme="minorEastAsia" w:hAnsiTheme="minorEastAsia" w:eastAsiaTheme="minorEastAsia" w:cstheme="minorEastAsia"/>
          <w:color w:val="auto"/>
          <w:sz w:val="21"/>
          <w:szCs w:val="21"/>
          <w:highlight w:val="none"/>
        </w:rPr>
        <w:t>”约定由监理人向发包人支付违约金。</w:t>
      </w:r>
    </w:p>
    <w:p>
      <w:pPr>
        <w:pStyle w:val="43"/>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6.开始监理和完成监理</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6.2监理周期延误</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监理服务期限延误的，监理人应完成监理服务全部内容，不另行增加监理报酬。</w:t>
      </w:r>
    </w:p>
    <w:p>
      <w:pPr>
        <w:pStyle w:val="7"/>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8.合同变更</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  变更情形</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8.1.1 监理工作范围发生重大变化时，合同一方均可向对方提出变更，经双方协商一致后可进行变更。</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8.2  合理化建议</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8.2.2 监理人可提出合理化建议，降低工程投资、缩短施工期限或者提高工程经济效益的，委托人不予奖励。</w:t>
      </w:r>
    </w:p>
    <w:p>
      <w:pPr>
        <w:pStyle w:val="43"/>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9.合同价格与支付</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9.1  合同价格</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9.1.1 本合同的价款确定方式：监理投标文件中的投标报价。</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9.1.3 监理人进行外出考察、试验检测、驻场监造、专项咨询或专家评审时，所产生费用由监理人支付。</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9.2  预付款</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无预付款。</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9.3  中期支付</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第一次</w:t>
      </w:r>
      <w:r>
        <w:rPr>
          <w:rFonts w:hint="eastAsia" w:asciiTheme="minorEastAsia" w:hAnsiTheme="minorEastAsia" w:eastAsiaTheme="minorEastAsia" w:cstheme="minorEastAsia"/>
          <w:color w:val="auto"/>
          <w:sz w:val="21"/>
          <w:szCs w:val="21"/>
          <w:highlight w:val="none"/>
          <w:lang w:val="en-US" w:eastAsia="zh-CN"/>
        </w:rPr>
        <w:t>支付</w:t>
      </w:r>
      <w:r>
        <w:rPr>
          <w:rFonts w:hint="eastAsia" w:asciiTheme="minorEastAsia" w:hAnsiTheme="minorEastAsia" w:eastAsiaTheme="minorEastAsia" w:cstheme="minorEastAsia"/>
          <w:color w:val="auto"/>
          <w:sz w:val="21"/>
          <w:szCs w:val="21"/>
          <w:highlight w:val="none"/>
        </w:rPr>
        <w:t>：完成至合同总工程量的30%，经发包人认可后，拨付至合同总价的30%；</w:t>
      </w:r>
    </w:p>
    <w:p>
      <w:pPr>
        <w:rPr>
          <w:rFonts w:hint="eastAsia" w:asciiTheme="minorEastAsia" w:hAnsiTheme="minorEastAsia" w:eastAsiaTheme="minorEastAsia" w:cstheme="minorEastAsia"/>
          <w:color w:val="auto"/>
          <w:sz w:val="21"/>
          <w:szCs w:val="21"/>
          <w:highlight w:val="none"/>
        </w:rPr>
      </w:pPr>
      <w:bookmarkStart w:id="327" w:name="_Hlk164848309"/>
      <w:r>
        <w:rPr>
          <w:rFonts w:hint="eastAsia" w:asciiTheme="minorEastAsia" w:hAnsiTheme="minorEastAsia" w:eastAsiaTheme="minorEastAsia" w:cstheme="minorEastAsia"/>
          <w:color w:val="auto"/>
          <w:sz w:val="21"/>
          <w:szCs w:val="21"/>
          <w:highlight w:val="none"/>
        </w:rPr>
        <w:t>第二次</w:t>
      </w:r>
      <w:r>
        <w:rPr>
          <w:rFonts w:hint="eastAsia" w:asciiTheme="minorEastAsia" w:hAnsiTheme="minorEastAsia" w:eastAsiaTheme="minorEastAsia" w:cstheme="minorEastAsia"/>
          <w:color w:val="auto"/>
          <w:sz w:val="21"/>
          <w:szCs w:val="21"/>
          <w:highlight w:val="none"/>
          <w:lang w:val="en-US" w:eastAsia="zh-CN"/>
        </w:rPr>
        <w:t>支付</w:t>
      </w:r>
      <w:r>
        <w:rPr>
          <w:rFonts w:hint="eastAsia" w:asciiTheme="minorEastAsia" w:hAnsiTheme="minorEastAsia" w:eastAsiaTheme="minorEastAsia" w:cstheme="minorEastAsia"/>
          <w:color w:val="auto"/>
          <w:sz w:val="21"/>
          <w:szCs w:val="21"/>
          <w:highlight w:val="none"/>
        </w:rPr>
        <w:t>：完成至合同总工程量的50%，经发包人认可后，拨付至合同总价的50%；</w:t>
      </w:r>
      <w:bookmarkEnd w:id="327"/>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第三次</w:t>
      </w:r>
      <w:r>
        <w:rPr>
          <w:rFonts w:hint="eastAsia" w:asciiTheme="minorEastAsia" w:hAnsiTheme="minorEastAsia" w:eastAsiaTheme="minorEastAsia" w:cstheme="minorEastAsia"/>
          <w:color w:val="auto"/>
          <w:sz w:val="21"/>
          <w:szCs w:val="21"/>
          <w:highlight w:val="none"/>
          <w:lang w:val="en-US" w:eastAsia="zh-CN"/>
        </w:rPr>
        <w:t>支付</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合同工程全部建设内容完成后</w:t>
      </w:r>
      <w:r>
        <w:rPr>
          <w:rFonts w:hint="eastAsia" w:asciiTheme="minorEastAsia" w:hAnsiTheme="minorEastAsia" w:eastAsiaTheme="minorEastAsia" w:cstheme="minorEastAsia"/>
          <w:color w:val="auto"/>
          <w:sz w:val="21"/>
          <w:szCs w:val="21"/>
          <w:highlight w:val="none"/>
        </w:rPr>
        <w:t>，经发包人认可，并通过</w:t>
      </w:r>
      <w:r>
        <w:rPr>
          <w:rFonts w:hint="eastAsia" w:asciiTheme="minorEastAsia" w:hAnsiTheme="minorEastAsia" w:eastAsiaTheme="minorEastAsia" w:cstheme="minorEastAsia"/>
          <w:color w:val="auto"/>
          <w:sz w:val="21"/>
          <w:szCs w:val="21"/>
          <w:highlight w:val="none"/>
          <w:lang w:val="en-US" w:eastAsia="zh-CN"/>
        </w:rPr>
        <w:t>完工</w:t>
      </w:r>
      <w:r>
        <w:rPr>
          <w:rFonts w:hint="eastAsia" w:asciiTheme="minorEastAsia" w:hAnsiTheme="minorEastAsia" w:eastAsiaTheme="minorEastAsia" w:cstheme="minorEastAsia"/>
          <w:color w:val="auto"/>
          <w:sz w:val="21"/>
          <w:szCs w:val="21"/>
          <w:highlight w:val="none"/>
        </w:rPr>
        <w:t>验收，拨付至合同总价的80%；</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工程竣工决算和审计完成并通过竣工验收后，拨付至</w:t>
      </w:r>
      <w:r>
        <w:rPr>
          <w:rFonts w:hint="eastAsia" w:asciiTheme="minorEastAsia" w:hAnsiTheme="minorEastAsia" w:eastAsiaTheme="minorEastAsia" w:cstheme="minorEastAsia"/>
          <w:color w:val="auto"/>
          <w:sz w:val="21"/>
          <w:szCs w:val="21"/>
          <w:highlight w:val="none"/>
        </w:rPr>
        <w:t>合同总价</w:t>
      </w:r>
      <w:r>
        <w:rPr>
          <w:rFonts w:hint="eastAsia" w:asciiTheme="minorEastAsia" w:hAnsiTheme="minorEastAsia" w:eastAsiaTheme="minorEastAsia" w:cstheme="minorEastAsia"/>
          <w:color w:val="auto"/>
          <w:sz w:val="21"/>
          <w:szCs w:val="21"/>
          <w:highlight w:val="none"/>
          <w:lang w:val="en-US" w:eastAsia="zh-CN"/>
        </w:rPr>
        <w:t>的97%，缺陷责任期满</w:t>
      </w:r>
      <w:r>
        <w:rPr>
          <w:rFonts w:hint="eastAsia" w:asciiTheme="minorEastAsia" w:hAnsiTheme="minorEastAsia" w:eastAsiaTheme="minorEastAsia" w:cstheme="minorEastAsia"/>
          <w:color w:val="auto"/>
          <w:sz w:val="21"/>
          <w:szCs w:val="21"/>
          <w:highlight w:val="none"/>
        </w:rPr>
        <w:t>后，</w:t>
      </w:r>
      <w:r>
        <w:rPr>
          <w:rFonts w:hint="eastAsia" w:asciiTheme="minorEastAsia" w:hAnsiTheme="minorEastAsia" w:eastAsiaTheme="minorEastAsia" w:cstheme="minorEastAsia"/>
          <w:color w:val="auto"/>
          <w:sz w:val="21"/>
          <w:szCs w:val="21"/>
          <w:highlight w:val="none"/>
          <w:lang w:val="en-US" w:eastAsia="zh-CN"/>
        </w:rPr>
        <w:t>拨</w:t>
      </w:r>
      <w:r>
        <w:rPr>
          <w:rFonts w:hint="eastAsia" w:asciiTheme="minorEastAsia" w:hAnsiTheme="minorEastAsia" w:eastAsiaTheme="minorEastAsia" w:cstheme="minorEastAsia"/>
          <w:color w:val="auto"/>
          <w:sz w:val="21"/>
          <w:szCs w:val="21"/>
          <w:highlight w:val="none"/>
        </w:rPr>
        <w:t>付剩余部分。</w:t>
      </w:r>
    </w:p>
    <w:p>
      <w:pPr>
        <w:spacing w:line="360" w:lineRule="auto"/>
        <w:ind w:firstLine="42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合同中所有支付指：应由发包人履行的支付手续。</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9.4 费用结算</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如发包人因不可抗力或非主观原因造成上述各项拨款迟缓，不再增加延期费用。</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遇不可抗力或重大政策调整或资金原因，致使工程延期实施或停止实施，只对工程已完部分进行结算，监理人不得进行索赔。</w:t>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上述问题解决后，合同权利义务需要继续履行，仍由原中标单位按照原合同继续实施。若原中标单位不愿继续履行原合同，则经发包方同意后原合同自动解除。</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最终结算按财政评审和审计结果确定。</w:t>
      </w:r>
    </w:p>
    <w:p>
      <w:pPr>
        <w:pStyle w:val="43"/>
        <w:ind w:left="0" w:leftChars="0" w:firstLine="422"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  违约</w:t>
      </w:r>
    </w:p>
    <w:p>
      <w:pPr>
        <w:pStyle w:val="41"/>
        <w:ind w:left="0" w:leftChars="0"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w:t>
      </w:r>
      <w:r>
        <w:rPr>
          <w:rFonts w:hint="eastAsia" w:asciiTheme="minorEastAsia" w:hAnsiTheme="minorEastAsia" w:eastAsiaTheme="minorEastAsia" w:cstheme="minorEastAsia"/>
          <w:color w:val="auto"/>
          <w:spacing w:val="69"/>
          <w:sz w:val="21"/>
          <w:szCs w:val="21"/>
          <w:highlight w:val="none"/>
        </w:rPr>
        <w:t xml:space="preserve"> </w:t>
      </w:r>
      <w:r>
        <w:rPr>
          <w:rFonts w:hint="eastAsia" w:asciiTheme="minorEastAsia" w:hAnsiTheme="minorEastAsia" w:eastAsiaTheme="minorEastAsia" w:cstheme="minorEastAsia"/>
          <w:color w:val="auto"/>
          <w:sz w:val="21"/>
          <w:szCs w:val="21"/>
          <w:highlight w:val="none"/>
        </w:rPr>
        <w:t>委托人违约</w:t>
      </w:r>
    </w:p>
    <w:p>
      <w:pPr>
        <w:pStyle w:val="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11.2.2 委托人发生违约情况时，具体事项由双方商议解决，协商期间监理人须继续完成监理服务工作。</w:t>
      </w:r>
    </w:p>
    <w:p>
      <w:pPr>
        <w:pStyle w:val="43"/>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12.争议的解决</w:t>
      </w:r>
    </w:p>
    <w:p>
      <w:pPr>
        <w:pStyle w:val="7"/>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委托人和监理人在履行合同中发生争议的，可以友好协商解决。合同当事人友好协商解决不成的，在</w:t>
      </w:r>
      <w:r>
        <w:rPr>
          <w:rFonts w:hint="eastAsia" w:asciiTheme="minorEastAsia" w:hAnsiTheme="minorEastAsia" w:eastAsiaTheme="minorEastAsia" w:cstheme="minorEastAsia"/>
          <w:color w:val="auto"/>
          <w:sz w:val="21"/>
          <w:szCs w:val="21"/>
          <w:highlight w:val="none"/>
          <w:lang w:val="en-US" w:eastAsia="zh-CN"/>
        </w:rPr>
        <w:t>合同协议书</w:t>
      </w:r>
      <w:r>
        <w:rPr>
          <w:rFonts w:hint="eastAsia" w:asciiTheme="minorEastAsia" w:hAnsiTheme="minorEastAsia" w:eastAsiaTheme="minorEastAsia" w:cstheme="minorEastAsia"/>
          <w:color w:val="auto"/>
          <w:sz w:val="21"/>
          <w:szCs w:val="21"/>
          <w:highlight w:val="none"/>
        </w:rPr>
        <w:t>中约定</w:t>
      </w:r>
      <w:r>
        <w:rPr>
          <w:rFonts w:hint="eastAsia" w:asciiTheme="minorEastAsia" w:hAnsiTheme="minorEastAsia" w:eastAsiaTheme="minorEastAsia" w:cstheme="minorEastAsia"/>
          <w:color w:val="auto"/>
          <w:sz w:val="21"/>
          <w:szCs w:val="21"/>
          <w:highlight w:val="none"/>
          <w:lang w:eastAsia="zh-CN"/>
        </w:rPr>
        <w:t>。</w:t>
      </w:r>
    </w:p>
    <w:p>
      <w:pPr>
        <w:pStyle w:val="2"/>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4"/>
        <w:rPr>
          <w:color w:val="auto"/>
          <w:highlight w:val="none"/>
        </w:rPr>
      </w:pPr>
    </w:p>
    <w:p>
      <w:pPr>
        <w:rPr>
          <w:color w:val="auto"/>
          <w:highlight w:val="none"/>
        </w:rPr>
      </w:pPr>
      <w:bookmarkStart w:id="328" w:name="_Toc957"/>
    </w:p>
    <w:p>
      <w:pPr>
        <w:jc w:val="center"/>
        <w:rPr>
          <w:rFonts w:hint="eastAsia"/>
          <w:b/>
          <w:bCs/>
          <w:color w:val="auto"/>
          <w:sz w:val="36"/>
          <w:szCs w:val="36"/>
          <w:highlight w:val="none"/>
        </w:rPr>
      </w:pPr>
      <w:r>
        <w:rPr>
          <w:rFonts w:hint="eastAsia"/>
          <w:b/>
          <w:bCs/>
          <w:color w:val="auto"/>
          <w:sz w:val="36"/>
          <w:szCs w:val="36"/>
          <w:highlight w:val="none"/>
        </w:rPr>
        <w:t>第四章 技术规范</w:t>
      </w:r>
      <w:bookmarkEnd w:id="175"/>
      <w:bookmarkEnd w:id="176"/>
      <w:bookmarkEnd w:id="177"/>
      <w:bookmarkEnd w:id="328"/>
    </w:p>
    <w:p>
      <w:pPr>
        <w:jc w:val="center"/>
        <w:rPr>
          <w:color w:val="auto"/>
          <w:highlight w:val="none"/>
        </w:rPr>
      </w:pPr>
      <w:r>
        <w:rPr>
          <w:rFonts w:hint="eastAsia"/>
          <w:color w:val="auto"/>
          <w:highlight w:val="none"/>
        </w:rPr>
        <w:t>（严格执行本项目图纸中要求的规范）</w:t>
      </w:r>
    </w:p>
    <w:p>
      <w:pPr>
        <w:rPr>
          <w:color w:val="auto"/>
          <w:highlight w:val="none"/>
        </w:rPr>
      </w:pPr>
      <w:r>
        <w:rPr>
          <w:rFonts w:hint="eastAsia"/>
          <w:color w:val="auto"/>
          <w:highlight w:val="none"/>
        </w:rPr>
        <w:t xml:space="preserve">    除非另有说明，本工程适用所有现行有效的相关国家、行业及地方规范、规程和标准。上述规范、规程和标准均指他们各自的最新版本。如果上述规范、规程和标准之间出现矛盾或与合同其他内容存在不一致，承包人应书面请求发包人澄清，发包人未予澄清者，按其中最高的要求或最严格的标准执行。适用本工程的上述规范、标准和规程的具体编号和名称则在本文件中有意空缺，由承包人依据上述原则自行收集。</w:t>
      </w:r>
    </w:p>
    <w:p>
      <w:pPr>
        <w:rPr>
          <w:color w:val="auto"/>
          <w:highlight w:val="none"/>
        </w:rPr>
      </w:pPr>
      <w:r>
        <w:rPr>
          <w:color w:val="auto"/>
          <w:highlight w:val="none"/>
        </w:rPr>
        <w:br w:type="page"/>
      </w:r>
    </w:p>
    <w:p>
      <w:pPr>
        <w:jc w:val="center"/>
        <w:rPr>
          <w:rFonts w:hint="eastAsia"/>
          <w:b/>
          <w:bCs/>
          <w:color w:val="auto"/>
          <w:sz w:val="36"/>
          <w:szCs w:val="36"/>
          <w:highlight w:val="none"/>
        </w:rPr>
      </w:pPr>
      <w:bookmarkStart w:id="329" w:name="_Toc227474190"/>
      <w:bookmarkStart w:id="330" w:name="_Toc436741207"/>
      <w:bookmarkStart w:id="331" w:name="_Toc536525007"/>
      <w:bookmarkStart w:id="332" w:name="_Toc31392"/>
      <w:r>
        <w:rPr>
          <w:rFonts w:hint="eastAsia"/>
          <w:b/>
          <w:bCs/>
          <w:color w:val="auto"/>
          <w:sz w:val="36"/>
          <w:szCs w:val="36"/>
          <w:highlight w:val="none"/>
        </w:rPr>
        <w:t xml:space="preserve">第五章 </w:t>
      </w:r>
      <w:bookmarkEnd w:id="329"/>
      <w:bookmarkEnd w:id="330"/>
      <w:r>
        <w:rPr>
          <w:rFonts w:hint="eastAsia"/>
          <w:b/>
          <w:bCs/>
          <w:color w:val="auto"/>
          <w:sz w:val="36"/>
          <w:szCs w:val="36"/>
          <w:highlight w:val="none"/>
        </w:rPr>
        <w:t>投标文件格式</w:t>
      </w:r>
      <w:bookmarkEnd w:id="331"/>
      <w:bookmarkEnd w:id="332"/>
    </w:p>
    <w:p>
      <w:pPr>
        <w:rPr>
          <w:color w:val="auto"/>
          <w:highlight w:val="none"/>
        </w:rPr>
      </w:pPr>
    </w:p>
    <w:p>
      <w:pPr>
        <w:rPr>
          <w:color w:val="auto"/>
          <w:highlight w:val="none"/>
        </w:rPr>
      </w:pPr>
    </w:p>
    <w:p>
      <w:pPr>
        <w:rPr>
          <w:color w:val="auto"/>
          <w:highlight w:val="none"/>
        </w:rPr>
      </w:pPr>
    </w:p>
    <w:p>
      <w:pPr>
        <w:jc w:val="center"/>
        <w:rPr>
          <w:b/>
          <w:bCs/>
          <w:color w:val="auto"/>
          <w:sz w:val="32"/>
          <w:szCs w:val="32"/>
          <w:highlight w:val="none"/>
        </w:rPr>
      </w:pPr>
      <w:r>
        <w:rPr>
          <w:rFonts w:hint="eastAsia"/>
          <w:b/>
          <w:bCs/>
          <w:color w:val="auto"/>
          <w:sz w:val="32"/>
          <w:szCs w:val="28"/>
          <w:highlight w:val="none"/>
          <w:lang w:val="en-US" w:eastAsia="zh-CN"/>
        </w:rPr>
        <w:t xml:space="preserve"> </w:t>
      </w:r>
      <w:r>
        <w:rPr>
          <w:rFonts w:hint="eastAsia"/>
          <w:b/>
          <w:bCs/>
          <w:color w:val="auto"/>
          <w:sz w:val="32"/>
          <w:szCs w:val="28"/>
          <w:highlight w:val="none"/>
          <w:u w:val="single"/>
          <w:lang w:val="en-US" w:eastAsia="zh-CN"/>
        </w:rPr>
        <w:t xml:space="preserve">       </w:t>
      </w:r>
      <w:r>
        <w:rPr>
          <w:rFonts w:hint="eastAsia"/>
          <w:b/>
          <w:bCs/>
          <w:color w:val="auto"/>
          <w:sz w:val="32"/>
          <w:szCs w:val="28"/>
          <w:highlight w:val="none"/>
          <w:u w:val="single"/>
        </w:rPr>
        <w:t>（项目名称）</w:t>
      </w:r>
      <w:r>
        <w:rPr>
          <w:rFonts w:hint="eastAsia"/>
          <w:b/>
          <w:bCs/>
          <w:color w:val="auto"/>
          <w:sz w:val="32"/>
          <w:szCs w:val="28"/>
          <w:highlight w:val="none"/>
          <w:u w:val="single"/>
          <w:lang w:val="en-US" w:eastAsia="zh-CN"/>
        </w:rPr>
        <w:t xml:space="preserve">        </w:t>
      </w:r>
    </w:p>
    <w:p>
      <w:pPr>
        <w:rPr>
          <w:color w:val="auto"/>
          <w:highlight w:val="none"/>
        </w:rPr>
      </w:pPr>
    </w:p>
    <w:p>
      <w:pPr>
        <w:pStyle w:val="23"/>
        <w:ind w:firstLine="210"/>
        <w:rPr>
          <w:color w:val="auto"/>
          <w:highlight w:val="none"/>
        </w:rPr>
      </w:pPr>
    </w:p>
    <w:p>
      <w:pPr>
        <w:rPr>
          <w:color w:val="auto"/>
          <w:highlight w:val="none"/>
        </w:rPr>
      </w:pPr>
    </w:p>
    <w:p>
      <w:pPr>
        <w:jc w:val="center"/>
        <w:rPr>
          <w:rFonts w:hint="default" w:eastAsia="宋体"/>
          <w:color w:val="auto"/>
          <w:highlight w:val="none"/>
          <w:lang w:val="en-US" w:eastAsia="zh-CN"/>
        </w:rPr>
      </w:pPr>
      <w:r>
        <w:rPr>
          <w:rFonts w:hint="eastAsia"/>
          <w:color w:val="auto"/>
          <w:highlight w:val="none"/>
        </w:rPr>
        <w:t>项目编号：</w:t>
      </w:r>
      <w:r>
        <w:rPr>
          <w:rFonts w:hint="eastAsia"/>
          <w:color w:val="auto"/>
          <w:highlight w:val="none"/>
          <w:lang w:val="en-US" w:eastAsia="zh-CN"/>
        </w:rPr>
        <w:t xml:space="preserve"> </w:t>
      </w:r>
      <w:r>
        <w:rPr>
          <w:rFonts w:hint="eastAsia"/>
          <w:color w:val="auto"/>
          <w:highlight w:val="none"/>
          <w:u w:val="single"/>
          <w:lang w:val="en-US" w:eastAsia="zh-CN"/>
        </w:rPr>
        <w:t xml:space="preserve">           </w:t>
      </w:r>
    </w:p>
    <w:p>
      <w:pPr>
        <w:jc w:val="center"/>
        <w:rPr>
          <w:rFonts w:hint="default" w:eastAsia="宋体"/>
          <w:color w:val="auto"/>
          <w:highlight w:val="none"/>
          <w:lang w:val="en-US" w:eastAsia="zh-CN"/>
        </w:rPr>
      </w:pPr>
      <w:r>
        <w:rPr>
          <w:rFonts w:hint="eastAsia"/>
          <w:color w:val="auto"/>
          <w:highlight w:val="none"/>
        </w:rPr>
        <w:t>所投标段：</w:t>
      </w:r>
      <w:r>
        <w:rPr>
          <w:rFonts w:hint="eastAsia"/>
          <w:color w:val="auto"/>
          <w:highlight w:val="none"/>
          <w:lang w:val="en-US" w:eastAsia="zh-CN"/>
        </w:rPr>
        <w:t xml:space="preserve"> </w:t>
      </w:r>
      <w:r>
        <w:rPr>
          <w:rFonts w:hint="eastAsia"/>
          <w:color w:val="auto"/>
          <w:highlight w:val="none"/>
          <w:u w:val="single"/>
          <w:lang w:val="en-US" w:eastAsia="zh-CN"/>
        </w:rPr>
        <w:t xml:space="preserve">           </w:t>
      </w:r>
    </w:p>
    <w:p>
      <w:pPr>
        <w:jc w:val="center"/>
        <w:rPr>
          <w:color w:val="auto"/>
          <w:highlight w:val="none"/>
        </w:rPr>
      </w:pPr>
    </w:p>
    <w:p>
      <w:pPr>
        <w:ind w:left="0" w:leftChars="0" w:firstLine="0" w:firstLineChars="0"/>
        <w:jc w:val="both"/>
        <w:rPr>
          <w:color w:val="auto"/>
          <w:highlight w:val="none"/>
        </w:rPr>
      </w:pPr>
    </w:p>
    <w:p>
      <w:pPr>
        <w:jc w:val="center"/>
        <w:rPr>
          <w:rFonts w:hint="eastAsia"/>
          <w:b/>
          <w:bCs/>
          <w:color w:val="auto"/>
          <w:sz w:val="36"/>
          <w:szCs w:val="36"/>
          <w:highlight w:val="none"/>
        </w:rPr>
      </w:pPr>
      <w:r>
        <w:rPr>
          <w:rFonts w:hint="eastAsia"/>
          <w:b/>
          <w:bCs/>
          <w:color w:val="auto"/>
          <w:sz w:val="36"/>
          <w:szCs w:val="36"/>
          <w:highlight w:val="none"/>
        </w:rPr>
        <w:t>投标文件</w:t>
      </w:r>
    </w:p>
    <w:p>
      <w:pPr>
        <w:rPr>
          <w:color w:val="auto"/>
          <w:highlight w:val="none"/>
        </w:rPr>
      </w:pPr>
    </w:p>
    <w:p>
      <w:pPr>
        <w:rPr>
          <w:color w:val="auto"/>
          <w:highlight w:val="none"/>
        </w:rPr>
      </w:pPr>
    </w:p>
    <w:p>
      <w:pPr>
        <w:rPr>
          <w:color w:val="auto"/>
          <w:highlight w:val="none"/>
        </w:rPr>
      </w:pPr>
    </w:p>
    <w:p>
      <w:pPr>
        <w:rPr>
          <w:color w:val="auto"/>
          <w:highlight w:val="none"/>
        </w:rPr>
      </w:pPr>
    </w:p>
    <w:p>
      <w:pPr>
        <w:pStyle w:val="19"/>
        <w:rPr>
          <w:color w:val="auto"/>
          <w:highlight w:val="none"/>
        </w:rPr>
      </w:pPr>
    </w:p>
    <w:p>
      <w:pPr>
        <w:pStyle w:val="32"/>
        <w:spacing w:line="400" w:lineRule="exact"/>
        <w:ind w:right="-34" w:rightChars="-16"/>
        <w:rPr>
          <w:rFonts w:hAnsi="宋体"/>
          <w:color w:val="auto"/>
          <w:sz w:val="23"/>
          <w:highlight w:val="none"/>
          <w:u w:val="single"/>
        </w:rPr>
      </w:pPr>
    </w:p>
    <w:p>
      <w:pPr>
        <w:rPr>
          <w:rFonts w:hint="eastAsia"/>
          <w:color w:val="auto"/>
          <w:highlight w:val="none"/>
        </w:rPr>
      </w:pPr>
      <w:r>
        <w:rPr>
          <w:rFonts w:hint="eastAsia"/>
          <w:color w:val="auto"/>
          <w:highlight w:val="none"/>
        </w:rPr>
        <w:t xml:space="preserve">    </w:t>
      </w:r>
    </w:p>
    <w:p>
      <w:pPr>
        <w:rPr>
          <w:color w:val="auto"/>
          <w:highlight w:val="none"/>
        </w:rPr>
      </w:pPr>
      <w:r>
        <w:rPr>
          <w:rFonts w:hint="eastAsia"/>
          <w:color w:val="auto"/>
          <w:highlight w:val="none"/>
        </w:rPr>
        <w:t xml:space="preserve">                        </w:t>
      </w:r>
    </w:p>
    <w:p>
      <w:pPr>
        <w:rPr>
          <w:color w:val="auto"/>
          <w:highlight w:val="none"/>
        </w:rPr>
      </w:pPr>
      <w:r>
        <w:rPr>
          <w:rFonts w:hint="eastAsia"/>
          <w:color w:val="auto"/>
          <w:highlight w:val="none"/>
        </w:rPr>
        <w:t>投标人：</w:t>
      </w:r>
      <w:r>
        <w:rPr>
          <w:rFonts w:hint="eastAsia"/>
          <w:color w:val="auto"/>
          <w:highlight w:val="none"/>
          <w:u w:val="single"/>
        </w:rPr>
        <w:t xml:space="preserve">                        </w:t>
      </w:r>
      <w:r>
        <w:rPr>
          <w:rFonts w:hint="eastAsia"/>
          <w:color w:val="auto"/>
          <w:highlight w:val="none"/>
        </w:rPr>
        <w:t xml:space="preserve"> （盖单位章）</w:t>
      </w:r>
    </w:p>
    <w:p>
      <w:pPr>
        <w:rPr>
          <w:color w:val="auto"/>
          <w:highlight w:val="none"/>
        </w:rPr>
      </w:pPr>
      <w:r>
        <w:rPr>
          <w:rFonts w:hint="eastAsia"/>
          <w:color w:val="auto"/>
          <w:highlight w:val="none"/>
        </w:rPr>
        <w:t>法定代表人或其委托代理人：</w:t>
      </w:r>
      <w:r>
        <w:rPr>
          <w:rFonts w:hint="eastAsia"/>
          <w:color w:val="auto"/>
          <w:highlight w:val="none"/>
          <w:u w:val="single"/>
        </w:rPr>
        <w:t xml:space="preserve">          </w:t>
      </w:r>
      <w:r>
        <w:rPr>
          <w:rFonts w:hint="eastAsia"/>
          <w:color w:val="auto"/>
          <w:highlight w:val="none"/>
        </w:rPr>
        <w:t>（签字或盖章）</w:t>
      </w:r>
    </w:p>
    <w:p>
      <w:pPr>
        <w:rPr>
          <w:color w:val="auto"/>
          <w:highlight w:val="none"/>
        </w:rPr>
      </w:pPr>
      <w:r>
        <w:rPr>
          <w:rFonts w:hint="eastAsia"/>
          <w:color w:val="auto"/>
          <w:highlight w:val="none"/>
        </w:rPr>
        <w:t>日期：   年   月   日</w:t>
      </w:r>
    </w:p>
    <w:p>
      <w:pPr>
        <w:pStyle w:val="32"/>
        <w:spacing w:before="312" w:beforeLines="100" w:after="312" w:afterLines="100" w:line="400" w:lineRule="exact"/>
        <w:ind w:right="-34" w:rightChars="-16" w:firstLine="3240" w:firstLineChars="1350"/>
        <w:rPr>
          <w:rFonts w:hAnsi="宋体"/>
          <w:color w:val="auto"/>
          <w:highlight w:val="none"/>
          <w:u w:val="single"/>
        </w:rPr>
      </w:pPr>
    </w:p>
    <w:p>
      <w:pPr>
        <w:rPr>
          <w:color w:val="auto"/>
          <w:highlight w:val="none"/>
        </w:rPr>
      </w:pPr>
    </w:p>
    <w:p>
      <w:pPr>
        <w:jc w:val="center"/>
        <w:rPr>
          <w:rFonts w:hint="eastAsia"/>
          <w:color w:val="auto"/>
          <w:highlight w:val="none"/>
        </w:rPr>
      </w:pPr>
    </w:p>
    <w:p>
      <w:pPr>
        <w:jc w:val="center"/>
        <w:rPr>
          <w:rFonts w:hint="eastAsia"/>
          <w:color w:val="auto"/>
          <w:highlight w:val="none"/>
        </w:rPr>
      </w:pPr>
    </w:p>
    <w:p>
      <w:pPr>
        <w:jc w:val="center"/>
        <w:rPr>
          <w:color w:val="auto"/>
          <w:highlight w:val="none"/>
        </w:rPr>
      </w:pPr>
      <w:r>
        <w:rPr>
          <w:rFonts w:hint="eastAsia"/>
          <w:color w:val="auto"/>
          <w:highlight w:val="none"/>
        </w:rPr>
        <w:t>目    录</w:t>
      </w:r>
    </w:p>
    <w:p>
      <w:pPr>
        <w:rPr>
          <w:color w:val="auto"/>
          <w:highlight w:val="none"/>
        </w:rPr>
      </w:pPr>
      <w:r>
        <w:rPr>
          <w:rFonts w:hint="eastAsia"/>
          <w:color w:val="auto"/>
          <w:highlight w:val="none"/>
        </w:rPr>
        <w:t>一、投标函及投标函附录</w:t>
      </w:r>
    </w:p>
    <w:p>
      <w:pPr>
        <w:rPr>
          <w:color w:val="auto"/>
          <w:highlight w:val="none"/>
        </w:rPr>
      </w:pPr>
      <w:r>
        <w:rPr>
          <w:rFonts w:hint="eastAsia"/>
          <w:color w:val="auto"/>
          <w:highlight w:val="none"/>
        </w:rPr>
        <w:t>二、法定代表人身份证明</w:t>
      </w:r>
    </w:p>
    <w:p>
      <w:pPr>
        <w:rPr>
          <w:color w:val="auto"/>
          <w:highlight w:val="none"/>
        </w:rPr>
      </w:pPr>
      <w:r>
        <w:rPr>
          <w:rFonts w:hint="eastAsia"/>
          <w:color w:val="auto"/>
          <w:highlight w:val="none"/>
        </w:rPr>
        <w:t>三、委托代理人授权委托书</w:t>
      </w:r>
    </w:p>
    <w:p>
      <w:pPr>
        <w:rPr>
          <w:color w:val="auto"/>
          <w:highlight w:val="none"/>
        </w:rPr>
      </w:pPr>
      <w:r>
        <w:rPr>
          <w:rFonts w:hint="eastAsia"/>
          <w:color w:val="auto"/>
          <w:highlight w:val="none"/>
        </w:rPr>
        <w:t>四、投标保证金</w:t>
      </w:r>
    </w:p>
    <w:p>
      <w:pPr>
        <w:rPr>
          <w:color w:val="auto"/>
          <w:highlight w:val="none"/>
        </w:rPr>
      </w:pPr>
      <w:r>
        <w:rPr>
          <w:rFonts w:hint="eastAsia"/>
          <w:color w:val="auto"/>
          <w:highlight w:val="none"/>
        </w:rPr>
        <w:t>五、技术标（监理大纲）</w:t>
      </w:r>
    </w:p>
    <w:p>
      <w:pPr>
        <w:rPr>
          <w:color w:val="auto"/>
          <w:highlight w:val="none"/>
        </w:rPr>
      </w:pPr>
      <w:r>
        <w:rPr>
          <w:rFonts w:hint="eastAsia"/>
          <w:color w:val="auto"/>
          <w:highlight w:val="none"/>
        </w:rPr>
        <w:t>六、技术规范</w:t>
      </w:r>
    </w:p>
    <w:p>
      <w:pPr>
        <w:rPr>
          <w:color w:val="auto"/>
          <w:highlight w:val="none"/>
        </w:rPr>
      </w:pPr>
      <w:r>
        <w:rPr>
          <w:rFonts w:hint="eastAsia"/>
          <w:color w:val="auto"/>
          <w:highlight w:val="none"/>
        </w:rPr>
        <w:t>七、项目管理机构</w:t>
      </w:r>
    </w:p>
    <w:p>
      <w:pPr>
        <w:rPr>
          <w:color w:val="auto"/>
          <w:highlight w:val="none"/>
        </w:rPr>
      </w:pPr>
      <w:r>
        <w:rPr>
          <w:rFonts w:hint="eastAsia"/>
          <w:color w:val="auto"/>
          <w:highlight w:val="none"/>
        </w:rPr>
        <w:t>八、资格审查资料</w:t>
      </w:r>
    </w:p>
    <w:p>
      <w:pPr>
        <w:rPr>
          <w:color w:val="auto"/>
          <w:highlight w:val="none"/>
        </w:rPr>
      </w:pPr>
      <w:r>
        <w:rPr>
          <w:rFonts w:hint="eastAsia"/>
          <w:color w:val="auto"/>
          <w:highlight w:val="none"/>
        </w:rPr>
        <w:t>九、其它资料</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7"/>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3"/>
        <w:numPr>
          <w:ilvl w:val="1"/>
          <w:numId w:val="0"/>
        </w:numPr>
        <w:ind w:firstLine="420" w:firstLineChars="0"/>
        <w:rPr>
          <w:color w:val="auto"/>
          <w:highlight w:val="none"/>
        </w:rPr>
      </w:pPr>
      <w:bookmarkStart w:id="333" w:name="_Toc436741209"/>
      <w:bookmarkStart w:id="334" w:name="_Toc227474192"/>
      <w:bookmarkStart w:id="335" w:name="_Toc536525008"/>
      <w:r>
        <w:rPr>
          <w:rFonts w:hint="eastAsia"/>
          <w:color w:val="auto"/>
          <w:highlight w:val="none"/>
        </w:rPr>
        <w:t>一、投标函</w:t>
      </w:r>
      <w:bookmarkEnd w:id="333"/>
      <w:bookmarkEnd w:id="334"/>
      <w:r>
        <w:rPr>
          <w:rFonts w:hint="eastAsia"/>
          <w:color w:val="auto"/>
          <w:highlight w:val="none"/>
        </w:rPr>
        <w:t>及投标函附录</w:t>
      </w:r>
      <w:bookmarkEnd w:id="335"/>
    </w:p>
    <w:p>
      <w:pPr>
        <w:jc w:val="center"/>
        <w:rPr>
          <w:color w:val="auto"/>
          <w:highlight w:val="none"/>
        </w:rPr>
      </w:pPr>
      <w:bookmarkStart w:id="336" w:name="_Toc228337192"/>
      <w:bookmarkStart w:id="337" w:name="_Toc243904320"/>
      <w:bookmarkStart w:id="338" w:name="_Toc227492339"/>
      <w:bookmarkStart w:id="339" w:name="_Toc227657581"/>
      <w:bookmarkStart w:id="340" w:name="_Toc228589257"/>
      <w:bookmarkStart w:id="341" w:name="_Toc228881243"/>
      <w:bookmarkStart w:id="342" w:name="_Toc23746"/>
      <w:bookmarkStart w:id="343" w:name="_Toc228591603"/>
      <w:bookmarkStart w:id="344" w:name="_Toc8455"/>
      <w:bookmarkStart w:id="345" w:name="_Toc500865928"/>
      <w:bookmarkStart w:id="346" w:name="_Toc285618746"/>
      <w:bookmarkStart w:id="347" w:name="_Toc511890175"/>
      <w:bookmarkStart w:id="348" w:name="_Toc536525009"/>
      <w:bookmarkStart w:id="349" w:name="_Toc500864538"/>
      <w:bookmarkStart w:id="350" w:name="_Toc431367136"/>
      <w:bookmarkStart w:id="351" w:name="_Toc21991"/>
      <w:bookmarkStart w:id="352" w:name="_Toc214433983"/>
      <w:bookmarkStart w:id="353" w:name="_Toc533155947"/>
      <w:bookmarkStart w:id="354" w:name="_Toc228591751"/>
      <w:bookmarkStart w:id="355" w:name="_Toc272772663"/>
      <w:r>
        <w:rPr>
          <w:rFonts w:hint="eastAsia"/>
          <w:color w:val="auto"/>
          <w:highlight w:val="none"/>
        </w:rPr>
        <w:t>（一）投标函</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pPr>
        <w:rPr>
          <w:color w:val="auto"/>
          <w:highlight w:val="none"/>
        </w:rPr>
      </w:pPr>
      <w:r>
        <w:rPr>
          <w:rFonts w:hint="eastAsia"/>
          <w:color w:val="auto"/>
          <w:highlight w:val="none"/>
        </w:rPr>
        <w:t>致：</w:t>
      </w:r>
      <w:r>
        <w:rPr>
          <w:rFonts w:hint="eastAsia"/>
          <w:color w:val="auto"/>
          <w:highlight w:val="none"/>
          <w:lang w:val="en-US" w:eastAsia="zh-CN"/>
        </w:rPr>
        <w:t xml:space="preserve"> </w:t>
      </w:r>
      <w:r>
        <w:rPr>
          <w:rFonts w:hint="eastAsia"/>
          <w:color w:val="auto"/>
          <w:highlight w:val="none"/>
          <w:u w:val="single"/>
          <w:lang w:val="en-US" w:eastAsia="zh-CN"/>
        </w:rPr>
        <w:t xml:space="preserve">           </w:t>
      </w:r>
      <w:r>
        <w:rPr>
          <w:rFonts w:hint="eastAsia"/>
          <w:color w:val="auto"/>
          <w:highlight w:val="none"/>
        </w:rPr>
        <w:t>（招标人）</w:t>
      </w:r>
    </w:p>
    <w:p>
      <w:pPr>
        <w:rPr>
          <w:color w:val="auto"/>
          <w:highlight w:val="none"/>
        </w:rPr>
      </w:pPr>
      <w:r>
        <w:rPr>
          <w:rFonts w:hint="eastAsia"/>
          <w:color w:val="auto"/>
          <w:highlight w:val="none"/>
        </w:rPr>
        <w:t>我们收到你们编号为的</w:t>
      </w:r>
      <w:r>
        <w:rPr>
          <w:rFonts w:hint="eastAsia"/>
          <w:color w:val="auto"/>
          <w:spacing w:val="4"/>
          <w:highlight w:val="none"/>
          <w:u w:val="single"/>
        </w:rPr>
        <w:t xml:space="preserve">（项目名称）       </w:t>
      </w:r>
      <w:r>
        <w:rPr>
          <w:rFonts w:hint="eastAsia"/>
          <w:color w:val="auto"/>
          <w:spacing w:val="4"/>
          <w:highlight w:val="none"/>
        </w:rPr>
        <w:t>监理</w:t>
      </w:r>
      <w:r>
        <w:rPr>
          <w:rFonts w:hint="eastAsia"/>
          <w:color w:val="auto"/>
          <w:spacing w:val="4"/>
          <w:highlight w:val="none"/>
          <w:u w:val="single"/>
          <w:lang w:val="en-US" w:eastAsia="zh-CN"/>
        </w:rPr>
        <w:t xml:space="preserve">    </w:t>
      </w:r>
      <w:r>
        <w:rPr>
          <w:rFonts w:hint="eastAsia"/>
          <w:color w:val="auto"/>
          <w:spacing w:val="4"/>
          <w:highlight w:val="none"/>
          <w:u w:val="none"/>
          <w:lang w:val="en-US" w:eastAsia="zh-CN"/>
        </w:rPr>
        <w:t>标段</w:t>
      </w:r>
      <w:r>
        <w:rPr>
          <w:rFonts w:hint="eastAsia"/>
          <w:color w:val="auto"/>
          <w:highlight w:val="none"/>
        </w:rPr>
        <w:t>招标文件，经认真研究，我们决定参加该项目监理投标活动并投标，我们郑重声明以下诸点并负法律责任。</w:t>
      </w:r>
    </w:p>
    <w:p>
      <w:pPr>
        <w:rPr>
          <w:color w:val="auto"/>
          <w:highlight w:val="none"/>
        </w:rPr>
      </w:pPr>
      <w:r>
        <w:rPr>
          <w:color w:val="auto"/>
          <w:highlight w:val="none"/>
        </w:rPr>
        <w:t>1.</w:t>
      </w:r>
      <w:r>
        <w:rPr>
          <w:rFonts w:hint="eastAsia"/>
          <w:color w:val="auto"/>
          <w:highlight w:val="none"/>
        </w:rPr>
        <w:t>我方授权</w:t>
      </w:r>
      <w:r>
        <w:rPr>
          <w:rFonts w:hint="eastAsia"/>
          <w:color w:val="auto"/>
          <w:highlight w:val="none"/>
          <w:u w:val="single"/>
        </w:rPr>
        <w:t xml:space="preserve">     （</w:t>
      </w:r>
      <w:r>
        <w:rPr>
          <w:rFonts w:hint="eastAsia"/>
          <w:color w:val="auto"/>
          <w:highlight w:val="none"/>
        </w:rPr>
        <w:t>姓名、职务）作为全权代表负责解释投标文件及处理有关事宜。</w:t>
      </w:r>
    </w:p>
    <w:p>
      <w:pPr>
        <w:rPr>
          <w:color w:val="auto"/>
          <w:highlight w:val="none"/>
        </w:rPr>
      </w:pPr>
      <w:r>
        <w:rPr>
          <w:color w:val="auto"/>
          <w:highlight w:val="none"/>
        </w:rPr>
        <w:t>2.</w:t>
      </w:r>
      <w:r>
        <w:rPr>
          <w:rFonts w:hint="eastAsia"/>
          <w:color w:val="auto"/>
          <w:highlight w:val="none"/>
        </w:rPr>
        <w:t>我方愿按照招标文件中的条款和要求，提供监理服务，监理费投标报价为：（大写）</w:t>
      </w:r>
      <w:r>
        <w:rPr>
          <w:rFonts w:hint="eastAsia"/>
          <w:color w:val="auto"/>
          <w:highlight w:val="none"/>
          <w:u w:val="single"/>
        </w:rPr>
        <w:t xml:space="preserve">          </w:t>
      </w:r>
      <w:r>
        <w:rPr>
          <w:rFonts w:hint="eastAsia"/>
          <w:color w:val="auto"/>
          <w:highlight w:val="none"/>
        </w:rPr>
        <w:t>（小写：</w:t>
      </w:r>
      <w:r>
        <w:rPr>
          <w:rFonts w:hint="eastAsia"/>
          <w:color w:val="auto"/>
          <w:highlight w:val="none"/>
          <w:u w:val="single"/>
        </w:rPr>
        <w:t xml:space="preserve">        </w:t>
      </w:r>
      <w:r>
        <w:rPr>
          <w:rFonts w:hint="eastAsia"/>
          <w:color w:val="auto"/>
          <w:highlight w:val="none"/>
        </w:rPr>
        <w:t>）。</w:t>
      </w:r>
    </w:p>
    <w:p>
      <w:pPr>
        <w:rPr>
          <w:color w:val="auto"/>
          <w:highlight w:val="none"/>
        </w:rPr>
      </w:pPr>
      <w:r>
        <w:rPr>
          <w:color w:val="auto"/>
          <w:highlight w:val="none"/>
        </w:rPr>
        <w:t>3.</w:t>
      </w:r>
      <w:r>
        <w:rPr>
          <w:rFonts w:hint="eastAsia"/>
          <w:color w:val="auto"/>
          <w:highlight w:val="none"/>
        </w:rPr>
        <w:t>如果我们中标，我们保证按招标文件的要求和招标人签订工程监理合同，成立</w:t>
      </w:r>
      <w:r>
        <w:rPr>
          <w:rFonts w:hint="eastAsia"/>
          <w:color w:val="auto"/>
          <w:highlight w:val="none"/>
          <w:u w:val="single"/>
        </w:rPr>
        <w:t xml:space="preserve">   （项目名称）</w:t>
      </w:r>
      <w:r>
        <w:rPr>
          <w:rFonts w:hint="eastAsia"/>
          <w:color w:val="auto"/>
          <w:highlight w:val="none"/>
        </w:rPr>
        <w:t>建设工程监理项目部，及时安排中标的总监理工程师进驻施工现场实施监理合同。</w:t>
      </w:r>
    </w:p>
    <w:p>
      <w:pPr>
        <w:rPr>
          <w:color w:val="auto"/>
          <w:highlight w:val="none"/>
        </w:rPr>
      </w:pPr>
      <w:r>
        <w:rPr>
          <w:color w:val="auto"/>
          <w:highlight w:val="none"/>
        </w:rPr>
        <w:t>4.</w:t>
      </w:r>
      <w:r>
        <w:rPr>
          <w:rFonts w:hint="eastAsia"/>
          <w:color w:val="auto"/>
          <w:highlight w:val="none"/>
        </w:rPr>
        <w:t>我方承诺拟派项目总监理工程师至本项目投标截止时间前无在建工程。招标人一旦发现承诺不实，可取消我方投标资格，并没收投标保证金。</w:t>
      </w:r>
    </w:p>
    <w:p>
      <w:pPr>
        <w:rPr>
          <w:color w:val="auto"/>
          <w:highlight w:val="none"/>
        </w:rPr>
      </w:pPr>
      <w:r>
        <w:rPr>
          <w:rFonts w:hint="eastAsia"/>
          <w:color w:val="auto"/>
          <w:highlight w:val="none"/>
        </w:rPr>
        <w:t>5.我们同意按招标文件中的规定，认可本投标文件的有效期为开标后60日历天；如果中标，有效期延长至合同终止日止。</w:t>
      </w:r>
    </w:p>
    <w:p>
      <w:pPr>
        <w:rPr>
          <w:color w:val="auto"/>
          <w:highlight w:val="none"/>
        </w:rPr>
      </w:pPr>
      <w:r>
        <w:rPr>
          <w:rFonts w:hint="eastAsia"/>
          <w:color w:val="auto"/>
          <w:highlight w:val="none"/>
        </w:rPr>
        <w:t>6.我们愿按招标文件中的规定交纳万元的投标保证金。</w:t>
      </w:r>
    </w:p>
    <w:p>
      <w:pPr>
        <w:rPr>
          <w:color w:val="auto"/>
          <w:highlight w:val="none"/>
        </w:rPr>
      </w:pPr>
      <w:r>
        <w:rPr>
          <w:rFonts w:hint="eastAsia"/>
          <w:color w:val="auto"/>
          <w:highlight w:val="none"/>
        </w:rPr>
        <w:t>7</w:t>
      </w:r>
      <w:r>
        <w:rPr>
          <w:color w:val="auto"/>
          <w:highlight w:val="none"/>
        </w:rPr>
        <w:t>.</w:t>
      </w:r>
      <w:r>
        <w:rPr>
          <w:rFonts w:hint="eastAsia"/>
          <w:color w:val="auto"/>
          <w:highlight w:val="none"/>
        </w:rPr>
        <w:t>我们已经详细审核了全部招标文件，包括修改、补充的文件（如果有的话）和参考资料，我们完全理解并同意放弃对这方面有不明及误解的权利。</w:t>
      </w:r>
    </w:p>
    <w:p>
      <w:pPr>
        <w:rPr>
          <w:color w:val="auto"/>
          <w:highlight w:val="none"/>
        </w:rPr>
      </w:pPr>
      <w:r>
        <w:rPr>
          <w:rFonts w:hint="eastAsia"/>
          <w:color w:val="auto"/>
          <w:highlight w:val="none"/>
        </w:rPr>
        <w:t>8</w:t>
      </w:r>
      <w:r>
        <w:rPr>
          <w:color w:val="auto"/>
          <w:highlight w:val="none"/>
        </w:rPr>
        <w:t>.</w:t>
      </w:r>
      <w:r>
        <w:rPr>
          <w:rFonts w:hint="eastAsia"/>
          <w:color w:val="auto"/>
          <w:highlight w:val="none"/>
        </w:rPr>
        <w:t>在制定和执行正式合同之前，本投标文件连同中标通知书，应构成我们双方之间有约束力的合同。</w:t>
      </w:r>
    </w:p>
    <w:p>
      <w:pPr>
        <w:rPr>
          <w:color w:val="auto"/>
          <w:highlight w:val="none"/>
        </w:rPr>
      </w:pPr>
      <w:r>
        <w:rPr>
          <w:rFonts w:hint="eastAsia"/>
          <w:color w:val="auto"/>
          <w:highlight w:val="none"/>
        </w:rPr>
        <w:t>9</w:t>
      </w:r>
      <w:r>
        <w:rPr>
          <w:color w:val="auto"/>
          <w:highlight w:val="none"/>
        </w:rPr>
        <w:t>.</w:t>
      </w:r>
      <w:r>
        <w:rPr>
          <w:rFonts w:hint="eastAsia"/>
          <w:color w:val="auto"/>
          <w:highlight w:val="none"/>
        </w:rPr>
        <w:t>我们愿按《中华人民共和国民法典》履行自己的全部责任。</w:t>
      </w:r>
    </w:p>
    <w:p>
      <w:pPr>
        <w:rPr>
          <w:color w:val="auto"/>
          <w:highlight w:val="none"/>
        </w:rPr>
      </w:pPr>
      <w:r>
        <w:rPr>
          <w:rFonts w:hint="eastAsia"/>
          <w:color w:val="auto"/>
          <w:highlight w:val="none"/>
        </w:rPr>
        <w:t>地址：</w:t>
      </w:r>
      <w:r>
        <w:rPr>
          <w:rFonts w:hint="eastAsia"/>
          <w:color w:val="auto"/>
          <w:highlight w:val="none"/>
          <w:u w:val="single"/>
        </w:rPr>
        <w:t xml:space="preserve">                          </w:t>
      </w:r>
      <w:r>
        <w:rPr>
          <w:rFonts w:hint="eastAsia"/>
          <w:color w:val="auto"/>
          <w:highlight w:val="none"/>
        </w:rPr>
        <w:t xml:space="preserve">   邮编：</w:t>
      </w:r>
      <w:r>
        <w:rPr>
          <w:rFonts w:hint="eastAsia"/>
          <w:color w:val="auto"/>
          <w:highlight w:val="none"/>
          <w:u w:val="single"/>
        </w:rPr>
        <w:t xml:space="preserve">                          </w:t>
      </w:r>
      <w:r>
        <w:rPr>
          <w:rFonts w:hint="eastAsia"/>
          <w:color w:val="auto"/>
          <w:highlight w:val="none"/>
        </w:rPr>
        <w:t xml:space="preserve">          </w:t>
      </w:r>
    </w:p>
    <w:p>
      <w:pPr>
        <w:rPr>
          <w:color w:val="auto"/>
          <w:highlight w:val="none"/>
        </w:rPr>
      </w:pPr>
      <w:r>
        <w:rPr>
          <w:rFonts w:hint="eastAsia"/>
          <w:color w:val="auto"/>
          <w:highlight w:val="none"/>
        </w:rPr>
        <w:t>电话：</w:t>
      </w:r>
      <w:r>
        <w:rPr>
          <w:rFonts w:hint="eastAsia"/>
          <w:color w:val="auto"/>
          <w:highlight w:val="none"/>
          <w:u w:val="single"/>
        </w:rPr>
        <w:t xml:space="preserve">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传真：</w:t>
      </w:r>
      <w:r>
        <w:rPr>
          <w:rFonts w:hint="eastAsia"/>
          <w:color w:val="auto"/>
          <w:highlight w:val="none"/>
          <w:u w:val="single"/>
        </w:rPr>
        <w:t xml:space="preserve">                          </w:t>
      </w:r>
      <w:r>
        <w:rPr>
          <w:rFonts w:hint="eastAsia"/>
          <w:color w:val="auto"/>
          <w:highlight w:val="none"/>
        </w:rPr>
        <w:t xml:space="preserve">   </w:t>
      </w:r>
    </w:p>
    <w:p>
      <w:pPr>
        <w:rPr>
          <w:color w:val="auto"/>
          <w:highlight w:val="none"/>
        </w:rPr>
      </w:pPr>
      <w:r>
        <w:rPr>
          <w:rFonts w:hint="eastAsia"/>
          <w:color w:val="auto"/>
          <w:highlight w:val="none"/>
        </w:rPr>
        <w:t>投标人名称：</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（盖单位章）      </w:t>
      </w:r>
    </w:p>
    <w:p>
      <w:pPr>
        <w:rPr>
          <w:color w:val="auto"/>
          <w:highlight w:val="none"/>
        </w:rPr>
      </w:pPr>
      <w:r>
        <w:rPr>
          <w:rFonts w:hint="eastAsia"/>
          <w:color w:val="auto"/>
          <w:highlight w:val="none"/>
        </w:rPr>
        <w:t>法定代表人或其委托代理人：</w:t>
      </w:r>
      <w:r>
        <w:rPr>
          <w:rFonts w:hint="eastAsia"/>
          <w:color w:val="auto"/>
          <w:highlight w:val="none"/>
          <w:u w:val="single"/>
        </w:rPr>
        <w:t xml:space="preserve">           </w:t>
      </w:r>
      <w:r>
        <w:rPr>
          <w:rFonts w:hint="eastAsia"/>
          <w:color w:val="auto"/>
          <w:highlight w:val="none"/>
        </w:rPr>
        <w:t>（签字或盖章）</w:t>
      </w:r>
    </w:p>
    <w:p>
      <w:pPr>
        <w:rPr>
          <w:color w:val="auto"/>
          <w:highlight w:val="none"/>
        </w:rPr>
      </w:pPr>
      <w:r>
        <w:rPr>
          <w:rFonts w:hint="eastAsia"/>
          <w:color w:val="auto"/>
          <w:highlight w:val="none"/>
        </w:rPr>
        <w:t>日期：    年   月   日</w:t>
      </w:r>
    </w:p>
    <w:p>
      <w:pPr>
        <w:rPr>
          <w:color w:val="auto"/>
          <w:highlight w:val="none"/>
        </w:rPr>
      </w:pPr>
    </w:p>
    <w:p>
      <w:pPr>
        <w:rPr>
          <w:color w:val="auto"/>
          <w:highlight w:val="none"/>
        </w:rPr>
      </w:pPr>
    </w:p>
    <w:p>
      <w:pPr>
        <w:rPr>
          <w:color w:val="auto"/>
          <w:highlight w:val="none"/>
        </w:rPr>
      </w:pPr>
      <w:bookmarkStart w:id="356" w:name="_Toc500864539"/>
      <w:bookmarkStart w:id="357" w:name="_Toc500865929"/>
      <w:bookmarkStart w:id="358" w:name="_Toc11632"/>
      <w:bookmarkStart w:id="359" w:name="_Toc4901"/>
      <w:bookmarkStart w:id="360" w:name="_Toc431367137"/>
    </w:p>
    <w:p>
      <w:pPr>
        <w:rPr>
          <w:color w:val="auto"/>
          <w:highlight w:val="none"/>
        </w:rPr>
      </w:pPr>
    </w:p>
    <w:p>
      <w:pPr>
        <w:jc w:val="center"/>
        <w:rPr>
          <w:color w:val="auto"/>
          <w:sz w:val="28"/>
          <w:szCs w:val="28"/>
          <w:highlight w:val="none"/>
        </w:rPr>
      </w:pPr>
      <w:r>
        <w:rPr>
          <w:rFonts w:hint="eastAsia"/>
          <w:color w:val="auto"/>
          <w:highlight w:val="none"/>
        </w:rPr>
        <w:t>（二）投标函附录</w:t>
      </w:r>
      <w:bookmarkEnd w:id="356"/>
      <w:bookmarkEnd w:id="357"/>
      <w:bookmarkEnd w:id="358"/>
      <w:bookmarkEnd w:id="359"/>
      <w:bookmarkEnd w:id="360"/>
    </w:p>
    <w:tbl>
      <w:tblPr>
        <w:tblStyle w:val="25"/>
        <w:tblW w:w="9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5"/>
        <w:gridCol w:w="2623"/>
        <w:gridCol w:w="999"/>
        <w:gridCol w:w="185"/>
        <w:gridCol w:w="720"/>
        <w:gridCol w:w="2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645" w:type="dxa"/>
            <w:tcBorders>
              <w:top w:val="double" w:color="auto" w:sz="4" w:space="0"/>
              <w:left w:val="doub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项目名称</w:t>
            </w:r>
          </w:p>
        </w:tc>
        <w:tc>
          <w:tcPr>
            <w:tcW w:w="6634" w:type="dxa"/>
            <w:gridSpan w:val="5"/>
            <w:tcBorders>
              <w:top w:val="double" w:color="auto" w:sz="4" w:space="0"/>
              <w:left w:val="single" w:color="auto" w:sz="4" w:space="0"/>
              <w:bottom w:val="single" w:color="auto" w:sz="4" w:space="0"/>
              <w:right w:val="double" w:color="auto" w:sz="4" w:space="0"/>
            </w:tcBorders>
            <w:noWrap/>
          </w:tcPr>
          <w:p>
            <w:pPr>
              <w:ind w:left="0" w:leftChars="0" w:firstLine="0" w:firstLineChars="0"/>
              <w:rPr>
                <w:rFonts w:hint="eastAsia"/>
                <w:color w:val="auto"/>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645" w:type="dxa"/>
            <w:tcBorders>
              <w:top w:val="double" w:color="auto" w:sz="4" w:space="0"/>
              <w:left w:val="doub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所投标段</w:t>
            </w:r>
          </w:p>
        </w:tc>
        <w:tc>
          <w:tcPr>
            <w:tcW w:w="6634" w:type="dxa"/>
            <w:gridSpan w:val="5"/>
            <w:tcBorders>
              <w:top w:val="double" w:color="auto" w:sz="4" w:space="0"/>
              <w:left w:val="single" w:color="auto" w:sz="4" w:space="0"/>
              <w:bottom w:val="single" w:color="auto" w:sz="4" w:space="0"/>
              <w:right w:val="double" w:color="auto" w:sz="4" w:space="0"/>
            </w:tcBorders>
            <w:noWrap/>
          </w:tcPr>
          <w:p>
            <w:pPr>
              <w:ind w:left="0" w:leftChars="0" w:firstLine="0" w:firstLineChars="0"/>
              <w:rPr>
                <w:rFonts w:hint="eastAsia"/>
                <w:color w:val="auto"/>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2645" w:type="dxa"/>
            <w:tcBorders>
              <w:top w:val="single" w:color="auto" w:sz="4" w:space="0"/>
              <w:left w:val="doub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投标人</w:t>
            </w:r>
          </w:p>
        </w:tc>
        <w:tc>
          <w:tcPr>
            <w:tcW w:w="2623" w:type="dxa"/>
            <w:tcBorders>
              <w:top w:val="single" w:color="auto" w:sz="4" w:space="0"/>
              <w:left w:val="single" w:color="auto" w:sz="4" w:space="0"/>
              <w:bottom w:val="single" w:color="auto" w:sz="4" w:space="0"/>
              <w:right w:val="single" w:color="auto" w:sz="4" w:space="0"/>
            </w:tcBorders>
            <w:noWrap/>
          </w:tcPr>
          <w:p>
            <w:pPr>
              <w:ind w:left="0" w:leftChars="0" w:firstLine="0" w:firstLineChars="0"/>
              <w:rPr>
                <w:rFonts w:hint="eastAsia"/>
                <w:color w:val="auto"/>
                <w:highlight w:val="none"/>
                <w:lang w:val="zh-CN"/>
              </w:rPr>
            </w:pPr>
          </w:p>
        </w:tc>
        <w:tc>
          <w:tcPr>
            <w:tcW w:w="1184" w:type="dxa"/>
            <w:gridSpan w:val="2"/>
            <w:tcBorders>
              <w:top w:val="single" w:color="auto" w:sz="4" w:space="0"/>
              <w:left w:val="sing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资质等级</w:t>
            </w:r>
          </w:p>
        </w:tc>
        <w:tc>
          <w:tcPr>
            <w:tcW w:w="2827" w:type="dxa"/>
            <w:gridSpan w:val="2"/>
            <w:tcBorders>
              <w:top w:val="single" w:color="auto" w:sz="4" w:space="0"/>
              <w:left w:val="single" w:color="auto" w:sz="4" w:space="0"/>
              <w:bottom w:val="single" w:color="auto" w:sz="4" w:space="0"/>
              <w:right w:val="double" w:color="auto" w:sz="4" w:space="0"/>
            </w:tcBorders>
            <w:noWrap/>
          </w:tcPr>
          <w:p>
            <w:pPr>
              <w:ind w:left="0" w:leftChars="0" w:firstLine="0" w:firstLineChars="0"/>
              <w:rPr>
                <w:rFonts w:hint="eastAsia"/>
                <w:color w:val="auto"/>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645" w:type="dxa"/>
            <w:tcBorders>
              <w:top w:val="single" w:color="auto" w:sz="4" w:space="0"/>
              <w:left w:val="doub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监理主要工作内容</w:t>
            </w:r>
          </w:p>
        </w:tc>
        <w:tc>
          <w:tcPr>
            <w:tcW w:w="2623" w:type="dxa"/>
            <w:tcBorders>
              <w:top w:val="single" w:color="auto" w:sz="4" w:space="0"/>
              <w:left w:val="single" w:color="auto" w:sz="4" w:space="0"/>
              <w:bottom w:val="single" w:color="auto" w:sz="4" w:space="0"/>
              <w:right w:val="single" w:color="auto" w:sz="4" w:space="0"/>
            </w:tcBorders>
            <w:noWrap/>
          </w:tcPr>
          <w:p>
            <w:pPr>
              <w:ind w:left="0" w:leftChars="0" w:firstLine="0" w:firstLineChars="0"/>
              <w:rPr>
                <w:rFonts w:hint="eastAsia"/>
                <w:color w:val="auto"/>
                <w:highlight w:val="none"/>
                <w:lang w:val="zh-CN"/>
              </w:rPr>
            </w:pPr>
          </w:p>
        </w:tc>
        <w:tc>
          <w:tcPr>
            <w:tcW w:w="1184" w:type="dxa"/>
            <w:gridSpan w:val="2"/>
            <w:tcBorders>
              <w:top w:val="single" w:color="auto" w:sz="4" w:space="0"/>
              <w:left w:val="sing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质量监</w:t>
            </w:r>
          </w:p>
          <w:p>
            <w:pPr>
              <w:ind w:left="0" w:leftChars="0" w:firstLine="0" w:firstLineChars="0"/>
              <w:rPr>
                <w:rFonts w:hint="eastAsia"/>
                <w:color w:val="auto"/>
                <w:highlight w:val="none"/>
                <w:lang w:val="zh-CN"/>
              </w:rPr>
            </w:pPr>
            <w:r>
              <w:rPr>
                <w:rFonts w:hint="eastAsia"/>
                <w:color w:val="auto"/>
                <w:highlight w:val="none"/>
                <w:lang w:val="zh-CN"/>
              </w:rPr>
              <w:t>控目标</w:t>
            </w:r>
          </w:p>
        </w:tc>
        <w:tc>
          <w:tcPr>
            <w:tcW w:w="2827" w:type="dxa"/>
            <w:gridSpan w:val="2"/>
            <w:tcBorders>
              <w:top w:val="single" w:color="auto" w:sz="4" w:space="0"/>
              <w:left w:val="single" w:color="auto" w:sz="4" w:space="0"/>
              <w:bottom w:val="single" w:color="auto" w:sz="4" w:space="0"/>
              <w:right w:val="double" w:color="auto" w:sz="4" w:space="0"/>
            </w:tcBorders>
            <w:noWrap/>
          </w:tcPr>
          <w:p>
            <w:pPr>
              <w:ind w:left="0" w:leftChars="0" w:firstLine="0" w:firstLineChars="0"/>
              <w:rPr>
                <w:rFonts w:hint="eastAsia"/>
                <w:color w:val="auto"/>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645" w:type="dxa"/>
            <w:tcBorders>
              <w:top w:val="single" w:color="auto" w:sz="4" w:space="0"/>
              <w:left w:val="doub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监理服务期限</w:t>
            </w:r>
          </w:p>
        </w:tc>
        <w:tc>
          <w:tcPr>
            <w:tcW w:w="6634" w:type="dxa"/>
            <w:gridSpan w:val="5"/>
            <w:tcBorders>
              <w:top w:val="single" w:color="auto" w:sz="4" w:space="0"/>
              <w:left w:val="single" w:color="auto" w:sz="4" w:space="0"/>
              <w:bottom w:val="single" w:color="auto" w:sz="4" w:space="0"/>
              <w:right w:val="double" w:color="auto" w:sz="4" w:space="0"/>
            </w:tcBorders>
            <w:noWrap/>
            <w:vAlign w:val="center"/>
          </w:tcPr>
          <w:p>
            <w:pPr>
              <w:ind w:left="0" w:leftChars="0" w:firstLine="0" w:firstLineChars="0"/>
              <w:rPr>
                <w:rFonts w:hint="eastAsia"/>
                <w:color w:val="auto"/>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atLeast"/>
        </w:trPr>
        <w:tc>
          <w:tcPr>
            <w:tcW w:w="2645" w:type="dxa"/>
            <w:tcBorders>
              <w:top w:val="single" w:color="auto" w:sz="4" w:space="0"/>
              <w:left w:val="doub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投标总价</w:t>
            </w:r>
          </w:p>
        </w:tc>
        <w:tc>
          <w:tcPr>
            <w:tcW w:w="6634" w:type="dxa"/>
            <w:gridSpan w:val="5"/>
            <w:tcBorders>
              <w:top w:val="single" w:color="auto" w:sz="4" w:space="0"/>
              <w:left w:val="single" w:color="auto" w:sz="4" w:space="0"/>
              <w:bottom w:val="single" w:color="auto" w:sz="4" w:space="0"/>
              <w:right w:val="doub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 xml:space="preserve">（大写） </w:t>
            </w:r>
            <w:r>
              <w:rPr>
                <w:rFonts w:hint="eastAsia"/>
                <w:color w:val="auto"/>
                <w:highlight w:val="none"/>
                <w:lang w:val="zh-CN" w:eastAsia="zh-CN"/>
              </w:rPr>
              <w:t>：</w:t>
            </w:r>
            <w:r>
              <w:rPr>
                <w:rFonts w:hint="eastAsia"/>
                <w:color w:val="auto"/>
                <w:highlight w:val="none"/>
                <w:lang w:val="zh-CN"/>
              </w:rPr>
              <w:t xml:space="preserve">           </w:t>
            </w:r>
          </w:p>
          <w:p>
            <w:pPr>
              <w:ind w:left="0" w:leftChars="0" w:firstLine="0" w:firstLineChars="0"/>
              <w:rPr>
                <w:rFonts w:hint="eastAsia"/>
                <w:color w:val="auto"/>
                <w:highlight w:val="none"/>
                <w:lang w:val="zh-CN"/>
              </w:rPr>
            </w:pPr>
            <w:r>
              <w:rPr>
                <w:rFonts w:hint="eastAsia"/>
                <w:color w:val="auto"/>
                <w:highlight w:val="none"/>
                <w:lang w:val="zh-CN"/>
              </w:rPr>
              <w:t xml:space="preserve">（小写）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2645" w:type="dxa"/>
            <w:tcBorders>
              <w:top w:val="single" w:color="auto" w:sz="4" w:space="0"/>
              <w:left w:val="doub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计划进驻日期</w:t>
            </w:r>
          </w:p>
        </w:tc>
        <w:tc>
          <w:tcPr>
            <w:tcW w:w="6634" w:type="dxa"/>
            <w:gridSpan w:val="5"/>
            <w:tcBorders>
              <w:top w:val="single" w:color="auto" w:sz="4" w:space="0"/>
              <w:left w:val="single" w:color="auto" w:sz="4" w:space="0"/>
              <w:bottom w:val="single" w:color="auto" w:sz="4" w:space="0"/>
              <w:right w:val="doub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接招标人进场通知后2天内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645" w:type="dxa"/>
            <w:tcBorders>
              <w:top w:val="single" w:color="auto" w:sz="4" w:space="0"/>
              <w:left w:val="doub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项目总监理工程师</w:t>
            </w:r>
          </w:p>
        </w:tc>
        <w:tc>
          <w:tcPr>
            <w:tcW w:w="3622" w:type="dxa"/>
            <w:gridSpan w:val="2"/>
            <w:tcBorders>
              <w:top w:val="single" w:color="auto" w:sz="4" w:space="0"/>
              <w:left w:val="single" w:color="auto" w:sz="4" w:space="0"/>
              <w:bottom w:val="single" w:color="auto" w:sz="4" w:space="0"/>
              <w:right w:val="single" w:color="auto" w:sz="4" w:space="0"/>
            </w:tcBorders>
            <w:noWrap/>
          </w:tcPr>
          <w:p>
            <w:pPr>
              <w:ind w:left="0" w:leftChars="0" w:firstLine="0" w:firstLineChars="0"/>
              <w:rPr>
                <w:rFonts w:hint="eastAsia"/>
                <w:color w:val="auto"/>
                <w:highlight w:val="none"/>
                <w:lang w:val="zh-CN"/>
              </w:rPr>
            </w:pPr>
          </w:p>
        </w:tc>
        <w:tc>
          <w:tcPr>
            <w:tcW w:w="905" w:type="dxa"/>
            <w:gridSpan w:val="2"/>
            <w:tcBorders>
              <w:top w:val="single" w:color="auto" w:sz="4" w:space="0"/>
              <w:left w:val="single" w:color="auto" w:sz="4" w:space="0"/>
              <w:bottom w:val="sing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证书</w:t>
            </w:r>
          </w:p>
          <w:p>
            <w:pPr>
              <w:ind w:left="0" w:leftChars="0" w:firstLine="0" w:firstLineChars="0"/>
              <w:rPr>
                <w:rFonts w:hint="eastAsia"/>
                <w:color w:val="auto"/>
                <w:highlight w:val="none"/>
                <w:lang w:val="zh-CN"/>
              </w:rPr>
            </w:pPr>
            <w:r>
              <w:rPr>
                <w:rFonts w:hint="eastAsia"/>
                <w:color w:val="auto"/>
                <w:highlight w:val="none"/>
                <w:lang w:val="zh-CN"/>
              </w:rPr>
              <w:t>编号</w:t>
            </w:r>
          </w:p>
        </w:tc>
        <w:tc>
          <w:tcPr>
            <w:tcW w:w="2107" w:type="dxa"/>
            <w:tcBorders>
              <w:top w:val="single" w:color="auto" w:sz="4" w:space="0"/>
              <w:left w:val="single" w:color="auto" w:sz="4" w:space="0"/>
              <w:bottom w:val="single" w:color="auto" w:sz="4" w:space="0"/>
              <w:right w:val="double" w:color="auto" w:sz="4" w:space="0"/>
            </w:tcBorders>
            <w:noWrap/>
          </w:tcPr>
          <w:p>
            <w:pPr>
              <w:ind w:left="0" w:leftChars="0" w:firstLine="0" w:firstLineChars="0"/>
              <w:rPr>
                <w:rFonts w:hint="eastAsia"/>
                <w:color w:val="auto"/>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2645" w:type="dxa"/>
            <w:tcBorders>
              <w:top w:val="single" w:color="auto" w:sz="4" w:space="0"/>
              <w:left w:val="double" w:color="auto" w:sz="4" w:space="0"/>
              <w:bottom w:val="double" w:color="auto" w:sz="4" w:space="0"/>
              <w:right w:val="single" w:color="auto" w:sz="4" w:space="0"/>
            </w:tcBorders>
            <w:noWrap/>
            <w:vAlign w:val="center"/>
          </w:tcPr>
          <w:p>
            <w:pPr>
              <w:ind w:left="0" w:leftChars="0" w:firstLine="0" w:firstLineChars="0"/>
              <w:rPr>
                <w:rFonts w:hint="eastAsia"/>
                <w:color w:val="auto"/>
                <w:highlight w:val="none"/>
                <w:lang w:val="zh-CN"/>
              </w:rPr>
            </w:pPr>
            <w:r>
              <w:rPr>
                <w:rFonts w:hint="eastAsia"/>
                <w:color w:val="auto"/>
                <w:highlight w:val="none"/>
                <w:lang w:val="zh-CN"/>
              </w:rPr>
              <w:t>备注</w:t>
            </w:r>
          </w:p>
        </w:tc>
        <w:tc>
          <w:tcPr>
            <w:tcW w:w="6634" w:type="dxa"/>
            <w:gridSpan w:val="5"/>
            <w:tcBorders>
              <w:top w:val="single" w:color="auto" w:sz="4" w:space="0"/>
              <w:left w:val="single" w:color="auto" w:sz="4" w:space="0"/>
              <w:bottom w:val="double" w:color="auto" w:sz="4" w:space="0"/>
              <w:right w:val="double" w:color="auto" w:sz="4" w:space="0"/>
            </w:tcBorders>
            <w:noWrap/>
          </w:tcPr>
          <w:p>
            <w:pPr>
              <w:ind w:left="0" w:leftChars="0" w:firstLine="0" w:firstLineChars="0"/>
              <w:rPr>
                <w:rFonts w:hint="eastAsia"/>
                <w:color w:val="auto"/>
                <w:highlight w:val="none"/>
                <w:lang w:val="zh-CN"/>
              </w:rPr>
            </w:pPr>
          </w:p>
        </w:tc>
      </w:tr>
    </w:tbl>
    <w:p>
      <w:pPr>
        <w:rPr>
          <w:color w:val="auto"/>
          <w:highlight w:val="none"/>
        </w:rPr>
      </w:pPr>
    </w:p>
    <w:p>
      <w:pPr>
        <w:rPr>
          <w:color w:val="auto"/>
          <w:highlight w:val="none"/>
        </w:rPr>
      </w:pPr>
      <w:r>
        <w:rPr>
          <w:rFonts w:hint="eastAsia"/>
          <w:color w:val="auto"/>
          <w:highlight w:val="none"/>
        </w:rPr>
        <w:t>附监理报酬清单（格式自拟）</w:t>
      </w:r>
    </w:p>
    <w:p>
      <w:pPr>
        <w:rPr>
          <w:color w:val="auto"/>
          <w:highlight w:val="none"/>
        </w:rPr>
      </w:pPr>
      <w:r>
        <w:rPr>
          <w:rFonts w:hint="eastAsia"/>
          <w:color w:val="auto"/>
          <w:highlight w:val="none"/>
        </w:rPr>
        <w:t>1.监理报酬清单说明</w:t>
      </w:r>
    </w:p>
    <w:p>
      <w:pPr>
        <w:rPr>
          <w:color w:val="auto"/>
          <w:highlight w:val="none"/>
        </w:rPr>
      </w:pPr>
      <w:r>
        <w:rPr>
          <w:rFonts w:hint="eastAsia"/>
          <w:color w:val="auto"/>
          <w:highlight w:val="none"/>
        </w:rPr>
        <w:t>2.监理报酬清单</w:t>
      </w:r>
    </w:p>
    <w:p>
      <w:pPr>
        <w:rPr>
          <w:color w:val="auto"/>
          <w:highlight w:val="none"/>
        </w:rPr>
      </w:pPr>
    </w:p>
    <w:p>
      <w:pPr>
        <w:rPr>
          <w:color w:val="auto"/>
          <w:highlight w:val="none"/>
        </w:rPr>
      </w:pPr>
      <w:bookmarkStart w:id="361" w:name="_Toc536525010"/>
      <w:bookmarkStart w:id="362" w:name="_Toc227474191"/>
      <w:bookmarkStart w:id="363" w:name="_Toc436741208"/>
      <w:r>
        <w:rPr>
          <w:rFonts w:hint="eastAsia"/>
          <w:color w:val="auto"/>
          <w:highlight w:val="none"/>
        </w:rPr>
        <w:t xml:space="preserve">投标人： </w:t>
      </w:r>
      <w:r>
        <w:rPr>
          <w:rFonts w:hint="eastAsia"/>
          <w:color w:val="auto"/>
          <w:highlight w:val="none"/>
          <w:u w:val="single"/>
        </w:rPr>
        <w:t xml:space="preserve">                       </w:t>
      </w:r>
      <w:r>
        <w:rPr>
          <w:rFonts w:hint="eastAsia"/>
          <w:color w:val="auto"/>
          <w:highlight w:val="none"/>
        </w:rPr>
        <w:t xml:space="preserve"> （盖单位章）</w:t>
      </w:r>
    </w:p>
    <w:p>
      <w:pPr>
        <w:rPr>
          <w:color w:val="auto"/>
          <w:highlight w:val="none"/>
        </w:rPr>
      </w:pPr>
      <w:r>
        <w:rPr>
          <w:rFonts w:hint="eastAsia"/>
          <w:color w:val="auto"/>
          <w:highlight w:val="none"/>
        </w:rPr>
        <w:t>法定代表人或其委托代理人：</w:t>
      </w:r>
      <w:r>
        <w:rPr>
          <w:rFonts w:hint="eastAsia"/>
          <w:color w:val="auto"/>
          <w:highlight w:val="none"/>
          <w:u w:val="single"/>
        </w:rPr>
        <w:t xml:space="preserve">          </w:t>
      </w:r>
      <w:r>
        <w:rPr>
          <w:rFonts w:hint="eastAsia"/>
          <w:color w:val="auto"/>
          <w:highlight w:val="none"/>
        </w:rPr>
        <w:t>（签字或盖章）</w:t>
      </w:r>
    </w:p>
    <w:p>
      <w:pPr>
        <w:rPr>
          <w:color w:val="auto"/>
          <w:highlight w:val="none"/>
        </w:rPr>
      </w:pPr>
      <w:r>
        <w:rPr>
          <w:rFonts w:hint="eastAsia"/>
          <w:color w:val="auto"/>
          <w:highlight w:val="none"/>
        </w:rPr>
        <w:t>日期：   年   月   日</w:t>
      </w:r>
    </w:p>
    <w:p>
      <w:pPr>
        <w:ind w:left="0" w:leftChars="0" w:firstLine="0" w:firstLineChars="0"/>
        <w:rPr>
          <w:color w:val="auto"/>
          <w:highlight w:val="none"/>
        </w:rPr>
      </w:pPr>
    </w:p>
    <w:p>
      <w:pPr>
        <w:pStyle w:val="3"/>
        <w:numPr>
          <w:ilvl w:val="1"/>
          <w:numId w:val="0"/>
        </w:numPr>
        <w:ind w:firstLine="420" w:firstLineChars="0"/>
        <w:rPr>
          <w:rFonts w:hint="eastAsia"/>
          <w:color w:val="auto"/>
          <w:highlight w:val="none"/>
        </w:rPr>
      </w:pPr>
      <w:r>
        <w:rPr>
          <w:rFonts w:hint="eastAsia"/>
          <w:color w:val="auto"/>
          <w:highlight w:val="none"/>
        </w:rPr>
        <w:t>二、法定代表人身份证明</w:t>
      </w:r>
      <w:bookmarkEnd w:id="361"/>
    </w:p>
    <w:p>
      <w:pPr>
        <w:rPr>
          <w:color w:val="auto"/>
          <w:highlight w:val="none"/>
        </w:rPr>
      </w:pPr>
    </w:p>
    <w:p>
      <w:pPr>
        <w:rPr>
          <w:color w:val="auto"/>
          <w:highlight w:val="none"/>
        </w:rPr>
      </w:pPr>
      <w:r>
        <w:rPr>
          <w:rFonts w:hint="eastAsia"/>
          <w:color w:val="auto"/>
          <w:highlight w:val="none"/>
        </w:rPr>
        <w:t>投标人名称：</w:t>
      </w:r>
      <w:r>
        <w:rPr>
          <w:rFonts w:hint="eastAsia"/>
          <w:color w:val="auto"/>
          <w:highlight w:val="none"/>
          <w:u w:val="single"/>
        </w:rPr>
        <w:t xml:space="preserve">      </w:t>
      </w:r>
    </w:p>
    <w:p>
      <w:pPr>
        <w:rPr>
          <w:color w:val="auto"/>
          <w:highlight w:val="none"/>
        </w:rPr>
      </w:pPr>
      <w:r>
        <w:rPr>
          <w:rFonts w:hint="eastAsia"/>
          <w:color w:val="auto"/>
          <w:highlight w:val="none"/>
        </w:rPr>
        <w:t>单位性质：</w:t>
      </w:r>
      <w:r>
        <w:rPr>
          <w:rFonts w:hint="eastAsia"/>
          <w:color w:val="auto"/>
          <w:highlight w:val="none"/>
          <w:u w:val="single"/>
        </w:rPr>
        <w:t xml:space="preserve">      </w:t>
      </w:r>
    </w:p>
    <w:p>
      <w:pPr>
        <w:rPr>
          <w:color w:val="auto"/>
          <w:highlight w:val="none"/>
          <w:u w:val="single"/>
        </w:rPr>
      </w:pPr>
      <w:r>
        <w:rPr>
          <w:rFonts w:hint="eastAsia"/>
          <w:color w:val="auto"/>
          <w:highlight w:val="none"/>
        </w:rPr>
        <w:t>地址：</w:t>
      </w:r>
      <w:r>
        <w:rPr>
          <w:rFonts w:hint="eastAsia"/>
          <w:color w:val="auto"/>
          <w:highlight w:val="none"/>
          <w:u w:val="single"/>
        </w:rPr>
        <w:t xml:space="preserve">      </w:t>
      </w:r>
    </w:p>
    <w:p>
      <w:pPr>
        <w:rPr>
          <w:color w:val="auto"/>
          <w:highlight w:val="none"/>
        </w:rPr>
      </w:pPr>
      <w:r>
        <w:rPr>
          <w:rFonts w:hint="eastAsia"/>
          <w:color w:val="auto"/>
          <w:highlight w:val="none"/>
        </w:rPr>
        <w:t>成立时间：      年      月     日</w:t>
      </w:r>
    </w:p>
    <w:p>
      <w:pPr>
        <w:rPr>
          <w:color w:val="auto"/>
          <w:highlight w:val="none"/>
        </w:rPr>
      </w:pPr>
      <w:r>
        <w:rPr>
          <w:rFonts w:hint="eastAsia"/>
          <w:color w:val="auto"/>
          <w:highlight w:val="none"/>
        </w:rPr>
        <w:t>经营期限：</w:t>
      </w:r>
      <w:r>
        <w:rPr>
          <w:rFonts w:hint="eastAsia"/>
          <w:color w:val="auto"/>
          <w:highlight w:val="none"/>
          <w:u w:val="single"/>
        </w:rPr>
        <w:t xml:space="preserve">     </w:t>
      </w:r>
    </w:p>
    <w:p>
      <w:pPr>
        <w:rPr>
          <w:color w:val="auto"/>
          <w:highlight w:val="none"/>
        </w:rPr>
      </w:pPr>
      <w:r>
        <w:rPr>
          <w:rFonts w:hint="eastAsia"/>
          <w:color w:val="auto"/>
          <w:highlight w:val="none"/>
        </w:rPr>
        <w:t>姓名：</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性别：</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 年龄：</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职务：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系</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（投标人名称）的法定代表人。</w:t>
      </w:r>
    </w:p>
    <w:p>
      <w:pPr>
        <w:rPr>
          <w:color w:val="auto"/>
          <w:highlight w:val="none"/>
        </w:rPr>
      </w:pPr>
    </w:p>
    <w:p>
      <w:pPr>
        <w:rPr>
          <w:color w:val="auto"/>
          <w:highlight w:val="none"/>
        </w:rPr>
      </w:pPr>
      <w:r>
        <w:rPr>
          <w:rFonts w:hint="eastAsia"/>
          <w:color w:val="auto"/>
          <w:highlight w:val="none"/>
        </w:rPr>
        <w:t>特此证明。</w:t>
      </w:r>
    </w:p>
    <w:p>
      <w:pPr>
        <w:rPr>
          <w:color w:val="auto"/>
          <w:highlight w:val="none"/>
        </w:rPr>
      </w:pPr>
    </w:p>
    <w:p>
      <w:pPr>
        <w:rPr>
          <w:color w:val="auto"/>
          <w:highlight w:val="none"/>
        </w:rPr>
      </w:pPr>
    </w:p>
    <w:p>
      <w:pPr>
        <w:rPr>
          <w:color w:val="auto"/>
          <w:highlight w:val="none"/>
        </w:rPr>
      </w:pPr>
    </w:p>
    <w:p>
      <w:pPr>
        <w:rPr>
          <w:color w:val="auto"/>
          <w:highlight w:val="none"/>
        </w:rPr>
      </w:pPr>
      <w:r>
        <w:rPr>
          <w:rFonts w:hint="eastAsia"/>
          <w:color w:val="auto"/>
          <w:highlight w:val="none"/>
        </w:rPr>
        <w:t xml:space="preserve">投标人： </w:t>
      </w:r>
      <w:r>
        <w:rPr>
          <w:rFonts w:hint="eastAsia"/>
          <w:color w:val="auto"/>
          <w:highlight w:val="none"/>
          <w:u w:val="single"/>
        </w:rPr>
        <w:t xml:space="preserve">                       </w:t>
      </w:r>
      <w:r>
        <w:rPr>
          <w:rFonts w:hint="eastAsia"/>
          <w:color w:val="auto"/>
          <w:highlight w:val="none"/>
        </w:rPr>
        <w:t xml:space="preserve"> （盖单位章）</w:t>
      </w:r>
    </w:p>
    <w:p>
      <w:pPr>
        <w:rPr>
          <w:color w:val="auto"/>
          <w:highlight w:val="none"/>
        </w:rPr>
      </w:pPr>
      <w:r>
        <w:rPr>
          <w:rFonts w:hint="eastAsia"/>
          <w:color w:val="auto"/>
          <w:highlight w:val="none"/>
        </w:rPr>
        <w:t>法定代表人或其委托代理人：</w:t>
      </w:r>
      <w:r>
        <w:rPr>
          <w:rFonts w:hint="eastAsia"/>
          <w:color w:val="auto"/>
          <w:highlight w:val="none"/>
          <w:u w:val="single"/>
        </w:rPr>
        <w:t xml:space="preserve">         </w:t>
      </w:r>
      <w:r>
        <w:rPr>
          <w:rFonts w:hint="eastAsia"/>
          <w:color w:val="auto"/>
          <w:highlight w:val="none"/>
        </w:rPr>
        <w:t xml:space="preserve"> （签字或盖章）</w:t>
      </w:r>
    </w:p>
    <w:p>
      <w:pPr>
        <w:rPr>
          <w:color w:val="auto"/>
          <w:highlight w:val="none"/>
        </w:rPr>
      </w:pPr>
      <w:r>
        <w:rPr>
          <w:rFonts w:hint="eastAsia"/>
          <w:color w:val="auto"/>
          <w:highlight w:val="none"/>
        </w:rPr>
        <w:t>日期：   年   月   日</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3"/>
        <w:numPr>
          <w:ilvl w:val="1"/>
          <w:numId w:val="0"/>
        </w:numPr>
        <w:ind w:firstLine="420" w:firstLineChars="0"/>
        <w:rPr>
          <w:color w:val="auto"/>
          <w:spacing w:val="10"/>
          <w:sz w:val="24"/>
          <w:highlight w:val="none"/>
        </w:rPr>
      </w:pPr>
      <w:bookmarkStart w:id="364" w:name="_Toc536525011"/>
      <w:r>
        <w:rPr>
          <w:rFonts w:hint="eastAsia"/>
          <w:color w:val="auto"/>
          <w:highlight w:val="none"/>
        </w:rPr>
        <w:t>三、</w:t>
      </w:r>
      <w:bookmarkEnd w:id="362"/>
      <w:bookmarkEnd w:id="363"/>
      <w:r>
        <w:rPr>
          <w:rFonts w:hint="eastAsia"/>
          <w:color w:val="auto"/>
          <w:highlight w:val="none"/>
        </w:rPr>
        <w:t>委托代理人授权委托书</w:t>
      </w:r>
      <w:bookmarkEnd w:id="364"/>
    </w:p>
    <w:p>
      <w:pPr>
        <w:pStyle w:val="7"/>
        <w:rPr>
          <w:color w:val="auto"/>
          <w:sz w:val="21"/>
          <w:szCs w:val="21"/>
          <w:highlight w:val="none"/>
        </w:rPr>
      </w:pPr>
      <w:r>
        <w:rPr>
          <w:rFonts w:hint="eastAsia"/>
          <w:color w:val="auto"/>
          <w:sz w:val="21"/>
          <w:szCs w:val="21"/>
          <w:highlight w:val="none"/>
        </w:rPr>
        <w:t>兹委托我单位同志</w:t>
      </w:r>
      <w:r>
        <w:rPr>
          <w:rFonts w:hint="eastAsia"/>
          <w:color w:val="auto"/>
          <w:sz w:val="21"/>
          <w:szCs w:val="21"/>
          <w:highlight w:val="none"/>
          <w:u w:val="single"/>
        </w:rPr>
        <w:t xml:space="preserve">      </w:t>
      </w:r>
      <w:r>
        <w:rPr>
          <w:rFonts w:hint="eastAsia"/>
          <w:color w:val="auto"/>
          <w:sz w:val="21"/>
          <w:szCs w:val="21"/>
          <w:highlight w:val="none"/>
        </w:rPr>
        <w:t>（职务：</w:t>
      </w:r>
      <w:r>
        <w:rPr>
          <w:rFonts w:hint="eastAsia"/>
          <w:color w:val="auto"/>
          <w:sz w:val="21"/>
          <w:szCs w:val="21"/>
          <w:highlight w:val="none"/>
          <w:u w:val="single"/>
        </w:rPr>
        <w:t xml:space="preserve">    </w:t>
      </w:r>
      <w:r>
        <w:rPr>
          <w:rFonts w:hint="eastAsia"/>
          <w:color w:val="auto"/>
          <w:sz w:val="21"/>
          <w:szCs w:val="21"/>
          <w:highlight w:val="none"/>
        </w:rPr>
        <w:t xml:space="preserve"> ）为我单位授权委托代理人，以我单位的名义参加</w:t>
      </w:r>
      <w:r>
        <w:rPr>
          <w:rFonts w:hint="eastAsia"/>
          <w:color w:val="auto"/>
          <w:spacing w:val="4"/>
          <w:sz w:val="21"/>
          <w:szCs w:val="21"/>
          <w:highlight w:val="none"/>
          <w:u w:val="single"/>
        </w:rPr>
        <w:t xml:space="preserve">（项目名称）   </w:t>
      </w:r>
      <w:r>
        <w:rPr>
          <w:rFonts w:hint="eastAsia"/>
          <w:color w:val="auto"/>
          <w:spacing w:val="4"/>
          <w:sz w:val="21"/>
          <w:szCs w:val="21"/>
          <w:highlight w:val="none"/>
        </w:rPr>
        <w:t>项目监理</w:t>
      </w:r>
      <w:r>
        <w:rPr>
          <w:rFonts w:hint="eastAsia"/>
          <w:color w:val="auto"/>
          <w:spacing w:val="4"/>
          <w:sz w:val="21"/>
          <w:szCs w:val="21"/>
          <w:highlight w:val="none"/>
          <w:u w:val="single"/>
        </w:rPr>
        <w:t xml:space="preserve">    </w:t>
      </w:r>
      <w:r>
        <w:rPr>
          <w:rFonts w:hint="eastAsia"/>
          <w:color w:val="auto"/>
          <w:spacing w:val="4"/>
          <w:sz w:val="21"/>
          <w:szCs w:val="21"/>
          <w:highlight w:val="none"/>
        </w:rPr>
        <w:t>标段</w:t>
      </w:r>
      <w:r>
        <w:rPr>
          <w:rFonts w:hint="eastAsia"/>
          <w:color w:val="auto"/>
          <w:sz w:val="21"/>
          <w:szCs w:val="21"/>
          <w:highlight w:val="none"/>
        </w:rPr>
        <w:t>投标活动。代理人在投标、开标、评标及合同谈判过程中签署的一切文件和处理与之有关的一切事务，我单位均予以承认并承担相应责任。</w:t>
      </w:r>
    </w:p>
    <w:p>
      <w:pPr>
        <w:pStyle w:val="7"/>
        <w:rPr>
          <w:color w:val="auto"/>
          <w:sz w:val="21"/>
          <w:szCs w:val="21"/>
          <w:highlight w:val="none"/>
        </w:rPr>
      </w:pPr>
      <w:r>
        <w:rPr>
          <w:rFonts w:hint="eastAsia"/>
          <w:color w:val="auto"/>
          <w:sz w:val="21"/>
          <w:szCs w:val="21"/>
          <w:highlight w:val="none"/>
        </w:rPr>
        <w:t>委托期限：            。</w:t>
      </w:r>
    </w:p>
    <w:p>
      <w:pPr>
        <w:pStyle w:val="7"/>
        <w:rPr>
          <w:color w:val="auto"/>
          <w:highlight w:val="none"/>
        </w:rPr>
      </w:pPr>
      <w:r>
        <w:rPr>
          <w:rFonts w:hint="eastAsia"/>
          <w:color w:val="auto"/>
          <w:sz w:val="21"/>
          <w:szCs w:val="21"/>
          <w:highlight w:val="none"/>
        </w:rPr>
        <w:t>代理人无转委托权。</w:t>
      </w:r>
      <w:r>
        <w:rPr>
          <w:rFonts w:hint="eastAsia"/>
          <w:color w:val="auto"/>
          <w:highlight w:val="none"/>
        </w:rPr>
        <w:t xml:space="preserve">    </w:t>
      </w:r>
    </w:p>
    <w:p>
      <w:pPr>
        <w:pStyle w:val="7"/>
        <w:rPr>
          <w:color w:val="auto"/>
          <w:highlight w:val="none"/>
        </w:rPr>
      </w:pPr>
      <w:r>
        <w:rPr>
          <w:color w:val="auto"/>
          <w:highlight w:val="none"/>
        </w:rPr>
        <w:pict>
          <v:shape id="_x0000_s2050" o:spid="_x0000_s2050" o:spt="202" type="#_x0000_t202" style="position:absolute;left:0pt;margin-left:63pt;margin-top:13.45pt;height:172.5pt;width:323.95pt;z-index:251659264;mso-width-relative:page;mso-height-relative:page;" coordsize="21600,21600" o:gfxdata="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lBMdnbAAAACgEAAA8A&#10;AAAAAAAAAQAgAAAAIgAAAGRycy9kb3ducmV2LnhtbFBLAQIUABQAAAAIAIdO4kACV22zFAIAAEgE&#10;AAAOAAAAAAAAAAEAIAAAACoBAABkcnMvZTJvRG9jLnhtbFBLBQYAAAAABgAGAFkBAACwBQAAAAA=&#10;">
            <v:path/>
            <v:fill focussize="0,0"/>
            <v:stroke weight="1pt" dashstyle="dashDot"/>
            <v:imagedata o:title=""/>
            <o:lock v:ext="edit"/>
            <v:textbox>
              <w:txbxContent>
                <w:p/>
                <w:p/>
                <w:p/>
                <w:p>
                  <w:pPr>
                    <w:jc w:val="center"/>
                  </w:pPr>
                  <w:r>
                    <w:rPr>
                      <w:rFonts w:hint="eastAsia"/>
                    </w:rPr>
                    <w:t>附法定代表人及委托代理人身份证复印件</w:t>
                  </w:r>
                </w:p>
              </w:txbxContent>
            </v:textbox>
          </v:shape>
        </w:pict>
      </w: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r>
        <w:rPr>
          <w:rFonts w:hint="eastAsia"/>
          <w:color w:val="auto"/>
          <w:highlight w:val="none"/>
        </w:rPr>
        <w:t xml:space="preserve">投标人： </w:t>
      </w:r>
      <w:r>
        <w:rPr>
          <w:rFonts w:hint="eastAsia"/>
          <w:color w:val="auto"/>
          <w:highlight w:val="none"/>
          <w:u w:val="single"/>
        </w:rPr>
        <w:t xml:space="preserve">                       </w:t>
      </w:r>
      <w:r>
        <w:rPr>
          <w:rFonts w:hint="eastAsia"/>
          <w:color w:val="auto"/>
          <w:highlight w:val="none"/>
        </w:rPr>
        <w:t xml:space="preserve"> （盖单位章）</w:t>
      </w:r>
    </w:p>
    <w:p>
      <w:pPr>
        <w:rPr>
          <w:color w:val="auto"/>
          <w:highlight w:val="none"/>
        </w:rPr>
      </w:pPr>
      <w:r>
        <w:rPr>
          <w:rFonts w:hint="eastAsia"/>
          <w:color w:val="auto"/>
          <w:highlight w:val="none"/>
        </w:rPr>
        <w:t>法定代表人或其委托代理人：</w:t>
      </w:r>
      <w:r>
        <w:rPr>
          <w:rFonts w:hint="eastAsia"/>
          <w:color w:val="auto"/>
          <w:highlight w:val="none"/>
          <w:u w:val="single"/>
        </w:rPr>
        <w:t xml:space="preserve">          </w:t>
      </w:r>
      <w:r>
        <w:rPr>
          <w:rFonts w:hint="eastAsia"/>
          <w:color w:val="auto"/>
          <w:highlight w:val="none"/>
        </w:rPr>
        <w:t>（签字或盖章）</w:t>
      </w:r>
    </w:p>
    <w:p>
      <w:pPr>
        <w:rPr>
          <w:color w:val="auto"/>
          <w:highlight w:val="none"/>
        </w:rPr>
      </w:pPr>
      <w:r>
        <w:rPr>
          <w:rFonts w:hint="eastAsia"/>
          <w:color w:val="auto"/>
          <w:highlight w:val="none"/>
        </w:rPr>
        <w:t>日期：   年   月   日</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3"/>
        <w:numPr>
          <w:ilvl w:val="1"/>
          <w:numId w:val="0"/>
        </w:numPr>
        <w:rPr>
          <w:color w:val="auto"/>
          <w:highlight w:val="none"/>
        </w:rPr>
      </w:pPr>
      <w:r>
        <w:rPr>
          <w:color w:val="auto"/>
          <w:sz w:val="24"/>
          <w:highlight w:val="none"/>
        </w:rPr>
        <w:br w:type="page"/>
      </w:r>
      <w:bookmarkStart w:id="365" w:name="_Toc436741215"/>
      <w:bookmarkStart w:id="366" w:name="_Toc227474199"/>
      <w:bookmarkStart w:id="367" w:name="_Toc536525012"/>
      <w:r>
        <w:rPr>
          <w:rFonts w:hint="eastAsia"/>
          <w:color w:val="auto"/>
          <w:szCs w:val="32"/>
          <w:highlight w:val="none"/>
        </w:rPr>
        <w:t>四、</w:t>
      </w:r>
      <w:r>
        <w:rPr>
          <w:rFonts w:hint="eastAsia"/>
          <w:color w:val="auto"/>
          <w:highlight w:val="none"/>
        </w:rPr>
        <w:t>投标保证金</w:t>
      </w:r>
      <w:bookmarkEnd w:id="365"/>
      <w:bookmarkEnd w:id="366"/>
      <w:bookmarkEnd w:id="367"/>
    </w:p>
    <w:p>
      <w:pPr>
        <w:pStyle w:val="7"/>
        <w:rPr>
          <w:color w:val="auto"/>
          <w:sz w:val="21"/>
          <w:szCs w:val="21"/>
          <w:highlight w:val="none"/>
        </w:rPr>
      </w:pPr>
      <w:r>
        <w:rPr>
          <w:rFonts w:hint="eastAsia"/>
          <w:color w:val="auto"/>
          <w:sz w:val="21"/>
          <w:szCs w:val="21"/>
          <w:highlight w:val="none"/>
        </w:rPr>
        <w:t>致：</w:t>
      </w:r>
      <w:r>
        <w:rPr>
          <w:rFonts w:hint="eastAsia"/>
          <w:color w:val="auto"/>
          <w:sz w:val="21"/>
          <w:szCs w:val="21"/>
          <w:highlight w:val="none"/>
          <w:u w:val="single"/>
          <w:lang w:val="en-US" w:eastAsia="zh-CN"/>
        </w:rPr>
        <w:t xml:space="preserve">           </w:t>
      </w:r>
      <w:r>
        <w:rPr>
          <w:rFonts w:hint="eastAsia"/>
          <w:color w:val="auto"/>
          <w:sz w:val="21"/>
          <w:szCs w:val="21"/>
          <w:highlight w:val="none"/>
          <w:lang w:val="en-US" w:eastAsia="zh-CN"/>
        </w:rPr>
        <w:t xml:space="preserve"> </w:t>
      </w:r>
      <w:r>
        <w:rPr>
          <w:rFonts w:hint="eastAsia"/>
          <w:color w:val="auto"/>
          <w:sz w:val="21"/>
          <w:szCs w:val="21"/>
          <w:highlight w:val="none"/>
        </w:rPr>
        <w:t>（招标人名称）</w:t>
      </w:r>
    </w:p>
    <w:p>
      <w:pPr>
        <w:pStyle w:val="7"/>
        <w:rPr>
          <w:color w:val="auto"/>
          <w:sz w:val="21"/>
          <w:szCs w:val="21"/>
          <w:highlight w:val="none"/>
        </w:rPr>
      </w:pPr>
      <w:r>
        <w:rPr>
          <w:rFonts w:hint="eastAsia"/>
          <w:color w:val="auto"/>
          <w:sz w:val="21"/>
          <w:szCs w:val="21"/>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pPr>
        <w:pStyle w:val="7"/>
        <w:rPr>
          <w:color w:val="auto"/>
          <w:highlight w:val="none"/>
        </w:rPr>
      </w:pPr>
    </w:p>
    <w:p>
      <w:pPr>
        <w:pStyle w:val="7"/>
        <w:rPr>
          <w:color w:val="auto"/>
          <w:highlight w:val="none"/>
        </w:rPr>
      </w:pPr>
    </w:p>
    <w:p>
      <w:pPr>
        <w:rPr>
          <w:color w:val="auto"/>
          <w:highlight w:val="none"/>
        </w:rPr>
      </w:pPr>
      <w:r>
        <w:rPr>
          <w:rFonts w:hint="eastAsia"/>
          <w:color w:val="auto"/>
          <w:highlight w:val="none"/>
        </w:rPr>
        <w:t xml:space="preserve">投标人： </w:t>
      </w:r>
      <w:r>
        <w:rPr>
          <w:rFonts w:hint="eastAsia"/>
          <w:color w:val="auto"/>
          <w:highlight w:val="none"/>
          <w:u w:val="single"/>
        </w:rPr>
        <w:t xml:space="preserve">                      </w:t>
      </w:r>
      <w:r>
        <w:rPr>
          <w:rFonts w:hint="eastAsia"/>
          <w:color w:val="auto"/>
          <w:highlight w:val="none"/>
        </w:rPr>
        <w:t xml:space="preserve">  （盖单位章）</w:t>
      </w:r>
    </w:p>
    <w:p>
      <w:pPr>
        <w:rPr>
          <w:color w:val="auto"/>
          <w:highlight w:val="none"/>
        </w:rPr>
      </w:pPr>
      <w:r>
        <w:rPr>
          <w:rFonts w:hint="eastAsia"/>
          <w:color w:val="auto"/>
          <w:highlight w:val="none"/>
        </w:rPr>
        <w:t>法定代表人或其委托代理人：</w:t>
      </w:r>
      <w:r>
        <w:rPr>
          <w:rFonts w:hint="eastAsia"/>
          <w:color w:val="auto"/>
          <w:highlight w:val="none"/>
          <w:u w:val="single"/>
        </w:rPr>
        <w:t xml:space="preserve">          </w:t>
      </w:r>
      <w:r>
        <w:rPr>
          <w:rFonts w:hint="eastAsia"/>
          <w:color w:val="auto"/>
          <w:highlight w:val="none"/>
        </w:rPr>
        <w:t>（签字或盖章）</w:t>
      </w:r>
    </w:p>
    <w:p>
      <w:pPr>
        <w:rPr>
          <w:color w:val="auto"/>
          <w:highlight w:val="none"/>
        </w:rPr>
      </w:pPr>
      <w:r>
        <w:rPr>
          <w:rFonts w:hint="eastAsia"/>
          <w:color w:val="auto"/>
          <w:highlight w:val="none"/>
        </w:rPr>
        <w:t>日期：   年   月   日</w:t>
      </w:r>
    </w:p>
    <w:p>
      <w:pPr>
        <w:rPr>
          <w:color w:val="auto"/>
          <w:highlight w:val="none"/>
        </w:rPr>
      </w:pPr>
    </w:p>
    <w:tbl>
      <w:tblPr>
        <w:tblStyle w:val="25"/>
        <w:tblW w:w="8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0" w:hRule="atLeast"/>
          <w:jc w:val="center"/>
        </w:trPr>
        <w:tc>
          <w:tcPr>
            <w:tcW w:w="8740" w:type="dxa"/>
            <w:noWrap/>
          </w:tcPr>
          <w:p>
            <w:pPr>
              <w:rPr>
                <w:color w:val="auto"/>
                <w:highlight w:val="none"/>
              </w:rPr>
            </w:pPr>
          </w:p>
          <w:p>
            <w:pPr>
              <w:rPr>
                <w:color w:val="auto"/>
                <w:highlight w:val="none"/>
              </w:rPr>
            </w:pPr>
          </w:p>
          <w:p>
            <w:pPr>
              <w:rPr>
                <w:color w:val="auto"/>
                <w:highlight w:val="none"/>
              </w:rPr>
            </w:pPr>
          </w:p>
          <w:p>
            <w:pPr>
              <w:pStyle w:val="24"/>
              <w:rPr>
                <w:color w:val="auto"/>
                <w:highlight w:val="none"/>
              </w:rPr>
            </w:pPr>
          </w:p>
          <w:p>
            <w:pPr>
              <w:jc w:val="center"/>
              <w:rPr>
                <w:color w:val="auto"/>
                <w:highlight w:val="none"/>
              </w:rPr>
            </w:pPr>
            <w:r>
              <w:rPr>
                <w:rFonts w:hint="eastAsia"/>
                <w:color w:val="auto"/>
                <w:highlight w:val="none"/>
              </w:rPr>
              <w:t>投标保证金有效证明资料</w:t>
            </w:r>
          </w:p>
          <w:p>
            <w:pPr>
              <w:jc w:val="center"/>
              <w:rPr>
                <w:color w:val="auto"/>
                <w:highlight w:val="none"/>
              </w:rPr>
            </w:pPr>
          </w:p>
          <w:p>
            <w:pPr>
              <w:jc w:val="center"/>
              <w:rPr>
                <w:b/>
                <w:color w:val="auto"/>
                <w:sz w:val="36"/>
                <w:szCs w:val="15"/>
                <w:highlight w:val="none"/>
              </w:rPr>
            </w:pPr>
            <w:r>
              <w:rPr>
                <w:rFonts w:hint="eastAsia"/>
                <w:b/>
                <w:bCs/>
                <w:color w:val="auto"/>
                <w:sz w:val="36"/>
                <w:szCs w:val="15"/>
                <w:highlight w:val="none"/>
              </w:rPr>
              <w:t>(</w:t>
            </w:r>
            <w:r>
              <w:rPr>
                <w:rFonts w:hint="eastAsia"/>
                <w:color w:val="auto"/>
                <w:highlight w:val="none"/>
              </w:rPr>
              <w:t>交易系统生成的《投标保证金交纳回执单》或保函证明</w:t>
            </w:r>
            <w:r>
              <w:rPr>
                <w:rFonts w:hint="eastAsia"/>
                <w:b/>
                <w:bCs/>
                <w:color w:val="auto"/>
                <w:sz w:val="36"/>
                <w:szCs w:val="15"/>
                <w:highlight w:val="none"/>
              </w:rPr>
              <w:t>)</w:t>
            </w:r>
          </w:p>
          <w:p>
            <w:pPr>
              <w:rPr>
                <w:color w:val="auto"/>
                <w:highlight w:val="none"/>
              </w:rPr>
            </w:pPr>
          </w:p>
        </w:tc>
      </w:tr>
    </w:tbl>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rFonts w:hint="eastAsia" w:ascii="Arial" w:hAnsi="Arial" w:eastAsia="黑体" w:cs="Times New Roman"/>
          <w:b/>
          <w:color w:val="auto"/>
          <w:kern w:val="0"/>
          <w:sz w:val="32"/>
          <w:szCs w:val="32"/>
          <w:highlight w:val="none"/>
          <w:lang w:val="en-US" w:eastAsia="zh-CN" w:bidi="ar-SA"/>
        </w:rPr>
      </w:pPr>
      <w:r>
        <w:rPr>
          <w:color w:val="auto"/>
          <w:highlight w:val="none"/>
        </w:rPr>
        <w:br w:type="page"/>
      </w:r>
      <w:r>
        <w:rPr>
          <w:rFonts w:hint="eastAsia" w:ascii="Arial" w:hAnsi="Arial" w:eastAsia="黑体" w:cs="Times New Roman"/>
          <w:b/>
          <w:color w:val="auto"/>
          <w:kern w:val="0"/>
          <w:sz w:val="32"/>
          <w:szCs w:val="32"/>
          <w:highlight w:val="none"/>
          <w:lang w:val="en-US" w:eastAsia="zh-CN" w:bidi="ar-SA"/>
        </w:rPr>
        <w:t>五、技术标（监理大纲）</w:t>
      </w:r>
    </w:p>
    <w:p>
      <w:pPr>
        <w:ind w:left="0" w:leftChars="0" w:firstLine="0" w:firstLineChars="0"/>
        <w:rPr>
          <w:color w:val="auto"/>
          <w:highlight w:val="none"/>
        </w:rPr>
      </w:pPr>
    </w:p>
    <w:p>
      <w:pPr>
        <w:rPr>
          <w:color w:val="auto"/>
          <w:highlight w:val="none"/>
        </w:rPr>
      </w:pPr>
      <w:r>
        <w:rPr>
          <w:rFonts w:hint="eastAsia"/>
          <w:color w:val="auto"/>
          <w:highlight w:val="none"/>
        </w:rPr>
        <w:t>1.投标人编制技术标的要求：技术标应包含现场监理管理办法、质量目标、工期目标、投资控制目标、文明安全控制目标及各阶段控制保证措施；</w:t>
      </w:r>
    </w:p>
    <w:p>
      <w:pPr>
        <w:rPr>
          <w:color w:val="auto"/>
          <w:highlight w:val="none"/>
        </w:rPr>
      </w:pPr>
      <w:r>
        <w:rPr>
          <w:rFonts w:hint="eastAsia"/>
          <w:color w:val="auto"/>
          <w:highlight w:val="none"/>
        </w:rPr>
        <w:t>2.监理大纲主要包括但不限于以下内容：</w:t>
      </w:r>
    </w:p>
    <w:p>
      <w:pPr>
        <w:rPr>
          <w:color w:val="auto"/>
          <w:highlight w:val="none"/>
        </w:rPr>
      </w:pPr>
      <w:r>
        <w:rPr>
          <w:rFonts w:hint="eastAsia"/>
          <w:color w:val="auto"/>
          <w:highlight w:val="none"/>
        </w:rPr>
        <w:t>2.1现场旁站监理措施</w:t>
      </w:r>
    </w:p>
    <w:p>
      <w:pPr>
        <w:rPr>
          <w:color w:val="auto"/>
          <w:highlight w:val="none"/>
        </w:rPr>
      </w:pPr>
      <w:r>
        <w:rPr>
          <w:rFonts w:hint="eastAsia"/>
          <w:color w:val="auto"/>
          <w:highlight w:val="none"/>
        </w:rPr>
        <w:t>2.2工程质量控制措施</w:t>
      </w:r>
    </w:p>
    <w:p>
      <w:pPr>
        <w:rPr>
          <w:color w:val="auto"/>
          <w:highlight w:val="none"/>
        </w:rPr>
      </w:pPr>
      <w:r>
        <w:rPr>
          <w:rFonts w:hint="eastAsia"/>
          <w:color w:val="auto"/>
          <w:highlight w:val="none"/>
        </w:rPr>
        <w:t>2.3工程进度控制措施</w:t>
      </w:r>
    </w:p>
    <w:p>
      <w:pPr>
        <w:rPr>
          <w:color w:val="auto"/>
          <w:highlight w:val="none"/>
        </w:rPr>
      </w:pPr>
      <w:r>
        <w:rPr>
          <w:rFonts w:hint="eastAsia"/>
          <w:color w:val="auto"/>
          <w:highlight w:val="none"/>
        </w:rPr>
        <w:t>2.4工程投资控制措施</w:t>
      </w:r>
    </w:p>
    <w:p>
      <w:pPr>
        <w:rPr>
          <w:color w:val="auto"/>
          <w:highlight w:val="none"/>
        </w:rPr>
      </w:pPr>
      <w:r>
        <w:rPr>
          <w:rFonts w:hint="eastAsia"/>
          <w:color w:val="auto"/>
          <w:highlight w:val="none"/>
        </w:rPr>
        <w:t>2.5安全生产管理措施</w:t>
      </w:r>
    </w:p>
    <w:p>
      <w:pPr>
        <w:rPr>
          <w:color w:val="auto"/>
          <w:highlight w:val="none"/>
        </w:rPr>
      </w:pPr>
      <w:r>
        <w:rPr>
          <w:rFonts w:hint="eastAsia"/>
          <w:color w:val="auto"/>
          <w:highlight w:val="none"/>
        </w:rPr>
        <w:t>2.6合同和信息管理措施</w:t>
      </w:r>
    </w:p>
    <w:p>
      <w:pPr>
        <w:rPr>
          <w:color w:val="auto"/>
          <w:highlight w:val="none"/>
        </w:rPr>
      </w:pPr>
      <w:r>
        <w:rPr>
          <w:rFonts w:hint="eastAsia"/>
          <w:color w:val="auto"/>
          <w:highlight w:val="none"/>
        </w:rPr>
        <w:t>2.7拟投入的仪器和设备</w:t>
      </w:r>
    </w:p>
    <w:p>
      <w:pPr>
        <w:rPr>
          <w:color w:val="auto"/>
          <w:highlight w:val="none"/>
        </w:rPr>
      </w:pPr>
      <w:r>
        <w:rPr>
          <w:rFonts w:hint="eastAsia"/>
          <w:color w:val="auto"/>
          <w:highlight w:val="none"/>
        </w:rPr>
        <w:t>2.8组织协调的手段和方法</w:t>
      </w:r>
    </w:p>
    <w:p>
      <w:pPr>
        <w:rPr>
          <w:color w:val="auto"/>
          <w:highlight w:val="none"/>
        </w:rPr>
      </w:pPr>
      <w:r>
        <w:rPr>
          <w:rFonts w:hint="eastAsia"/>
          <w:color w:val="auto"/>
          <w:highlight w:val="none"/>
        </w:rPr>
        <w:t>2.9对工程建设的建议</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3"/>
        <w:numPr>
          <w:ilvl w:val="1"/>
          <w:numId w:val="0"/>
        </w:numPr>
        <w:rPr>
          <w:color w:val="auto"/>
          <w:highlight w:val="none"/>
        </w:rPr>
      </w:pPr>
      <w:bookmarkStart w:id="368" w:name="_Toc536525014"/>
      <w:bookmarkStart w:id="369" w:name="_Toc436741214"/>
      <w:bookmarkStart w:id="370" w:name="_Toc227474198"/>
      <w:r>
        <w:rPr>
          <w:rFonts w:hint="eastAsia" w:ascii="Arial" w:hAnsi="Arial" w:eastAsia="黑体" w:cs="Times New Roman"/>
          <w:b w:val="0"/>
          <w:i w:val="0"/>
          <w:color w:val="auto"/>
          <w:kern w:val="0"/>
          <w:sz w:val="24"/>
          <w:highlight w:val="none"/>
          <w:lang w:val="en-US" w:eastAsia="zh-CN" w:bidi="ar-SA"/>
        </w:rPr>
        <w:t xml:space="preserve"> </w:t>
      </w:r>
      <w:r>
        <w:rPr>
          <w:rFonts w:hint="eastAsia"/>
          <w:color w:val="auto"/>
          <w:highlight w:val="none"/>
        </w:rPr>
        <w:t>附表一、拟用于本项目中的主要仪器设备一览表</w:t>
      </w:r>
      <w:bookmarkEnd w:id="368"/>
      <w:bookmarkEnd w:id="369"/>
      <w:bookmarkEnd w:id="370"/>
    </w:p>
    <w:tbl>
      <w:tblPr>
        <w:tblStyle w:val="25"/>
        <w:tblW w:w="9299"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1999"/>
        <w:gridCol w:w="1598"/>
        <w:gridCol w:w="1865"/>
        <w:gridCol w:w="171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2118" w:type="dxa"/>
            <w:noWrap/>
            <w:vAlign w:val="center"/>
          </w:tcPr>
          <w:p>
            <w:pPr>
              <w:rPr>
                <w:color w:val="auto"/>
                <w:highlight w:val="none"/>
              </w:rPr>
            </w:pPr>
            <w:r>
              <w:rPr>
                <w:rFonts w:hint="eastAsia"/>
                <w:color w:val="auto"/>
                <w:highlight w:val="none"/>
              </w:rPr>
              <w:t>设备名称</w:t>
            </w:r>
          </w:p>
        </w:tc>
        <w:tc>
          <w:tcPr>
            <w:tcW w:w="1999" w:type="dxa"/>
            <w:noWrap/>
            <w:vAlign w:val="center"/>
          </w:tcPr>
          <w:p>
            <w:pPr>
              <w:rPr>
                <w:color w:val="auto"/>
                <w:highlight w:val="none"/>
              </w:rPr>
            </w:pPr>
            <w:r>
              <w:rPr>
                <w:rFonts w:hint="eastAsia"/>
                <w:color w:val="auto"/>
                <w:highlight w:val="none"/>
              </w:rPr>
              <w:t>规格型号</w:t>
            </w:r>
          </w:p>
        </w:tc>
        <w:tc>
          <w:tcPr>
            <w:tcW w:w="1598" w:type="dxa"/>
            <w:noWrap/>
            <w:vAlign w:val="center"/>
          </w:tcPr>
          <w:p>
            <w:pPr>
              <w:rPr>
                <w:color w:val="auto"/>
                <w:highlight w:val="none"/>
              </w:rPr>
            </w:pPr>
            <w:r>
              <w:rPr>
                <w:rFonts w:hint="eastAsia"/>
                <w:color w:val="auto"/>
                <w:highlight w:val="none"/>
              </w:rPr>
              <w:t>单位</w:t>
            </w:r>
          </w:p>
        </w:tc>
        <w:tc>
          <w:tcPr>
            <w:tcW w:w="1865" w:type="dxa"/>
            <w:noWrap/>
            <w:vAlign w:val="center"/>
          </w:tcPr>
          <w:p>
            <w:pPr>
              <w:rPr>
                <w:color w:val="auto"/>
                <w:highlight w:val="none"/>
              </w:rPr>
            </w:pPr>
            <w:r>
              <w:rPr>
                <w:rFonts w:hint="eastAsia"/>
                <w:color w:val="auto"/>
                <w:highlight w:val="none"/>
              </w:rPr>
              <w:t>数量</w:t>
            </w:r>
          </w:p>
        </w:tc>
        <w:tc>
          <w:tcPr>
            <w:tcW w:w="1719" w:type="dxa"/>
            <w:noWrap/>
            <w:vAlign w:val="center"/>
          </w:tcPr>
          <w:p>
            <w:pPr>
              <w:rPr>
                <w:color w:val="auto"/>
                <w:highlight w:val="none"/>
              </w:rPr>
            </w:pPr>
            <w:r>
              <w:rPr>
                <w:rFonts w:hint="eastAsia"/>
                <w:color w:val="auto"/>
                <w:highlight w:val="none"/>
              </w:rPr>
              <w:t>自有/租赁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18" w:type="dxa"/>
            <w:noWrap/>
          </w:tcPr>
          <w:p>
            <w:pPr>
              <w:rPr>
                <w:color w:val="auto"/>
                <w:highlight w:val="none"/>
              </w:rPr>
            </w:pPr>
          </w:p>
        </w:tc>
        <w:tc>
          <w:tcPr>
            <w:tcW w:w="1999" w:type="dxa"/>
            <w:noWrap/>
          </w:tcPr>
          <w:p>
            <w:pPr>
              <w:rPr>
                <w:color w:val="auto"/>
                <w:highlight w:val="none"/>
              </w:rPr>
            </w:pPr>
          </w:p>
        </w:tc>
        <w:tc>
          <w:tcPr>
            <w:tcW w:w="1598" w:type="dxa"/>
            <w:noWrap/>
          </w:tcPr>
          <w:p>
            <w:pPr>
              <w:rPr>
                <w:color w:val="auto"/>
                <w:highlight w:val="none"/>
              </w:rPr>
            </w:pPr>
          </w:p>
        </w:tc>
        <w:tc>
          <w:tcPr>
            <w:tcW w:w="1865" w:type="dxa"/>
            <w:noWrap/>
          </w:tcPr>
          <w:p>
            <w:pPr>
              <w:rPr>
                <w:color w:val="auto"/>
                <w:highlight w:val="none"/>
              </w:rPr>
            </w:pPr>
          </w:p>
        </w:tc>
        <w:tc>
          <w:tcPr>
            <w:tcW w:w="1719" w:type="dxa"/>
            <w:noWrap/>
          </w:tcPr>
          <w:p>
            <w:pPr>
              <w:rPr>
                <w:color w:val="auto"/>
                <w:highlight w:val="none"/>
              </w:rPr>
            </w:pPr>
          </w:p>
        </w:tc>
      </w:tr>
    </w:tbl>
    <w:p>
      <w:pPr>
        <w:rPr>
          <w:color w:val="auto"/>
          <w:highlight w:val="none"/>
        </w:rPr>
      </w:pPr>
    </w:p>
    <w:p>
      <w:pPr>
        <w:rPr>
          <w:color w:val="auto"/>
          <w:highlight w:val="none"/>
        </w:rPr>
      </w:pPr>
      <w:r>
        <w:rPr>
          <w:rFonts w:hint="eastAsia"/>
          <w:color w:val="auto"/>
          <w:highlight w:val="none"/>
        </w:rPr>
        <w:t xml:space="preserve">投标人：  </w:t>
      </w:r>
      <w:r>
        <w:rPr>
          <w:rFonts w:hint="eastAsia"/>
          <w:color w:val="auto"/>
          <w:highlight w:val="none"/>
          <w:u w:val="single"/>
        </w:rPr>
        <w:t xml:space="preserve">                       </w:t>
      </w:r>
      <w:r>
        <w:rPr>
          <w:rFonts w:hint="eastAsia"/>
          <w:color w:val="auto"/>
          <w:highlight w:val="none"/>
        </w:rPr>
        <w:t>（盖单位章）</w:t>
      </w:r>
    </w:p>
    <w:p>
      <w:pPr>
        <w:rPr>
          <w:color w:val="auto"/>
          <w:highlight w:val="none"/>
        </w:rPr>
      </w:pPr>
      <w:r>
        <w:rPr>
          <w:rFonts w:hint="eastAsia"/>
          <w:color w:val="auto"/>
          <w:highlight w:val="none"/>
        </w:rPr>
        <w:t>法定代表人或其委托代理人：</w:t>
      </w:r>
      <w:r>
        <w:rPr>
          <w:rFonts w:hint="eastAsia"/>
          <w:color w:val="auto"/>
          <w:highlight w:val="none"/>
          <w:u w:val="single"/>
        </w:rPr>
        <w:t xml:space="preserve">          </w:t>
      </w:r>
      <w:r>
        <w:rPr>
          <w:rFonts w:hint="eastAsia"/>
          <w:color w:val="auto"/>
          <w:highlight w:val="none"/>
        </w:rPr>
        <w:t>（签字或盖章）</w:t>
      </w:r>
    </w:p>
    <w:p>
      <w:pPr>
        <w:rPr>
          <w:color w:val="auto"/>
          <w:highlight w:val="none"/>
        </w:rPr>
      </w:pPr>
      <w:r>
        <w:rPr>
          <w:rFonts w:hint="eastAsia"/>
          <w:color w:val="auto"/>
          <w:highlight w:val="none"/>
        </w:rPr>
        <w:t>日期：   年   月   日</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rFonts w:hint="eastAsia" w:ascii="Arial" w:hAnsi="Arial" w:eastAsia="黑体" w:cs="Times New Roman"/>
          <w:b/>
          <w:color w:val="auto"/>
          <w:kern w:val="0"/>
          <w:sz w:val="32"/>
          <w:szCs w:val="32"/>
          <w:highlight w:val="none"/>
          <w:lang w:val="en-US" w:eastAsia="zh-CN" w:bidi="ar-SA"/>
        </w:rPr>
      </w:pPr>
      <w:r>
        <w:rPr>
          <w:rFonts w:hint="eastAsia" w:ascii="Arial" w:hAnsi="Arial" w:eastAsia="黑体" w:cs="Times New Roman"/>
          <w:b/>
          <w:color w:val="auto"/>
          <w:kern w:val="0"/>
          <w:sz w:val="32"/>
          <w:szCs w:val="32"/>
          <w:highlight w:val="none"/>
          <w:lang w:val="en-US" w:eastAsia="zh-CN" w:bidi="ar-SA"/>
        </w:rPr>
        <w:t>六、技术规范</w:t>
      </w:r>
    </w:p>
    <w:p>
      <w:pPr>
        <w:rPr>
          <w:color w:val="auto"/>
          <w:highlight w:val="none"/>
        </w:rPr>
      </w:pPr>
      <w:r>
        <w:rPr>
          <w:rFonts w:hint="eastAsia"/>
          <w:color w:val="auto"/>
          <w:highlight w:val="none"/>
        </w:rPr>
        <w:t>投标人在本招标工程项目中的工程建设标准、规范等技术要求应符合招标文件“第四章技术规范”。</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rFonts w:hint="eastAsia" w:ascii="Arial" w:hAnsi="Arial" w:eastAsia="黑体" w:cs="Times New Roman"/>
          <w:b/>
          <w:color w:val="auto"/>
          <w:kern w:val="0"/>
          <w:sz w:val="32"/>
          <w:szCs w:val="32"/>
          <w:highlight w:val="none"/>
          <w:lang w:val="en-US" w:eastAsia="zh-CN" w:bidi="ar-SA"/>
        </w:rPr>
      </w:pPr>
      <w:bookmarkStart w:id="371" w:name="_Toc536525015"/>
      <w:bookmarkStart w:id="372" w:name="_Toc436741210"/>
      <w:bookmarkStart w:id="373" w:name="_Toc227474194"/>
      <w:r>
        <w:rPr>
          <w:rFonts w:hint="eastAsia" w:ascii="Arial" w:hAnsi="Arial" w:eastAsia="黑体" w:cs="Times New Roman"/>
          <w:b/>
          <w:color w:val="auto"/>
          <w:kern w:val="0"/>
          <w:sz w:val="32"/>
          <w:szCs w:val="32"/>
          <w:highlight w:val="none"/>
          <w:lang w:val="en-US" w:eastAsia="zh-CN" w:bidi="ar-SA"/>
        </w:rPr>
        <w:t>七、项目管理机构</w:t>
      </w:r>
      <w:bookmarkEnd w:id="371"/>
    </w:p>
    <w:bookmarkEnd w:id="372"/>
    <w:bookmarkEnd w:id="373"/>
    <w:p>
      <w:pPr>
        <w:rPr>
          <w:color w:val="auto"/>
          <w:highlight w:val="none"/>
        </w:rPr>
      </w:pPr>
      <w:bookmarkStart w:id="374" w:name="_Toc228591618"/>
      <w:bookmarkStart w:id="375" w:name="_Toc536525017"/>
      <w:bookmarkStart w:id="376" w:name="_Toc228591766"/>
      <w:bookmarkStart w:id="377" w:name="_Toc214433998"/>
      <w:bookmarkStart w:id="378" w:name="_Toc228881258"/>
      <w:bookmarkStart w:id="379" w:name="_Toc228589272"/>
      <w:bookmarkStart w:id="380" w:name="_Toc511890183"/>
      <w:bookmarkStart w:id="381" w:name="_Toc3441"/>
      <w:bookmarkStart w:id="382" w:name="_Toc227657596"/>
      <w:bookmarkStart w:id="383" w:name="_Toc499891705"/>
      <w:bookmarkStart w:id="384" w:name="_Toc500865939"/>
      <w:bookmarkStart w:id="385" w:name="_Toc499892896"/>
      <w:bookmarkStart w:id="386" w:name="_Toc20437"/>
      <w:bookmarkStart w:id="387" w:name="_Toc227492354"/>
      <w:bookmarkStart w:id="388" w:name="_Toc228337207"/>
      <w:bookmarkStart w:id="389" w:name="_Toc500864549"/>
      <w:bookmarkStart w:id="390" w:name="_Toc272772677"/>
      <w:bookmarkStart w:id="391" w:name="_Toc431367153"/>
      <w:r>
        <w:rPr>
          <w:rFonts w:hint="eastAsia"/>
          <w:color w:val="auto"/>
          <w:highlight w:val="none"/>
        </w:rPr>
        <w:t>（一）项目管理机构组成表</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pPr>
        <w:rPr>
          <w:color w:val="auto"/>
          <w:highlight w:val="none"/>
        </w:rPr>
      </w:pPr>
    </w:p>
    <w:tbl>
      <w:tblPr>
        <w:tblStyle w:val="25"/>
        <w:tblW w:w="8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ign w:val="center"/>
          </w:tcPr>
          <w:p>
            <w:pPr>
              <w:ind w:left="0" w:leftChars="0" w:firstLine="0" w:firstLineChars="0"/>
              <w:rPr>
                <w:color w:val="auto"/>
                <w:sz w:val="24"/>
                <w:highlight w:val="none"/>
              </w:rPr>
            </w:pPr>
            <w:r>
              <w:rPr>
                <w:rFonts w:hint="eastAsia"/>
                <w:color w:val="auto"/>
                <w:highlight w:val="none"/>
              </w:rPr>
              <w:t>职务</w:t>
            </w:r>
          </w:p>
        </w:tc>
        <w:tc>
          <w:tcPr>
            <w:tcW w:w="1034" w:type="dxa"/>
            <w:vMerge w:val="restart"/>
            <w:noWrap/>
            <w:vAlign w:val="center"/>
          </w:tcPr>
          <w:p>
            <w:pPr>
              <w:ind w:left="0" w:leftChars="0" w:firstLine="0" w:firstLineChars="0"/>
              <w:rPr>
                <w:rFonts w:hint="eastAsia"/>
                <w:color w:val="auto"/>
                <w:highlight w:val="none"/>
              </w:rPr>
            </w:pPr>
            <w:r>
              <w:rPr>
                <w:rFonts w:hint="eastAsia"/>
                <w:color w:val="auto"/>
                <w:highlight w:val="none"/>
              </w:rPr>
              <w:t>姓名</w:t>
            </w:r>
          </w:p>
        </w:tc>
        <w:tc>
          <w:tcPr>
            <w:tcW w:w="1035" w:type="dxa"/>
            <w:vMerge w:val="restart"/>
            <w:noWrap/>
            <w:vAlign w:val="center"/>
          </w:tcPr>
          <w:p>
            <w:pPr>
              <w:ind w:left="0" w:leftChars="0" w:firstLine="0" w:firstLineChars="0"/>
              <w:rPr>
                <w:rFonts w:hint="eastAsia"/>
                <w:color w:val="auto"/>
                <w:highlight w:val="none"/>
              </w:rPr>
            </w:pPr>
            <w:r>
              <w:rPr>
                <w:rFonts w:hint="eastAsia"/>
                <w:color w:val="auto"/>
                <w:highlight w:val="none"/>
              </w:rPr>
              <w:t>职称</w:t>
            </w:r>
          </w:p>
        </w:tc>
        <w:tc>
          <w:tcPr>
            <w:tcW w:w="5309" w:type="dxa"/>
            <w:gridSpan w:val="5"/>
            <w:noWrap/>
            <w:vAlign w:val="center"/>
          </w:tcPr>
          <w:p>
            <w:pPr>
              <w:ind w:left="0" w:leftChars="0" w:firstLine="0" w:firstLineChars="0"/>
              <w:rPr>
                <w:rFonts w:hint="eastAsia"/>
                <w:color w:val="auto"/>
                <w:highlight w:val="none"/>
              </w:rPr>
            </w:pPr>
            <w:r>
              <w:rPr>
                <w:rFonts w:hint="eastAsia"/>
                <w:color w:val="auto"/>
                <w:highlight w:val="none"/>
              </w:rPr>
              <w:t>执业或职业资格证明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noWrap/>
            <w:vAlign w:val="center"/>
          </w:tcPr>
          <w:p>
            <w:pPr>
              <w:rPr>
                <w:color w:val="auto"/>
                <w:highlight w:val="none"/>
              </w:rPr>
            </w:pPr>
          </w:p>
        </w:tc>
        <w:tc>
          <w:tcPr>
            <w:tcW w:w="1034" w:type="dxa"/>
            <w:vMerge w:val="continue"/>
            <w:noWrap/>
            <w:vAlign w:val="center"/>
          </w:tcPr>
          <w:p>
            <w:pPr>
              <w:ind w:left="0" w:leftChars="0" w:firstLine="0" w:firstLineChars="0"/>
              <w:rPr>
                <w:rFonts w:hint="eastAsia"/>
                <w:color w:val="auto"/>
                <w:highlight w:val="none"/>
              </w:rPr>
            </w:pPr>
          </w:p>
        </w:tc>
        <w:tc>
          <w:tcPr>
            <w:tcW w:w="1035" w:type="dxa"/>
            <w:vMerge w:val="continue"/>
            <w:noWrap/>
            <w:vAlign w:val="center"/>
          </w:tcPr>
          <w:p>
            <w:pPr>
              <w:ind w:left="0" w:leftChars="0" w:firstLine="0" w:firstLineChars="0"/>
              <w:rPr>
                <w:rFonts w:hint="eastAsia"/>
                <w:color w:val="auto"/>
                <w:highlight w:val="none"/>
              </w:rPr>
            </w:pPr>
          </w:p>
        </w:tc>
        <w:tc>
          <w:tcPr>
            <w:tcW w:w="1157" w:type="dxa"/>
            <w:noWrap/>
            <w:vAlign w:val="center"/>
          </w:tcPr>
          <w:p>
            <w:pPr>
              <w:ind w:left="0" w:leftChars="0" w:firstLine="0" w:firstLineChars="0"/>
              <w:rPr>
                <w:rFonts w:hint="eastAsia"/>
                <w:color w:val="auto"/>
                <w:highlight w:val="none"/>
              </w:rPr>
            </w:pPr>
            <w:r>
              <w:rPr>
                <w:rFonts w:hint="eastAsia"/>
                <w:color w:val="auto"/>
                <w:highlight w:val="none"/>
              </w:rPr>
              <w:t>证书名称</w:t>
            </w:r>
          </w:p>
        </w:tc>
        <w:tc>
          <w:tcPr>
            <w:tcW w:w="913" w:type="dxa"/>
            <w:noWrap/>
            <w:vAlign w:val="center"/>
          </w:tcPr>
          <w:p>
            <w:pPr>
              <w:ind w:left="0" w:leftChars="0" w:firstLine="0" w:firstLineChars="0"/>
              <w:rPr>
                <w:rFonts w:hint="eastAsia"/>
                <w:color w:val="auto"/>
                <w:highlight w:val="none"/>
              </w:rPr>
            </w:pPr>
            <w:r>
              <w:rPr>
                <w:rFonts w:hint="eastAsia"/>
                <w:color w:val="auto"/>
                <w:highlight w:val="none"/>
              </w:rPr>
              <w:t>级别</w:t>
            </w:r>
          </w:p>
        </w:tc>
        <w:tc>
          <w:tcPr>
            <w:tcW w:w="1035" w:type="dxa"/>
            <w:noWrap/>
            <w:vAlign w:val="center"/>
          </w:tcPr>
          <w:p>
            <w:pPr>
              <w:ind w:left="0" w:leftChars="0" w:firstLine="0" w:firstLineChars="0"/>
              <w:rPr>
                <w:rFonts w:hint="eastAsia"/>
                <w:color w:val="auto"/>
                <w:highlight w:val="none"/>
              </w:rPr>
            </w:pPr>
            <w:r>
              <w:rPr>
                <w:rFonts w:hint="eastAsia"/>
                <w:color w:val="auto"/>
                <w:highlight w:val="none"/>
              </w:rPr>
              <w:t>证号</w:t>
            </w:r>
          </w:p>
        </w:tc>
        <w:tc>
          <w:tcPr>
            <w:tcW w:w="1035" w:type="dxa"/>
            <w:noWrap/>
            <w:vAlign w:val="center"/>
          </w:tcPr>
          <w:p>
            <w:pPr>
              <w:ind w:left="0" w:leftChars="0" w:firstLine="0" w:firstLineChars="0"/>
              <w:rPr>
                <w:rFonts w:hint="eastAsia"/>
                <w:color w:val="auto"/>
                <w:highlight w:val="none"/>
              </w:rPr>
            </w:pPr>
            <w:r>
              <w:rPr>
                <w:rFonts w:hint="eastAsia"/>
                <w:color w:val="auto"/>
                <w:highlight w:val="none"/>
              </w:rPr>
              <w:t>专业</w:t>
            </w:r>
          </w:p>
        </w:tc>
        <w:tc>
          <w:tcPr>
            <w:tcW w:w="1169" w:type="dxa"/>
            <w:noWrap/>
            <w:vAlign w:val="center"/>
          </w:tcPr>
          <w:p>
            <w:pPr>
              <w:ind w:left="0" w:leftChars="0" w:firstLine="0" w:firstLineChars="0"/>
              <w:rPr>
                <w:rFonts w:hint="eastAsia"/>
                <w:color w:val="auto"/>
                <w:highlight w:val="none"/>
              </w:rPr>
            </w:pPr>
            <w:r>
              <w:rPr>
                <w:rFonts w:hint="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ign w:val="center"/>
          </w:tcPr>
          <w:p>
            <w:pPr>
              <w:rPr>
                <w:color w:val="auto"/>
                <w:highlight w:val="none"/>
              </w:rPr>
            </w:pPr>
          </w:p>
        </w:tc>
        <w:tc>
          <w:tcPr>
            <w:tcW w:w="1034" w:type="dxa"/>
            <w:noWrap/>
            <w:vAlign w:val="center"/>
          </w:tcPr>
          <w:p>
            <w:pPr>
              <w:rPr>
                <w:color w:val="auto"/>
                <w:highlight w:val="none"/>
              </w:rPr>
            </w:pPr>
          </w:p>
        </w:tc>
        <w:tc>
          <w:tcPr>
            <w:tcW w:w="1035" w:type="dxa"/>
            <w:noWrap/>
            <w:vAlign w:val="center"/>
          </w:tcPr>
          <w:p>
            <w:pPr>
              <w:rPr>
                <w:color w:val="auto"/>
                <w:highlight w:val="none"/>
              </w:rPr>
            </w:pPr>
          </w:p>
        </w:tc>
        <w:tc>
          <w:tcPr>
            <w:tcW w:w="1157" w:type="dxa"/>
            <w:noWrap/>
            <w:vAlign w:val="center"/>
          </w:tcPr>
          <w:p>
            <w:pPr>
              <w:rPr>
                <w:color w:val="auto"/>
                <w:highlight w:val="none"/>
              </w:rPr>
            </w:pPr>
          </w:p>
        </w:tc>
        <w:tc>
          <w:tcPr>
            <w:tcW w:w="913" w:type="dxa"/>
            <w:noWrap/>
            <w:vAlign w:val="center"/>
          </w:tcPr>
          <w:p>
            <w:pPr>
              <w:rPr>
                <w:color w:val="auto"/>
                <w:highlight w:val="none"/>
              </w:rPr>
            </w:pPr>
          </w:p>
        </w:tc>
        <w:tc>
          <w:tcPr>
            <w:tcW w:w="1035" w:type="dxa"/>
            <w:noWrap/>
            <w:vAlign w:val="center"/>
          </w:tcPr>
          <w:p>
            <w:pPr>
              <w:rPr>
                <w:color w:val="auto"/>
                <w:highlight w:val="none"/>
              </w:rPr>
            </w:pPr>
          </w:p>
        </w:tc>
        <w:tc>
          <w:tcPr>
            <w:tcW w:w="1035" w:type="dxa"/>
            <w:noWrap/>
            <w:vAlign w:val="center"/>
          </w:tcPr>
          <w:p>
            <w:pPr>
              <w:rPr>
                <w:color w:val="auto"/>
                <w:highlight w:val="none"/>
              </w:rPr>
            </w:pPr>
          </w:p>
        </w:tc>
        <w:tc>
          <w:tcPr>
            <w:tcW w:w="1169"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ign w:val="center"/>
          </w:tcPr>
          <w:p>
            <w:pPr>
              <w:rPr>
                <w:color w:val="auto"/>
                <w:highlight w:val="none"/>
              </w:rPr>
            </w:pPr>
          </w:p>
        </w:tc>
        <w:tc>
          <w:tcPr>
            <w:tcW w:w="1034" w:type="dxa"/>
            <w:noWrap/>
            <w:vAlign w:val="center"/>
          </w:tcPr>
          <w:p>
            <w:pPr>
              <w:rPr>
                <w:color w:val="auto"/>
                <w:highlight w:val="none"/>
              </w:rPr>
            </w:pPr>
          </w:p>
        </w:tc>
        <w:tc>
          <w:tcPr>
            <w:tcW w:w="1035" w:type="dxa"/>
            <w:noWrap/>
            <w:vAlign w:val="center"/>
          </w:tcPr>
          <w:p>
            <w:pPr>
              <w:rPr>
                <w:color w:val="auto"/>
                <w:highlight w:val="none"/>
              </w:rPr>
            </w:pPr>
          </w:p>
        </w:tc>
        <w:tc>
          <w:tcPr>
            <w:tcW w:w="1157" w:type="dxa"/>
            <w:noWrap/>
            <w:vAlign w:val="center"/>
          </w:tcPr>
          <w:p>
            <w:pPr>
              <w:rPr>
                <w:color w:val="auto"/>
                <w:highlight w:val="none"/>
              </w:rPr>
            </w:pPr>
          </w:p>
        </w:tc>
        <w:tc>
          <w:tcPr>
            <w:tcW w:w="913" w:type="dxa"/>
            <w:noWrap/>
            <w:vAlign w:val="center"/>
          </w:tcPr>
          <w:p>
            <w:pPr>
              <w:rPr>
                <w:color w:val="auto"/>
                <w:highlight w:val="none"/>
              </w:rPr>
            </w:pPr>
          </w:p>
        </w:tc>
        <w:tc>
          <w:tcPr>
            <w:tcW w:w="1035" w:type="dxa"/>
            <w:noWrap/>
            <w:vAlign w:val="center"/>
          </w:tcPr>
          <w:p>
            <w:pPr>
              <w:rPr>
                <w:color w:val="auto"/>
                <w:highlight w:val="none"/>
              </w:rPr>
            </w:pPr>
          </w:p>
        </w:tc>
        <w:tc>
          <w:tcPr>
            <w:tcW w:w="1035" w:type="dxa"/>
            <w:noWrap/>
            <w:vAlign w:val="center"/>
          </w:tcPr>
          <w:p>
            <w:pPr>
              <w:rPr>
                <w:color w:val="auto"/>
                <w:highlight w:val="none"/>
              </w:rPr>
            </w:pPr>
          </w:p>
        </w:tc>
        <w:tc>
          <w:tcPr>
            <w:tcW w:w="1169"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ign w:val="center"/>
          </w:tcPr>
          <w:p>
            <w:pPr>
              <w:rPr>
                <w:color w:val="auto"/>
                <w:highlight w:val="none"/>
              </w:rPr>
            </w:pPr>
          </w:p>
        </w:tc>
        <w:tc>
          <w:tcPr>
            <w:tcW w:w="1034" w:type="dxa"/>
            <w:noWrap/>
            <w:vAlign w:val="center"/>
          </w:tcPr>
          <w:p>
            <w:pPr>
              <w:rPr>
                <w:color w:val="auto"/>
                <w:highlight w:val="none"/>
              </w:rPr>
            </w:pPr>
          </w:p>
        </w:tc>
        <w:tc>
          <w:tcPr>
            <w:tcW w:w="1035" w:type="dxa"/>
            <w:noWrap/>
            <w:vAlign w:val="center"/>
          </w:tcPr>
          <w:p>
            <w:pPr>
              <w:rPr>
                <w:color w:val="auto"/>
                <w:highlight w:val="none"/>
              </w:rPr>
            </w:pPr>
          </w:p>
        </w:tc>
        <w:tc>
          <w:tcPr>
            <w:tcW w:w="1157" w:type="dxa"/>
            <w:noWrap/>
            <w:vAlign w:val="center"/>
          </w:tcPr>
          <w:p>
            <w:pPr>
              <w:rPr>
                <w:color w:val="auto"/>
                <w:highlight w:val="none"/>
              </w:rPr>
            </w:pPr>
          </w:p>
        </w:tc>
        <w:tc>
          <w:tcPr>
            <w:tcW w:w="913" w:type="dxa"/>
            <w:noWrap/>
            <w:vAlign w:val="center"/>
          </w:tcPr>
          <w:p>
            <w:pPr>
              <w:rPr>
                <w:color w:val="auto"/>
                <w:highlight w:val="none"/>
              </w:rPr>
            </w:pPr>
          </w:p>
        </w:tc>
        <w:tc>
          <w:tcPr>
            <w:tcW w:w="1035" w:type="dxa"/>
            <w:noWrap/>
            <w:vAlign w:val="center"/>
          </w:tcPr>
          <w:p>
            <w:pPr>
              <w:rPr>
                <w:color w:val="auto"/>
                <w:highlight w:val="none"/>
              </w:rPr>
            </w:pPr>
          </w:p>
        </w:tc>
        <w:tc>
          <w:tcPr>
            <w:tcW w:w="1035" w:type="dxa"/>
            <w:noWrap/>
            <w:vAlign w:val="center"/>
          </w:tcPr>
          <w:p>
            <w:pPr>
              <w:rPr>
                <w:color w:val="auto"/>
                <w:highlight w:val="none"/>
              </w:rPr>
            </w:pPr>
          </w:p>
        </w:tc>
        <w:tc>
          <w:tcPr>
            <w:tcW w:w="1169"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ign w:val="center"/>
          </w:tcPr>
          <w:p>
            <w:pPr>
              <w:rPr>
                <w:color w:val="auto"/>
                <w:highlight w:val="none"/>
              </w:rPr>
            </w:pPr>
          </w:p>
        </w:tc>
        <w:tc>
          <w:tcPr>
            <w:tcW w:w="1034" w:type="dxa"/>
            <w:noWrap/>
            <w:vAlign w:val="center"/>
          </w:tcPr>
          <w:p>
            <w:pPr>
              <w:rPr>
                <w:color w:val="auto"/>
                <w:highlight w:val="none"/>
              </w:rPr>
            </w:pPr>
          </w:p>
        </w:tc>
        <w:tc>
          <w:tcPr>
            <w:tcW w:w="1035" w:type="dxa"/>
            <w:noWrap/>
            <w:vAlign w:val="center"/>
          </w:tcPr>
          <w:p>
            <w:pPr>
              <w:rPr>
                <w:color w:val="auto"/>
                <w:highlight w:val="none"/>
              </w:rPr>
            </w:pPr>
          </w:p>
        </w:tc>
        <w:tc>
          <w:tcPr>
            <w:tcW w:w="1157" w:type="dxa"/>
            <w:noWrap/>
            <w:vAlign w:val="center"/>
          </w:tcPr>
          <w:p>
            <w:pPr>
              <w:rPr>
                <w:color w:val="auto"/>
                <w:highlight w:val="none"/>
              </w:rPr>
            </w:pPr>
          </w:p>
        </w:tc>
        <w:tc>
          <w:tcPr>
            <w:tcW w:w="913" w:type="dxa"/>
            <w:noWrap/>
            <w:vAlign w:val="center"/>
          </w:tcPr>
          <w:p>
            <w:pPr>
              <w:rPr>
                <w:color w:val="auto"/>
                <w:highlight w:val="none"/>
              </w:rPr>
            </w:pPr>
          </w:p>
        </w:tc>
        <w:tc>
          <w:tcPr>
            <w:tcW w:w="1035" w:type="dxa"/>
            <w:noWrap/>
            <w:vAlign w:val="center"/>
          </w:tcPr>
          <w:p>
            <w:pPr>
              <w:rPr>
                <w:color w:val="auto"/>
                <w:highlight w:val="none"/>
              </w:rPr>
            </w:pPr>
          </w:p>
        </w:tc>
        <w:tc>
          <w:tcPr>
            <w:tcW w:w="1035" w:type="dxa"/>
            <w:noWrap/>
            <w:vAlign w:val="center"/>
          </w:tcPr>
          <w:p>
            <w:pPr>
              <w:rPr>
                <w:color w:val="auto"/>
                <w:highlight w:val="none"/>
              </w:rPr>
            </w:pPr>
          </w:p>
        </w:tc>
        <w:tc>
          <w:tcPr>
            <w:tcW w:w="1169"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ign w:val="center"/>
          </w:tcPr>
          <w:p>
            <w:pPr>
              <w:rPr>
                <w:color w:val="auto"/>
                <w:highlight w:val="none"/>
              </w:rPr>
            </w:pPr>
          </w:p>
        </w:tc>
        <w:tc>
          <w:tcPr>
            <w:tcW w:w="1034" w:type="dxa"/>
            <w:noWrap/>
            <w:vAlign w:val="center"/>
          </w:tcPr>
          <w:p>
            <w:pPr>
              <w:rPr>
                <w:color w:val="auto"/>
                <w:highlight w:val="none"/>
              </w:rPr>
            </w:pPr>
          </w:p>
        </w:tc>
        <w:tc>
          <w:tcPr>
            <w:tcW w:w="1035" w:type="dxa"/>
            <w:noWrap/>
            <w:vAlign w:val="center"/>
          </w:tcPr>
          <w:p>
            <w:pPr>
              <w:rPr>
                <w:color w:val="auto"/>
                <w:highlight w:val="none"/>
              </w:rPr>
            </w:pPr>
          </w:p>
        </w:tc>
        <w:tc>
          <w:tcPr>
            <w:tcW w:w="1157" w:type="dxa"/>
            <w:noWrap/>
            <w:vAlign w:val="center"/>
          </w:tcPr>
          <w:p>
            <w:pPr>
              <w:rPr>
                <w:color w:val="auto"/>
                <w:highlight w:val="none"/>
              </w:rPr>
            </w:pPr>
          </w:p>
        </w:tc>
        <w:tc>
          <w:tcPr>
            <w:tcW w:w="913" w:type="dxa"/>
            <w:noWrap/>
            <w:vAlign w:val="center"/>
          </w:tcPr>
          <w:p>
            <w:pPr>
              <w:rPr>
                <w:color w:val="auto"/>
                <w:highlight w:val="none"/>
              </w:rPr>
            </w:pPr>
          </w:p>
        </w:tc>
        <w:tc>
          <w:tcPr>
            <w:tcW w:w="1035" w:type="dxa"/>
            <w:noWrap/>
            <w:vAlign w:val="center"/>
          </w:tcPr>
          <w:p>
            <w:pPr>
              <w:rPr>
                <w:color w:val="auto"/>
                <w:highlight w:val="none"/>
              </w:rPr>
            </w:pPr>
          </w:p>
        </w:tc>
        <w:tc>
          <w:tcPr>
            <w:tcW w:w="1035" w:type="dxa"/>
            <w:noWrap/>
            <w:vAlign w:val="center"/>
          </w:tcPr>
          <w:p>
            <w:pPr>
              <w:rPr>
                <w:color w:val="auto"/>
                <w:highlight w:val="none"/>
              </w:rPr>
            </w:pPr>
          </w:p>
        </w:tc>
        <w:tc>
          <w:tcPr>
            <w:tcW w:w="1169"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ign w:val="center"/>
          </w:tcPr>
          <w:p>
            <w:pPr>
              <w:rPr>
                <w:color w:val="auto"/>
                <w:highlight w:val="none"/>
              </w:rPr>
            </w:pPr>
          </w:p>
        </w:tc>
        <w:tc>
          <w:tcPr>
            <w:tcW w:w="1034" w:type="dxa"/>
            <w:noWrap/>
            <w:vAlign w:val="center"/>
          </w:tcPr>
          <w:p>
            <w:pPr>
              <w:rPr>
                <w:color w:val="auto"/>
                <w:highlight w:val="none"/>
              </w:rPr>
            </w:pPr>
          </w:p>
        </w:tc>
        <w:tc>
          <w:tcPr>
            <w:tcW w:w="1035" w:type="dxa"/>
            <w:noWrap/>
            <w:vAlign w:val="center"/>
          </w:tcPr>
          <w:p>
            <w:pPr>
              <w:rPr>
                <w:color w:val="auto"/>
                <w:highlight w:val="none"/>
              </w:rPr>
            </w:pPr>
          </w:p>
        </w:tc>
        <w:tc>
          <w:tcPr>
            <w:tcW w:w="1157" w:type="dxa"/>
            <w:noWrap/>
            <w:vAlign w:val="center"/>
          </w:tcPr>
          <w:p>
            <w:pPr>
              <w:rPr>
                <w:color w:val="auto"/>
                <w:highlight w:val="none"/>
              </w:rPr>
            </w:pPr>
          </w:p>
        </w:tc>
        <w:tc>
          <w:tcPr>
            <w:tcW w:w="913" w:type="dxa"/>
            <w:noWrap/>
            <w:vAlign w:val="center"/>
          </w:tcPr>
          <w:p>
            <w:pPr>
              <w:rPr>
                <w:color w:val="auto"/>
                <w:highlight w:val="none"/>
              </w:rPr>
            </w:pPr>
          </w:p>
        </w:tc>
        <w:tc>
          <w:tcPr>
            <w:tcW w:w="1035" w:type="dxa"/>
            <w:noWrap/>
            <w:vAlign w:val="center"/>
          </w:tcPr>
          <w:p>
            <w:pPr>
              <w:rPr>
                <w:color w:val="auto"/>
                <w:highlight w:val="none"/>
              </w:rPr>
            </w:pPr>
          </w:p>
        </w:tc>
        <w:tc>
          <w:tcPr>
            <w:tcW w:w="1035" w:type="dxa"/>
            <w:noWrap/>
            <w:vAlign w:val="center"/>
          </w:tcPr>
          <w:p>
            <w:pPr>
              <w:rPr>
                <w:color w:val="auto"/>
                <w:highlight w:val="none"/>
              </w:rPr>
            </w:pPr>
          </w:p>
        </w:tc>
        <w:tc>
          <w:tcPr>
            <w:tcW w:w="1169"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ign w:val="center"/>
          </w:tcPr>
          <w:p>
            <w:pPr>
              <w:rPr>
                <w:color w:val="auto"/>
                <w:highlight w:val="none"/>
              </w:rPr>
            </w:pPr>
          </w:p>
        </w:tc>
        <w:tc>
          <w:tcPr>
            <w:tcW w:w="1034" w:type="dxa"/>
            <w:noWrap/>
            <w:vAlign w:val="center"/>
          </w:tcPr>
          <w:p>
            <w:pPr>
              <w:rPr>
                <w:color w:val="auto"/>
                <w:highlight w:val="none"/>
              </w:rPr>
            </w:pPr>
          </w:p>
        </w:tc>
        <w:tc>
          <w:tcPr>
            <w:tcW w:w="1035" w:type="dxa"/>
            <w:noWrap/>
            <w:vAlign w:val="center"/>
          </w:tcPr>
          <w:p>
            <w:pPr>
              <w:rPr>
                <w:color w:val="auto"/>
                <w:highlight w:val="none"/>
              </w:rPr>
            </w:pPr>
          </w:p>
        </w:tc>
        <w:tc>
          <w:tcPr>
            <w:tcW w:w="1157" w:type="dxa"/>
            <w:noWrap/>
            <w:vAlign w:val="center"/>
          </w:tcPr>
          <w:p>
            <w:pPr>
              <w:rPr>
                <w:color w:val="auto"/>
                <w:highlight w:val="none"/>
              </w:rPr>
            </w:pPr>
          </w:p>
        </w:tc>
        <w:tc>
          <w:tcPr>
            <w:tcW w:w="913" w:type="dxa"/>
            <w:noWrap/>
            <w:vAlign w:val="center"/>
          </w:tcPr>
          <w:p>
            <w:pPr>
              <w:rPr>
                <w:color w:val="auto"/>
                <w:highlight w:val="none"/>
              </w:rPr>
            </w:pPr>
          </w:p>
        </w:tc>
        <w:tc>
          <w:tcPr>
            <w:tcW w:w="1035" w:type="dxa"/>
            <w:noWrap/>
            <w:vAlign w:val="center"/>
          </w:tcPr>
          <w:p>
            <w:pPr>
              <w:rPr>
                <w:color w:val="auto"/>
                <w:highlight w:val="none"/>
              </w:rPr>
            </w:pPr>
          </w:p>
        </w:tc>
        <w:tc>
          <w:tcPr>
            <w:tcW w:w="1035" w:type="dxa"/>
            <w:noWrap/>
            <w:vAlign w:val="center"/>
          </w:tcPr>
          <w:p>
            <w:pPr>
              <w:rPr>
                <w:color w:val="auto"/>
                <w:highlight w:val="none"/>
              </w:rPr>
            </w:pPr>
          </w:p>
        </w:tc>
        <w:tc>
          <w:tcPr>
            <w:tcW w:w="1169"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ign w:val="center"/>
          </w:tcPr>
          <w:p>
            <w:pPr>
              <w:rPr>
                <w:color w:val="auto"/>
                <w:highlight w:val="none"/>
              </w:rPr>
            </w:pPr>
          </w:p>
        </w:tc>
        <w:tc>
          <w:tcPr>
            <w:tcW w:w="1034" w:type="dxa"/>
            <w:noWrap/>
            <w:vAlign w:val="center"/>
          </w:tcPr>
          <w:p>
            <w:pPr>
              <w:rPr>
                <w:color w:val="auto"/>
                <w:highlight w:val="none"/>
              </w:rPr>
            </w:pPr>
          </w:p>
        </w:tc>
        <w:tc>
          <w:tcPr>
            <w:tcW w:w="1035" w:type="dxa"/>
            <w:noWrap/>
            <w:vAlign w:val="center"/>
          </w:tcPr>
          <w:p>
            <w:pPr>
              <w:rPr>
                <w:color w:val="auto"/>
                <w:highlight w:val="none"/>
              </w:rPr>
            </w:pPr>
          </w:p>
        </w:tc>
        <w:tc>
          <w:tcPr>
            <w:tcW w:w="1157" w:type="dxa"/>
            <w:noWrap/>
            <w:vAlign w:val="center"/>
          </w:tcPr>
          <w:p>
            <w:pPr>
              <w:rPr>
                <w:color w:val="auto"/>
                <w:highlight w:val="none"/>
              </w:rPr>
            </w:pPr>
          </w:p>
        </w:tc>
        <w:tc>
          <w:tcPr>
            <w:tcW w:w="913" w:type="dxa"/>
            <w:noWrap/>
            <w:vAlign w:val="center"/>
          </w:tcPr>
          <w:p>
            <w:pPr>
              <w:rPr>
                <w:color w:val="auto"/>
                <w:highlight w:val="none"/>
              </w:rPr>
            </w:pPr>
          </w:p>
        </w:tc>
        <w:tc>
          <w:tcPr>
            <w:tcW w:w="1035" w:type="dxa"/>
            <w:noWrap/>
            <w:vAlign w:val="center"/>
          </w:tcPr>
          <w:p>
            <w:pPr>
              <w:rPr>
                <w:color w:val="auto"/>
                <w:highlight w:val="none"/>
              </w:rPr>
            </w:pPr>
          </w:p>
        </w:tc>
        <w:tc>
          <w:tcPr>
            <w:tcW w:w="1035" w:type="dxa"/>
            <w:noWrap/>
            <w:vAlign w:val="center"/>
          </w:tcPr>
          <w:p>
            <w:pPr>
              <w:rPr>
                <w:color w:val="auto"/>
                <w:highlight w:val="none"/>
              </w:rPr>
            </w:pPr>
          </w:p>
        </w:tc>
        <w:tc>
          <w:tcPr>
            <w:tcW w:w="1169"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ign w:val="center"/>
          </w:tcPr>
          <w:p>
            <w:pPr>
              <w:rPr>
                <w:color w:val="auto"/>
                <w:highlight w:val="none"/>
              </w:rPr>
            </w:pPr>
          </w:p>
        </w:tc>
        <w:tc>
          <w:tcPr>
            <w:tcW w:w="1034" w:type="dxa"/>
            <w:noWrap/>
            <w:vAlign w:val="center"/>
          </w:tcPr>
          <w:p>
            <w:pPr>
              <w:rPr>
                <w:color w:val="auto"/>
                <w:highlight w:val="none"/>
              </w:rPr>
            </w:pPr>
          </w:p>
        </w:tc>
        <w:tc>
          <w:tcPr>
            <w:tcW w:w="1035" w:type="dxa"/>
            <w:noWrap/>
            <w:vAlign w:val="center"/>
          </w:tcPr>
          <w:p>
            <w:pPr>
              <w:rPr>
                <w:color w:val="auto"/>
                <w:highlight w:val="none"/>
              </w:rPr>
            </w:pPr>
          </w:p>
        </w:tc>
        <w:tc>
          <w:tcPr>
            <w:tcW w:w="1157" w:type="dxa"/>
            <w:noWrap/>
            <w:vAlign w:val="center"/>
          </w:tcPr>
          <w:p>
            <w:pPr>
              <w:rPr>
                <w:color w:val="auto"/>
                <w:highlight w:val="none"/>
              </w:rPr>
            </w:pPr>
          </w:p>
        </w:tc>
        <w:tc>
          <w:tcPr>
            <w:tcW w:w="913" w:type="dxa"/>
            <w:noWrap/>
            <w:vAlign w:val="center"/>
          </w:tcPr>
          <w:p>
            <w:pPr>
              <w:rPr>
                <w:color w:val="auto"/>
                <w:highlight w:val="none"/>
              </w:rPr>
            </w:pPr>
          </w:p>
        </w:tc>
        <w:tc>
          <w:tcPr>
            <w:tcW w:w="1035" w:type="dxa"/>
            <w:noWrap/>
            <w:vAlign w:val="center"/>
          </w:tcPr>
          <w:p>
            <w:pPr>
              <w:rPr>
                <w:color w:val="auto"/>
                <w:highlight w:val="none"/>
              </w:rPr>
            </w:pPr>
          </w:p>
        </w:tc>
        <w:tc>
          <w:tcPr>
            <w:tcW w:w="1035" w:type="dxa"/>
            <w:noWrap/>
            <w:vAlign w:val="center"/>
          </w:tcPr>
          <w:p>
            <w:pPr>
              <w:rPr>
                <w:color w:val="auto"/>
                <w:highlight w:val="none"/>
              </w:rPr>
            </w:pPr>
          </w:p>
        </w:tc>
        <w:tc>
          <w:tcPr>
            <w:tcW w:w="1169"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ign w:val="center"/>
          </w:tcPr>
          <w:p>
            <w:pPr>
              <w:rPr>
                <w:color w:val="auto"/>
                <w:highlight w:val="none"/>
              </w:rPr>
            </w:pPr>
          </w:p>
        </w:tc>
        <w:tc>
          <w:tcPr>
            <w:tcW w:w="1034" w:type="dxa"/>
            <w:noWrap/>
            <w:vAlign w:val="center"/>
          </w:tcPr>
          <w:p>
            <w:pPr>
              <w:rPr>
                <w:color w:val="auto"/>
                <w:highlight w:val="none"/>
              </w:rPr>
            </w:pPr>
          </w:p>
        </w:tc>
        <w:tc>
          <w:tcPr>
            <w:tcW w:w="1035" w:type="dxa"/>
            <w:noWrap/>
            <w:vAlign w:val="center"/>
          </w:tcPr>
          <w:p>
            <w:pPr>
              <w:rPr>
                <w:color w:val="auto"/>
                <w:highlight w:val="none"/>
              </w:rPr>
            </w:pPr>
          </w:p>
        </w:tc>
        <w:tc>
          <w:tcPr>
            <w:tcW w:w="1157" w:type="dxa"/>
            <w:noWrap/>
            <w:vAlign w:val="center"/>
          </w:tcPr>
          <w:p>
            <w:pPr>
              <w:rPr>
                <w:color w:val="auto"/>
                <w:highlight w:val="none"/>
              </w:rPr>
            </w:pPr>
          </w:p>
        </w:tc>
        <w:tc>
          <w:tcPr>
            <w:tcW w:w="913" w:type="dxa"/>
            <w:noWrap/>
            <w:vAlign w:val="center"/>
          </w:tcPr>
          <w:p>
            <w:pPr>
              <w:rPr>
                <w:color w:val="auto"/>
                <w:highlight w:val="none"/>
              </w:rPr>
            </w:pPr>
          </w:p>
        </w:tc>
        <w:tc>
          <w:tcPr>
            <w:tcW w:w="1035" w:type="dxa"/>
            <w:noWrap/>
            <w:vAlign w:val="center"/>
          </w:tcPr>
          <w:p>
            <w:pPr>
              <w:rPr>
                <w:color w:val="auto"/>
                <w:highlight w:val="none"/>
              </w:rPr>
            </w:pPr>
          </w:p>
        </w:tc>
        <w:tc>
          <w:tcPr>
            <w:tcW w:w="1035" w:type="dxa"/>
            <w:noWrap/>
            <w:vAlign w:val="center"/>
          </w:tcPr>
          <w:p>
            <w:pPr>
              <w:rPr>
                <w:color w:val="auto"/>
                <w:highlight w:val="none"/>
              </w:rPr>
            </w:pPr>
          </w:p>
        </w:tc>
        <w:tc>
          <w:tcPr>
            <w:tcW w:w="1169" w:type="dxa"/>
            <w:noWrap/>
            <w:vAlign w:val="center"/>
          </w:tcPr>
          <w:p>
            <w:pPr>
              <w:rPr>
                <w:color w:val="auto"/>
                <w:highlight w:val="none"/>
              </w:rPr>
            </w:pPr>
          </w:p>
        </w:tc>
      </w:tr>
    </w:tbl>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bookmarkStart w:id="392" w:name="_Toc228591767"/>
      <w:bookmarkStart w:id="393" w:name="_Toc228881259"/>
      <w:bookmarkStart w:id="394" w:name="_Toc227492355"/>
      <w:bookmarkStart w:id="395" w:name="_Toc227657597"/>
      <w:bookmarkStart w:id="396" w:name="_Toc228337208"/>
      <w:bookmarkStart w:id="397" w:name="_Toc228591619"/>
      <w:bookmarkStart w:id="398" w:name="_Toc228589273"/>
      <w:bookmarkStart w:id="399" w:name="_Toc214433999"/>
      <w:bookmarkStart w:id="400" w:name="_Toc431367154"/>
      <w:bookmarkStart w:id="401" w:name="_Toc272772678"/>
      <w:r>
        <w:rPr>
          <w:rFonts w:hint="eastAsia"/>
          <w:color w:val="auto"/>
          <w:highlight w:val="none"/>
        </w:rPr>
        <w:t>（二）主要人员简历表</w:t>
      </w:r>
      <w:bookmarkEnd w:id="392"/>
      <w:bookmarkEnd w:id="393"/>
      <w:bookmarkEnd w:id="394"/>
      <w:bookmarkEnd w:id="395"/>
      <w:bookmarkEnd w:id="396"/>
      <w:bookmarkEnd w:id="397"/>
      <w:bookmarkEnd w:id="398"/>
      <w:bookmarkEnd w:id="399"/>
      <w:bookmarkEnd w:id="400"/>
      <w:bookmarkEnd w:id="401"/>
    </w:p>
    <w:p>
      <w:pPr>
        <w:rPr>
          <w:color w:val="auto"/>
          <w:highlight w:val="none"/>
        </w:rPr>
      </w:pPr>
      <w:r>
        <w:rPr>
          <w:rFonts w:hint="eastAsia"/>
          <w:color w:val="auto"/>
          <w:highlight w:val="none"/>
        </w:rPr>
        <w:t>“主要人员简历表”中的项目总监附注册执业资格证书等复印件；其他主要人员附职称证（执业证或上岗证书）等复印件。</w:t>
      </w:r>
    </w:p>
    <w:tbl>
      <w:tblPr>
        <w:tblStyle w:val="25"/>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ign w:val="center"/>
          </w:tcPr>
          <w:p>
            <w:pPr>
              <w:rPr>
                <w:color w:val="auto"/>
                <w:highlight w:val="none"/>
              </w:rPr>
            </w:pPr>
            <w:r>
              <w:rPr>
                <w:rFonts w:hint="eastAsia"/>
                <w:color w:val="auto"/>
                <w:highlight w:val="none"/>
              </w:rPr>
              <w:t>姓名</w:t>
            </w:r>
          </w:p>
        </w:tc>
        <w:tc>
          <w:tcPr>
            <w:tcW w:w="1551" w:type="dxa"/>
            <w:gridSpan w:val="2"/>
            <w:noWrap/>
            <w:vAlign w:val="center"/>
          </w:tcPr>
          <w:p>
            <w:pPr>
              <w:rPr>
                <w:color w:val="auto"/>
                <w:highlight w:val="none"/>
              </w:rPr>
            </w:pPr>
          </w:p>
        </w:tc>
        <w:tc>
          <w:tcPr>
            <w:tcW w:w="1555" w:type="dxa"/>
            <w:noWrap/>
            <w:vAlign w:val="center"/>
          </w:tcPr>
          <w:p>
            <w:pPr>
              <w:rPr>
                <w:color w:val="auto"/>
                <w:highlight w:val="none"/>
              </w:rPr>
            </w:pPr>
            <w:r>
              <w:rPr>
                <w:rFonts w:hint="eastAsia"/>
                <w:color w:val="auto"/>
                <w:highlight w:val="none"/>
              </w:rPr>
              <w:t>年龄</w:t>
            </w:r>
          </w:p>
        </w:tc>
        <w:tc>
          <w:tcPr>
            <w:tcW w:w="1552" w:type="dxa"/>
            <w:noWrap/>
            <w:vAlign w:val="center"/>
          </w:tcPr>
          <w:p>
            <w:pPr>
              <w:rPr>
                <w:color w:val="auto"/>
                <w:highlight w:val="none"/>
              </w:rPr>
            </w:pPr>
          </w:p>
        </w:tc>
        <w:tc>
          <w:tcPr>
            <w:tcW w:w="1843" w:type="dxa"/>
            <w:gridSpan w:val="2"/>
            <w:noWrap/>
            <w:vAlign w:val="center"/>
          </w:tcPr>
          <w:p>
            <w:pPr>
              <w:rPr>
                <w:color w:val="auto"/>
                <w:highlight w:val="none"/>
              </w:rPr>
            </w:pPr>
            <w:r>
              <w:rPr>
                <w:rFonts w:hint="eastAsia"/>
                <w:color w:val="auto"/>
                <w:highlight w:val="none"/>
              </w:rPr>
              <w:t>学 历</w:t>
            </w:r>
          </w:p>
        </w:tc>
        <w:tc>
          <w:tcPr>
            <w:tcW w:w="1263"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ign w:val="center"/>
          </w:tcPr>
          <w:p>
            <w:pPr>
              <w:rPr>
                <w:color w:val="auto"/>
                <w:highlight w:val="none"/>
              </w:rPr>
            </w:pPr>
            <w:r>
              <w:rPr>
                <w:rFonts w:hint="eastAsia"/>
                <w:color w:val="auto"/>
                <w:highlight w:val="none"/>
              </w:rPr>
              <w:t>职称</w:t>
            </w:r>
          </w:p>
        </w:tc>
        <w:tc>
          <w:tcPr>
            <w:tcW w:w="1551" w:type="dxa"/>
            <w:gridSpan w:val="2"/>
            <w:noWrap/>
            <w:vAlign w:val="center"/>
          </w:tcPr>
          <w:p>
            <w:pPr>
              <w:rPr>
                <w:color w:val="auto"/>
                <w:highlight w:val="none"/>
              </w:rPr>
            </w:pPr>
          </w:p>
        </w:tc>
        <w:tc>
          <w:tcPr>
            <w:tcW w:w="1555" w:type="dxa"/>
            <w:noWrap/>
            <w:vAlign w:val="center"/>
          </w:tcPr>
          <w:p>
            <w:pPr>
              <w:rPr>
                <w:color w:val="auto"/>
                <w:highlight w:val="none"/>
              </w:rPr>
            </w:pPr>
            <w:r>
              <w:rPr>
                <w:rFonts w:hint="eastAsia"/>
                <w:color w:val="auto"/>
                <w:highlight w:val="none"/>
              </w:rPr>
              <w:t>职务</w:t>
            </w:r>
          </w:p>
        </w:tc>
        <w:tc>
          <w:tcPr>
            <w:tcW w:w="1552" w:type="dxa"/>
            <w:noWrap/>
            <w:vAlign w:val="center"/>
          </w:tcPr>
          <w:p>
            <w:pPr>
              <w:rPr>
                <w:color w:val="auto"/>
                <w:highlight w:val="none"/>
              </w:rPr>
            </w:pPr>
          </w:p>
        </w:tc>
        <w:tc>
          <w:tcPr>
            <w:tcW w:w="1843" w:type="dxa"/>
            <w:gridSpan w:val="2"/>
            <w:noWrap/>
            <w:vAlign w:val="center"/>
          </w:tcPr>
          <w:p>
            <w:pPr>
              <w:rPr>
                <w:color w:val="auto"/>
                <w:highlight w:val="none"/>
              </w:rPr>
            </w:pPr>
            <w:r>
              <w:rPr>
                <w:rFonts w:hint="eastAsia"/>
                <w:color w:val="auto"/>
                <w:highlight w:val="none"/>
              </w:rPr>
              <w:t>拟在本合同任职</w:t>
            </w:r>
          </w:p>
        </w:tc>
        <w:tc>
          <w:tcPr>
            <w:tcW w:w="1263" w:type="dxa"/>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ign w:val="center"/>
          </w:tcPr>
          <w:p>
            <w:pPr>
              <w:rPr>
                <w:color w:val="auto"/>
                <w:highlight w:val="none"/>
              </w:rPr>
            </w:pPr>
            <w:r>
              <w:rPr>
                <w:rFonts w:hint="eastAsia"/>
                <w:color w:val="auto"/>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ign w:val="center"/>
          </w:tcPr>
          <w:p>
            <w:pPr>
              <w:rPr>
                <w:color w:val="auto"/>
                <w:highlight w:val="none"/>
              </w:rPr>
            </w:pPr>
            <w:r>
              <w:rPr>
                <w:rFonts w:hint="eastAsia"/>
                <w:color w:val="auto"/>
                <w:highlight w:val="none"/>
              </w:rPr>
              <w:t>时间</w:t>
            </w:r>
          </w:p>
        </w:tc>
        <w:tc>
          <w:tcPr>
            <w:tcW w:w="2329" w:type="dxa"/>
            <w:gridSpan w:val="2"/>
            <w:noWrap/>
            <w:vAlign w:val="center"/>
          </w:tcPr>
          <w:p>
            <w:pPr>
              <w:rPr>
                <w:color w:val="auto"/>
                <w:highlight w:val="none"/>
              </w:rPr>
            </w:pPr>
            <w:r>
              <w:rPr>
                <w:rFonts w:hint="eastAsia"/>
                <w:color w:val="auto"/>
                <w:highlight w:val="none"/>
              </w:rPr>
              <w:t>参加过的类似项目</w:t>
            </w:r>
          </w:p>
        </w:tc>
        <w:tc>
          <w:tcPr>
            <w:tcW w:w="2328" w:type="dxa"/>
            <w:gridSpan w:val="2"/>
            <w:noWrap/>
            <w:vAlign w:val="center"/>
          </w:tcPr>
          <w:p>
            <w:pPr>
              <w:rPr>
                <w:color w:val="auto"/>
                <w:highlight w:val="none"/>
              </w:rPr>
            </w:pPr>
            <w:r>
              <w:rPr>
                <w:rFonts w:hint="eastAsia"/>
                <w:color w:val="auto"/>
                <w:highlight w:val="none"/>
              </w:rPr>
              <w:t>担任职务</w:t>
            </w:r>
          </w:p>
        </w:tc>
        <w:tc>
          <w:tcPr>
            <w:tcW w:w="2330" w:type="dxa"/>
            <w:gridSpan w:val="2"/>
            <w:noWrap/>
            <w:vAlign w:val="center"/>
          </w:tcPr>
          <w:p>
            <w:pPr>
              <w:rPr>
                <w:color w:val="auto"/>
                <w:highlight w:val="none"/>
              </w:rPr>
            </w:pPr>
            <w:r>
              <w:rPr>
                <w:rFonts w:hint="eastAsia"/>
                <w:color w:val="auto"/>
                <w:highlight w:val="none"/>
              </w:rPr>
              <w:t>发包人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ign w:val="center"/>
          </w:tcPr>
          <w:p>
            <w:pPr>
              <w:rPr>
                <w:color w:val="auto"/>
                <w:highlight w:val="none"/>
              </w:rPr>
            </w:pPr>
          </w:p>
        </w:tc>
        <w:tc>
          <w:tcPr>
            <w:tcW w:w="2329" w:type="dxa"/>
            <w:gridSpan w:val="2"/>
            <w:noWrap/>
            <w:vAlign w:val="center"/>
          </w:tcPr>
          <w:p>
            <w:pPr>
              <w:rPr>
                <w:color w:val="auto"/>
                <w:highlight w:val="none"/>
              </w:rPr>
            </w:pPr>
          </w:p>
        </w:tc>
        <w:tc>
          <w:tcPr>
            <w:tcW w:w="2328" w:type="dxa"/>
            <w:gridSpan w:val="2"/>
            <w:noWrap/>
            <w:vAlign w:val="center"/>
          </w:tcPr>
          <w:p>
            <w:pPr>
              <w:rPr>
                <w:color w:val="auto"/>
                <w:highlight w:val="none"/>
              </w:rPr>
            </w:pPr>
          </w:p>
        </w:tc>
        <w:tc>
          <w:tcPr>
            <w:tcW w:w="2330" w:type="dxa"/>
            <w:gridSpan w:val="2"/>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ign w:val="center"/>
          </w:tcPr>
          <w:p>
            <w:pPr>
              <w:rPr>
                <w:color w:val="auto"/>
                <w:highlight w:val="none"/>
              </w:rPr>
            </w:pPr>
          </w:p>
        </w:tc>
        <w:tc>
          <w:tcPr>
            <w:tcW w:w="2329" w:type="dxa"/>
            <w:gridSpan w:val="2"/>
            <w:noWrap/>
            <w:vAlign w:val="center"/>
          </w:tcPr>
          <w:p>
            <w:pPr>
              <w:rPr>
                <w:color w:val="auto"/>
                <w:highlight w:val="none"/>
              </w:rPr>
            </w:pPr>
          </w:p>
        </w:tc>
        <w:tc>
          <w:tcPr>
            <w:tcW w:w="2328" w:type="dxa"/>
            <w:gridSpan w:val="2"/>
            <w:noWrap/>
            <w:vAlign w:val="center"/>
          </w:tcPr>
          <w:p>
            <w:pPr>
              <w:rPr>
                <w:color w:val="auto"/>
                <w:highlight w:val="none"/>
              </w:rPr>
            </w:pPr>
          </w:p>
        </w:tc>
        <w:tc>
          <w:tcPr>
            <w:tcW w:w="2330" w:type="dxa"/>
            <w:gridSpan w:val="2"/>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ign w:val="center"/>
          </w:tcPr>
          <w:p>
            <w:pPr>
              <w:rPr>
                <w:color w:val="auto"/>
                <w:highlight w:val="none"/>
              </w:rPr>
            </w:pPr>
          </w:p>
        </w:tc>
        <w:tc>
          <w:tcPr>
            <w:tcW w:w="2329" w:type="dxa"/>
            <w:gridSpan w:val="2"/>
            <w:noWrap/>
            <w:vAlign w:val="center"/>
          </w:tcPr>
          <w:p>
            <w:pPr>
              <w:rPr>
                <w:color w:val="auto"/>
                <w:highlight w:val="none"/>
              </w:rPr>
            </w:pPr>
          </w:p>
        </w:tc>
        <w:tc>
          <w:tcPr>
            <w:tcW w:w="2328" w:type="dxa"/>
            <w:gridSpan w:val="2"/>
            <w:noWrap/>
            <w:vAlign w:val="center"/>
          </w:tcPr>
          <w:p>
            <w:pPr>
              <w:rPr>
                <w:color w:val="auto"/>
                <w:highlight w:val="none"/>
              </w:rPr>
            </w:pPr>
          </w:p>
        </w:tc>
        <w:tc>
          <w:tcPr>
            <w:tcW w:w="2330" w:type="dxa"/>
            <w:gridSpan w:val="2"/>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ign w:val="center"/>
          </w:tcPr>
          <w:p>
            <w:pPr>
              <w:rPr>
                <w:color w:val="auto"/>
                <w:highlight w:val="none"/>
              </w:rPr>
            </w:pPr>
          </w:p>
        </w:tc>
        <w:tc>
          <w:tcPr>
            <w:tcW w:w="2329" w:type="dxa"/>
            <w:gridSpan w:val="2"/>
            <w:noWrap/>
            <w:vAlign w:val="center"/>
          </w:tcPr>
          <w:p>
            <w:pPr>
              <w:rPr>
                <w:color w:val="auto"/>
                <w:highlight w:val="none"/>
              </w:rPr>
            </w:pPr>
          </w:p>
        </w:tc>
        <w:tc>
          <w:tcPr>
            <w:tcW w:w="2328" w:type="dxa"/>
            <w:gridSpan w:val="2"/>
            <w:noWrap/>
            <w:vAlign w:val="center"/>
          </w:tcPr>
          <w:p>
            <w:pPr>
              <w:rPr>
                <w:color w:val="auto"/>
                <w:highlight w:val="none"/>
              </w:rPr>
            </w:pPr>
          </w:p>
        </w:tc>
        <w:tc>
          <w:tcPr>
            <w:tcW w:w="2330" w:type="dxa"/>
            <w:gridSpan w:val="2"/>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ign w:val="center"/>
          </w:tcPr>
          <w:p>
            <w:pPr>
              <w:rPr>
                <w:color w:val="auto"/>
                <w:highlight w:val="none"/>
              </w:rPr>
            </w:pPr>
          </w:p>
        </w:tc>
        <w:tc>
          <w:tcPr>
            <w:tcW w:w="2329" w:type="dxa"/>
            <w:gridSpan w:val="2"/>
            <w:noWrap/>
            <w:vAlign w:val="center"/>
          </w:tcPr>
          <w:p>
            <w:pPr>
              <w:rPr>
                <w:color w:val="auto"/>
                <w:highlight w:val="none"/>
              </w:rPr>
            </w:pPr>
          </w:p>
        </w:tc>
        <w:tc>
          <w:tcPr>
            <w:tcW w:w="2328" w:type="dxa"/>
            <w:gridSpan w:val="2"/>
            <w:noWrap/>
            <w:vAlign w:val="center"/>
          </w:tcPr>
          <w:p>
            <w:pPr>
              <w:rPr>
                <w:color w:val="auto"/>
                <w:highlight w:val="none"/>
              </w:rPr>
            </w:pPr>
          </w:p>
        </w:tc>
        <w:tc>
          <w:tcPr>
            <w:tcW w:w="2330" w:type="dxa"/>
            <w:gridSpan w:val="2"/>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ign w:val="center"/>
          </w:tcPr>
          <w:p>
            <w:pPr>
              <w:rPr>
                <w:color w:val="auto"/>
                <w:highlight w:val="none"/>
              </w:rPr>
            </w:pPr>
          </w:p>
        </w:tc>
        <w:tc>
          <w:tcPr>
            <w:tcW w:w="2329" w:type="dxa"/>
            <w:gridSpan w:val="2"/>
            <w:noWrap/>
            <w:vAlign w:val="center"/>
          </w:tcPr>
          <w:p>
            <w:pPr>
              <w:rPr>
                <w:color w:val="auto"/>
                <w:highlight w:val="none"/>
              </w:rPr>
            </w:pPr>
          </w:p>
        </w:tc>
        <w:tc>
          <w:tcPr>
            <w:tcW w:w="2328" w:type="dxa"/>
            <w:gridSpan w:val="2"/>
            <w:noWrap/>
            <w:vAlign w:val="center"/>
          </w:tcPr>
          <w:p>
            <w:pPr>
              <w:rPr>
                <w:color w:val="auto"/>
                <w:highlight w:val="none"/>
              </w:rPr>
            </w:pPr>
          </w:p>
        </w:tc>
        <w:tc>
          <w:tcPr>
            <w:tcW w:w="2330" w:type="dxa"/>
            <w:gridSpan w:val="2"/>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ign w:val="center"/>
          </w:tcPr>
          <w:p>
            <w:pPr>
              <w:rPr>
                <w:color w:val="auto"/>
                <w:highlight w:val="none"/>
              </w:rPr>
            </w:pPr>
          </w:p>
        </w:tc>
        <w:tc>
          <w:tcPr>
            <w:tcW w:w="2329" w:type="dxa"/>
            <w:gridSpan w:val="2"/>
            <w:noWrap/>
            <w:vAlign w:val="center"/>
          </w:tcPr>
          <w:p>
            <w:pPr>
              <w:rPr>
                <w:color w:val="auto"/>
                <w:highlight w:val="none"/>
              </w:rPr>
            </w:pPr>
          </w:p>
        </w:tc>
        <w:tc>
          <w:tcPr>
            <w:tcW w:w="2328" w:type="dxa"/>
            <w:gridSpan w:val="2"/>
            <w:noWrap/>
            <w:vAlign w:val="center"/>
          </w:tcPr>
          <w:p>
            <w:pPr>
              <w:rPr>
                <w:color w:val="auto"/>
                <w:highlight w:val="none"/>
              </w:rPr>
            </w:pPr>
          </w:p>
        </w:tc>
        <w:tc>
          <w:tcPr>
            <w:tcW w:w="2330" w:type="dxa"/>
            <w:gridSpan w:val="2"/>
            <w:noWrap/>
            <w:vAlign w:val="center"/>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ign w:val="center"/>
          </w:tcPr>
          <w:p>
            <w:pPr>
              <w:rPr>
                <w:color w:val="auto"/>
                <w:highlight w:val="none"/>
              </w:rPr>
            </w:pPr>
          </w:p>
        </w:tc>
        <w:tc>
          <w:tcPr>
            <w:tcW w:w="2329" w:type="dxa"/>
            <w:gridSpan w:val="2"/>
            <w:noWrap/>
            <w:vAlign w:val="center"/>
          </w:tcPr>
          <w:p>
            <w:pPr>
              <w:rPr>
                <w:color w:val="auto"/>
                <w:highlight w:val="none"/>
              </w:rPr>
            </w:pPr>
          </w:p>
        </w:tc>
        <w:tc>
          <w:tcPr>
            <w:tcW w:w="2328" w:type="dxa"/>
            <w:gridSpan w:val="2"/>
            <w:noWrap/>
            <w:vAlign w:val="center"/>
          </w:tcPr>
          <w:p>
            <w:pPr>
              <w:rPr>
                <w:color w:val="auto"/>
                <w:highlight w:val="none"/>
              </w:rPr>
            </w:pPr>
          </w:p>
        </w:tc>
        <w:tc>
          <w:tcPr>
            <w:tcW w:w="2330" w:type="dxa"/>
            <w:gridSpan w:val="2"/>
            <w:noWrap/>
            <w:vAlign w:val="center"/>
          </w:tcPr>
          <w:p>
            <w:pPr>
              <w:rPr>
                <w:color w:val="auto"/>
                <w:highlight w:val="none"/>
              </w:rPr>
            </w:pPr>
          </w:p>
        </w:tc>
      </w:tr>
    </w:tbl>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rFonts w:hint="eastAsia" w:ascii="Arial" w:hAnsi="Arial" w:eastAsia="黑体" w:cs="Times New Roman"/>
          <w:b/>
          <w:color w:val="auto"/>
          <w:kern w:val="0"/>
          <w:sz w:val="32"/>
          <w:szCs w:val="32"/>
          <w:highlight w:val="none"/>
          <w:lang w:val="en-US" w:eastAsia="zh-CN" w:bidi="ar-SA"/>
        </w:rPr>
      </w:pPr>
      <w:bookmarkStart w:id="402" w:name="_Toc536525019"/>
      <w:r>
        <w:rPr>
          <w:rFonts w:hint="eastAsia" w:ascii="Arial" w:hAnsi="Arial" w:eastAsia="黑体" w:cs="Times New Roman"/>
          <w:b/>
          <w:color w:val="auto"/>
          <w:kern w:val="0"/>
          <w:sz w:val="32"/>
          <w:szCs w:val="32"/>
          <w:highlight w:val="none"/>
          <w:lang w:val="en-US" w:eastAsia="zh-CN" w:bidi="ar-SA"/>
        </w:rPr>
        <w:t xml:space="preserve"> 八、资格审查资料</w:t>
      </w:r>
      <w:bookmarkEnd w:id="402"/>
    </w:p>
    <w:p>
      <w:pPr>
        <w:rPr>
          <w:color w:val="auto"/>
          <w:highlight w:val="none"/>
        </w:rPr>
      </w:pPr>
      <w:bookmarkStart w:id="403" w:name="_Toc227657600"/>
      <w:bookmarkStart w:id="404" w:name="_Toc17334"/>
      <w:bookmarkStart w:id="405" w:name="_Toc500864552"/>
      <w:bookmarkStart w:id="406" w:name="_Toc511890186"/>
      <w:bookmarkStart w:id="407" w:name="_Toc536525020"/>
      <w:bookmarkStart w:id="408" w:name="_Toc500865942"/>
      <w:bookmarkStart w:id="409" w:name="_Toc227492358"/>
      <w:bookmarkStart w:id="410" w:name="_Toc32399"/>
      <w:bookmarkStart w:id="411" w:name="_Toc431367157"/>
      <w:bookmarkStart w:id="412" w:name="_Toc228337211"/>
      <w:bookmarkStart w:id="413" w:name="_Toc272772682"/>
      <w:bookmarkStart w:id="414" w:name="_Toc228881262"/>
      <w:bookmarkStart w:id="415" w:name="_Toc214434002"/>
      <w:bookmarkStart w:id="416" w:name="_Toc228591622"/>
      <w:bookmarkStart w:id="417" w:name="_Toc228589276"/>
      <w:bookmarkStart w:id="418" w:name="_Toc228591770"/>
      <w:r>
        <w:rPr>
          <w:rFonts w:hint="eastAsia"/>
          <w:color w:val="auto"/>
          <w:highlight w:val="none"/>
        </w:rPr>
        <w:t>（一）投标人基本情况表</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tbl>
      <w:tblPr>
        <w:tblStyle w:val="25"/>
        <w:tblW w:w="9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投标人名称</w:t>
            </w:r>
          </w:p>
        </w:tc>
        <w:tc>
          <w:tcPr>
            <w:tcW w:w="7761" w:type="dxa"/>
            <w:gridSpan w:val="7"/>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注册地址</w:t>
            </w:r>
          </w:p>
        </w:tc>
        <w:tc>
          <w:tcPr>
            <w:tcW w:w="3768" w:type="dxa"/>
            <w:gridSpan w:val="3"/>
            <w:noWrap/>
            <w:vAlign w:val="center"/>
          </w:tcPr>
          <w:p>
            <w:pPr>
              <w:ind w:left="0" w:leftChars="0" w:firstLine="0" w:firstLineChars="0"/>
              <w:rPr>
                <w:rFonts w:hint="eastAsia"/>
                <w:color w:val="auto"/>
                <w:highlight w:val="none"/>
              </w:rPr>
            </w:pPr>
          </w:p>
        </w:tc>
        <w:tc>
          <w:tcPr>
            <w:tcW w:w="1331" w:type="dxa"/>
            <w:gridSpan w:val="2"/>
            <w:noWrap/>
            <w:vAlign w:val="center"/>
          </w:tcPr>
          <w:p>
            <w:pPr>
              <w:ind w:left="0" w:leftChars="0" w:firstLine="0" w:firstLineChars="0"/>
              <w:rPr>
                <w:rFonts w:hint="eastAsia"/>
                <w:color w:val="auto"/>
                <w:highlight w:val="none"/>
              </w:rPr>
            </w:pPr>
            <w:r>
              <w:rPr>
                <w:rFonts w:hint="eastAsia"/>
                <w:color w:val="auto"/>
                <w:highlight w:val="none"/>
              </w:rPr>
              <w:t>邮政编码</w:t>
            </w:r>
          </w:p>
        </w:tc>
        <w:tc>
          <w:tcPr>
            <w:tcW w:w="2662" w:type="dxa"/>
            <w:gridSpan w:val="2"/>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ign w:val="center"/>
          </w:tcPr>
          <w:p>
            <w:pPr>
              <w:ind w:left="0" w:leftChars="0" w:firstLine="0" w:firstLineChars="0"/>
              <w:rPr>
                <w:rFonts w:hint="eastAsia"/>
                <w:color w:val="auto"/>
                <w:highlight w:val="none"/>
              </w:rPr>
            </w:pPr>
            <w:r>
              <w:rPr>
                <w:rFonts w:hint="eastAsia"/>
                <w:color w:val="auto"/>
                <w:highlight w:val="none"/>
              </w:rPr>
              <w:t>联系方式</w:t>
            </w:r>
          </w:p>
        </w:tc>
        <w:tc>
          <w:tcPr>
            <w:tcW w:w="1107" w:type="dxa"/>
            <w:noWrap/>
            <w:vAlign w:val="center"/>
          </w:tcPr>
          <w:p>
            <w:pPr>
              <w:ind w:left="0" w:leftChars="0" w:firstLine="0" w:firstLineChars="0"/>
              <w:rPr>
                <w:rFonts w:hint="eastAsia"/>
                <w:color w:val="auto"/>
                <w:highlight w:val="none"/>
              </w:rPr>
            </w:pPr>
            <w:r>
              <w:rPr>
                <w:rFonts w:hint="eastAsia"/>
                <w:color w:val="auto"/>
                <w:highlight w:val="none"/>
              </w:rPr>
              <w:t>联系人</w:t>
            </w:r>
          </w:p>
        </w:tc>
        <w:tc>
          <w:tcPr>
            <w:tcW w:w="2661" w:type="dxa"/>
            <w:gridSpan w:val="2"/>
            <w:noWrap/>
            <w:vAlign w:val="center"/>
          </w:tcPr>
          <w:p>
            <w:pPr>
              <w:ind w:left="0" w:leftChars="0" w:firstLine="0" w:firstLineChars="0"/>
              <w:rPr>
                <w:rFonts w:hint="eastAsia"/>
                <w:color w:val="auto"/>
                <w:highlight w:val="none"/>
              </w:rPr>
            </w:pPr>
          </w:p>
        </w:tc>
        <w:tc>
          <w:tcPr>
            <w:tcW w:w="1331" w:type="dxa"/>
            <w:gridSpan w:val="2"/>
            <w:noWrap/>
            <w:vAlign w:val="center"/>
          </w:tcPr>
          <w:p>
            <w:pPr>
              <w:ind w:left="0" w:leftChars="0" w:firstLine="0" w:firstLineChars="0"/>
              <w:rPr>
                <w:rFonts w:hint="eastAsia"/>
                <w:color w:val="auto"/>
                <w:highlight w:val="none"/>
              </w:rPr>
            </w:pPr>
            <w:r>
              <w:rPr>
                <w:rFonts w:hint="eastAsia"/>
                <w:color w:val="auto"/>
                <w:highlight w:val="none"/>
              </w:rPr>
              <w:t>电话</w:t>
            </w:r>
          </w:p>
        </w:tc>
        <w:tc>
          <w:tcPr>
            <w:tcW w:w="2662" w:type="dxa"/>
            <w:gridSpan w:val="2"/>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ign w:val="center"/>
          </w:tcPr>
          <w:p>
            <w:pPr>
              <w:ind w:left="0" w:leftChars="0" w:firstLine="0" w:firstLineChars="0"/>
              <w:rPr>
                <w:rFonts w:hint="eastAsia"/>
                <w:color w:val="auto"/>
                <w:highlight w:val="none"/>
              </w:rPr>
            </w:pPr>
          </w:p>
        </w:tc>
        <w:tc>
          <w:tcPr>
            <w:tcW w:w="1107" w:type="dxa"/>
            <w:noWrap/>
            <w:vAlign w:val="center"/>
          </w:tcPr>
          <w:p>
            <w:pPr>
              <w:ind w:left="0" w:leftChars="0" w:firstLine="0" w:firstLineChars="0"/>
              <w:rPr>
                <w:rFonts w:hint="eastAsia"/>
                <w:color w:val="auto"/>
                <w:highlight w:val="none"/>
              </w:rPr>
            </w:pPr>
            <w:r>
              <w:rPr>
                <w:rFonts w:hint="eastAsia"/>
                <w:color w:val="auto"/>
                <w:highlight w:val="none"/>
              </w:rPr>
              <w:t>传 真</w:t>
            </w:r>
          </w:p>
        </w:tc>
        <w:tc>
          <w:tcPr>
            <w:tcW w:w="2661" w:type="dxa"/>
            <w:gridSpan w:val="2"/>
            <w:noWrap/>
            <w:vAlign w:val="center"/>
          </w:tcPr>
          <w:p>
            <w:pPr>
              <w:ind w:left="0" w:leftChars="0" w:firstLine="0" w:firstLineChars="0"/>
              <w:rPr>
                <w:rFonts w:hint="eastAsia"/>
                <w:color w:val="auto"/>
                <w:highlight w:val="none"/>
              </w:rPr>
            </w:pPr>
          </w:p>
        </w:tc>
        <w:tc>
          <w:tcPr>
            <w:tcW w:w="1331" w:type="dxa"/>
            <w:gridSpan w:val="2"/>
            <w:noWrap/>
            <w:vAlign w:val="center"/>
          </w:tcPr>
          <w:p>
            <w:pPr>
              <w:ind w:left="0" w:leftChars="0" w:firstLine="0" w:firstLineChars="0"/>
              <w:rPr>
                <w:rFonts w:hint="eastAsia"/>
                <w:color w:val="auto"/>
                <w:highlight w:val="none"/>
              </w:rPr>
            </w:pPr>
            <w:r>
              <w:rPr>
                <w:rFonts w:hint="eastAsia"/>
                <w:color w:val="auto"/>
                <w:highlight w:val="none"/>
              </w:rPr>
              <w:t>网址</w:t>
            </w:r>
          </w:p>
        </w:tc>
        <w:tc>
          <w:tcPr>
            <w:tcW w:w="2662" w:type="dxa"/>
            <w:gridSpan w:val="2"/>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组织结构</w:t>
            </w:r>
          </w:p>
        </w:tc>
        <w:tc>
          <w:tcPr>
            <w:tcW w:w="7761" w:type="dxa"/>
            <w:gridSpan w:val="7"/>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法定代表人</w:t>
            </w:r>
          </w:p>
        </w:tc>
        <w:tc>
          <w:tcPr>
            <w:tcW w:w="1107" w:type="dxa"/>
            <w:noWrap/>
            <w:vAlign w:val="center"/>
          </w:tcPr>
          <w:p>
            <w:pPr>
              <w:ind w:left="0" w:leftChars="0" w:firstLine="0" w:firstLineChars="0"/>
              <w:rPr>
                <w:rFonts w:hint="eastAsia"/>
                <w:color w:val="auto"/>
                <w:highlight w:val="none"/>
              </w:rPr>
            </w:pPr>
            <w:r>
              <w:rPr>
                <w:rFonts w:hint="eastAsia"/>
                <w:color w:val="auto"/>
                <w:highlight w:val="none"/>
              </w:rPr>
              <w:t>姓名</w:t>
            </w:r>
          </w:p>
        </w:tc>
        <w:tc>
          <w:tcPr>
            <w:tcW w:w="1330" w:type="dxa"/>
            <w:noWrap/>
            <w:vAlign w:val="center"/>
          </w:tcPr>
          <w:p>
            <w:pPr>
              <w:ind w:left="0" w:leftChars="0" w:firstLine="0" w:firstLineChars="0"/>
              <w:rPr>
                <w:rFonts w:hint="eastAsia"/>
                <w:color w:val="auto"/>
                <w:highlight w:val="none"/>
              </w:rPr>
            </w:pPr>
          </w:p>
        </w:tc>
        <w:tc>
          <w:tcPr>
            <w:tcW w:w="1331" w:type="dxa"/>
            <w:noWrap/>
            <w:vAlign w:val="center"/>
          </w:tcPr>
          <w:p>
            <w:pPr>
              <w:ind w:left="0" w:leftChars="0" w:firstLine="0" w:firstLineChars="0"/>
              <w:rPr>
                <w:rFonts w:hint="eastAsia"/>
                <w:color w:val="auto"/>
                <w:highlight w:val="none"/>
              </w:rPr>
            </w:pPr>
            <w:r>
              <w:rPr>
                <w:rFonts w:hint="eastAsia"/>
                <w:color w:val="auto"/>
                <w:highlight w:val="none"/>
              </w:rPr>
              <w:t>技术职称</w:t>
            </w:r>
          </w:p>
        </w:tc>
        <w:tc>
          <w:tcPr>
            <w:tcW w:w="1331" w:type="dxa"/>
            <w:gridSpan w:val="2"/>
            <w:noWrap/>
            <w:vAlign w:val="center"/>
          </w:tcPr>
          <w:p>
            <w:pPr>
              <w:ind w:left="0" w:leftChars="0" w:firstLine="0" w:firstLineChars="0"/>
              <w:rPr>
                <w:rFonts w:hint="eastAsia"/>
                <w:color w:val="auto"/>
                <w:highlight w:val="none"/>
              </w:rPr>
            </w:pPr>
          </w:p>
        </w:tc>
        <w:tc>
          <w:tcPr>
            <w:tcW w:w="1331" w:type="dxa"/>
            <w:noWrap/>
            <w:vAlign w:val="center"/>
          </w:tcPr>
          <w:p>
            <w:pPr>
              <w:ind w:left="0" w:leftChars="0" w:firstLine="0" w:firstLineChars="0"/>
              <w:rPr>
                <w:rFonts w:hint="eastAsia"/>
                <w:color w:val="auto"/>
                <w:highlight w:val="none"/>
              </w:rPr>
            </w:pPr>
            <w:r>
              <w:rPr>
                <w:rFonts w:hint="eastAsia"/>
                <w:color w:val="auto"/>
                <w:highlight w:val="none"/>
              </w:rPr>
              <w:t>电话</w:t>
            </w:r>
          </w:p>
        </w:tc>
        <w:tc>
          <w:tcPr>
            <w:tcW w:w="1331" w:type="dxa"/>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项目总监</w:t>
            </w:r>
          </w:p>
        </w:tc>
        <w:tc>
          <w:tcPr>
            <w:tcW w:w="1107" w:type="dxa"/>
            <w:noWrap/>
            <w:vAlign w:val="center"/>
          </w:tcPr>
          <w:p>
            <w:pPr>
              <w:ind w:left="0" w:leftChars="0" w:firstLine="0" w:firstLineChars="0"/>
              <w:rPr>
                <w:rFonts w:hint="eastAsia"/>
                <w:color w:val="auto"/>
                <w:highlight w:val="none"/>
              </w:rPr>
            </w:pPr>
            <w:r>
              <w:rPr>
                <w:rFonts w:hint="eastAsia"/>
                <w:color w:val="auto"/>
                <w:highlight w:val="none"/>
              </w:rPr>
              <w:t>姓名</w:t>
            </w:r>
          </w:p>
        </w:tc>
        <w:tc>
          <w:tcPr>
            <w:tcW w:w="1330" w:type="dxa"/>
            <w:noWrap/>
            <w:vAlign w:val="center"/>
          </w:tcPr>
          <w:p>
            <w:pPr>
              <w:ind w:left="0" w:leftChars="0" w:firstLine="0" w:firstLineChars="0"/>
              <w:rPr>
                <w:rFonts w:hint="eastAsia"/>
                <w:color w:val="auto"/>
                <w:highlight w:val="none"/>
              </w:rPr>
            </w:pPr>
          </w:p>
        </w:tc>
        <w:tc>
          <w:tcPr>
            <w:tcW w:w="1331" w:type="dxa"/>
            <w:noWrap/>
            <w:vAlign w:val="center"/>
          </w:tcPr>
          <w:p>
            <w:pPr>
              <w:ind w:left="0" w:leftChars="0" w:firstLine="0" w:firstLineChars="0"/>
              <w:rPr>
                <w:rFonts w:hint="eastAsia"/>
                <w:color w:val="auto"/>
                <w:highlight w:val="none"/>
              </w:rPr>
            </w:pPr>
            <w:r>
              <w:rPr>
                <w:rFonts w:hint="eastAsia"/>
                <w:color w:val="auto"/>
                <w:highlight w:val="none"/>
              </w:rPr>
              <w:t>技术职称</w:t>
            </w:r>
          </w:p>
        </w:tc>
        <w:tc>
          <w:tcPr>
            <w:tcW w:w="1331" w:type="dxa"/>
            <w:gridSpan w:val="2"/>
            <w:noWrap/>
            <w:vAlign w:val="center"/>
          </w:tcPr>
          <w:p>
            <w:pPr>
              <w:ind w:left="0" w:leftChars="0" w:firstLine="0" w:firstLineChars="0"/>
              <w:rPr>
                <w:rFonts w:hint="eastAsia"/>
                <w:color w:val="auto"/>
                <w:highlight w:val="none"/>
              </w:rPr>
            </w:pPr>
          </w:p>
        </w:tc>
        <w:tc>
          <w:tcPr>
            <w:tcW w:w="1331" w:type="dxa"/>
            <w:noWrap/>
            <w:vAlign w:val="center"/>
          </w:tcPr>
          <w:p>
            <w:pPr>
              <w:ind w:left="0" w:leftChars="0" w:firstLine="0" w:firstLineChars="0"/>
              <w:rPr>
                <w:rFonts w:hint="eastAsia"/>
                <w:color w:val="auto"/>
                <w:highlight w:val="none"/>
              </w:rPr>
            </w:pPr>
            <w:r>
              <w:rPr>
                <w:rFonts w:hint="eastAsia"/>
                <w:color w:val="auto"/>
                <w:highlight w:val="none"/>
              </w:rPr>
              <w:t>电话</w:t>
            </w:r>
          </w:p>
        </w:tc>
        <w:tc>
          <w:tcPr>
            <w:tcW w:w="1331" w:type="dxa"/>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成立时间</w:t>
            </w:r>
          </w:p>
        </w:tc>
        <w:tc>
          <w:tcPr>
            <w:tcW w:w="3768" w:type="dxa"/>
            <w:gridSpan w:val="3"/>
            <w:noWrap/>
            <w:vAlign w:val="center"/>
          </w:tcPr>
          <w:p>
            <w:pPr>
              <w:ind w:left="0" w:leftChars="0" w:firstLine="0" w:firstLineChars="0"/>
              <w:rPr>
                <w:rFonts w:hint="eastAsia"/>
                <w:color w:val="auto"/>
                <w:highlight w:val="none"/>
              </w:rPr>
            </w:pPr>
          </w:p>
        </w:tc>
        <w:tc>
          <w:tcPr>
            <w:tcW w:w="3993" w:type="dxa"/>
            <w:gridSpan w:val="4"/>
            <w:noWrap/>
            <w:vAlign w:val="center"/>
          </w:tcPr>
          <w:p>
            <w:pPr>
              <w:ind w:left="0" w:leftChars="0" w:firstLine="0" w:firstLineChars="0"/>
              <w:rPr>
                <w:rFonts w:hint="eastAsia"/>
                <w:color w:val="auto"/>
                <w:highlight w:val="none"/>
              </w:rPr>
            </w:pPr>
            <w:r>
              <w:rPr>
                <w:rFonts w:hint="eastAsia"/>
                <w:color w:val="auto"/>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企业资质等级</w:t>
            </w:r>
          </w:p>
        </w:tc>
        <w:tc>
          <w:tcPr>
            <w:tcW w:w="3768" w:type="dxa"/>
            <w:gridSpan w:val="3"/>
            <w:noWrap/>
            <w:vAlign w:val="center"/>
          </w:tcPr>
          <w:p>
            <w:pPr>
              <w:ind w:left="0" w:leftChars="0" w:firstLine="0" w:firstLineChars="0"/>
              <w:rPr>
                <w:rFonts w:hint="eastAsia"/>
                <w:color w:val="auto"/>
                <w:highlight w:val="none"/>
              </w:rPr>
            </w:pPr>
          </w:p>
        </w:tc>
        <w:tc>
          <w:tcPr>
            <w:tcW w:w="1106" w:type="dxa"/>
            <w:vMerge w:val="restart"/>
            <w:noWrap/>
            <w:vAlign w:val="center"/>
          </w:tcPr>
          <w:p>
            <w:pPr>
              <w:ind w:left="0" w:leftChars="0" w:firstLine="0" w:firstLineChars="0"/>
              <w:rPr>
                <w:rFonts w:hint="eastAsia"/>
                <w:color w:val="auto"/>
                <w:highlight w:val="none"/>
              </w:rPr>
            </w:pPr>
            <w:r>
              <w:rPr>
                <w:rFonts w:hint="eastAsia"/>
                <w:color w:val="auto"/>
                <w:highlight w:val="none"/>
              </w:rPr>
              <w:t>其中</w:t>
            </w:r>
          </w:p>
        </w:tc>
        <w:tc>
          <w:tcPr>
            <w:tcW w:w="1556" w:type="dxa"/>
            <w:gridSpan w:val="2"/>
            <w:noWrap/>
            <w:vAlign w:val="center"/>
          </w:tcPr>
          <w:p>
            <w:pPr>
              <w:ind w:left="0" w:leftChars="0" w:firstLine="0" w:firstLineChars="0"/>
              <w:rPr>
                <w:rFonts w:hint="eastAsia"/>
                <w:color w:val="auto"/>
                <w:highlight w:val="none"/>
              </w:rPr>
            </w:pPr>
            <w:r>
              <w:rPr>
                <w:rFonts w:hint="eastAsia"/>
                <w:color w:val="auto"/>
                <w:highlight w:val="none"/>
              </w:rPr>
              <w:t>项目总监</w:t>
            </w:r>
          </w:p>
        </w:tc>
        <w:tc>
          <w:tcPr>
            <w:tcW w:w="1331" w:type="dxa"/>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营业执照号</w:t>
            </w:r>
          </w:p>
        </w:tc>
        <w:tc>
          <w:tcPr>
            <w:tcW w:w="3768" w:type="dxa"/>
            <w:gridSpan w:val="3"/>
            <w:noWrap/>
            <w:vAlign w:val="center"/>
          </w:tcPr>
          <w:p>
            <w:pPr>
              <w:ind w:left="0" w:leftChars="0" w:firstLine="0" w:firstLineChars="0"/>
              <w:rPr>
                <w:rFonts w:hint="eastAsia"/>
                <w:color w:val="auto"/>
                <w:highlight w:val="none"/>
              </w:rPr>
            </w:pPr>
          </w:p>
        </w:tc>
        <w:tc>
          <w:tcPr>
            <w:tcW w:w="1106" w:type="dxa"/>
            <w:vMerge w:val="continue"/>
            <w:noWrap/>
            <w:vAlign w:val="center"/>
          </w:tcPr>
          <w:p>
            <w:pPr>
              <w:ind w:left="0" w:leftChars="0" w:firstLine="0" w:firstLineChars="0"/>
              <w:rPr>
                <w:rFonts w:hint="eastAsia"/>
                <w:color w:val="auto"/>
                <w:highlight w:val="none"/>
              </w:rPr>
            </w:pPr>
          </w:p>
        </w:tc>
        <w:tc>
          <w:tcPr>
            <w:tcW w:w="1556" w:type="dxa"/>
            <w:gridSpan w:val="2"/>
            <w:noWrap/>
            <w:vAlign w:val="center"/>
          </w:tcPr>
          <w:p>
            <w:pPr>
              <w:ind w:left="0" w:leftChars="0" w:firstLine="0" w:firstLineChars="0"/>
              <w:rPr>
                <w:rFonts w:hint="eastAsia"/>
                <w:color w:val="auto"/>
                <w:highlight w:val="none"/>
              </w:rPr>
            </w:pPr>
            <w:r>
              <w:rPr>
                <w:rFonts w:hint="eastAsia"/>
                <w:color w:val="auto"/>
                <w:highlight w:val="none"/>
              </w:rPr>
              <w:t>高级职称人员</w:t>
            </w:r>
          </w:p>
        </w:tc>
        <w:tc>
          <w:tcPr>
            <w:tcW w:w="1331" w:type="dxa"/>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注册资金</w:t>
            </w:r>
          </w:p>
        </w:tc>
        <w:tc>
          <w:tcPr>
            <w:tcW w:w="3768" w:type="dxa"/>
            <w:gridSpan w:val="3"/>
            <w:noWrap/>
            <w:vAlign w:val="center"/>
          </w:tcPr>
          <w:p>
            <w:pPr>
              <w:ind w:left="0" w:leftChars="0" w:firstLine="0" w:firstLineChars="0"/>
              <w:rPr>
                <w:rFonts w:hint="eastAsia"/>
                <w:color w:val="auto"/>
                <w:highlight w:val="none"/>
              </w:rPr>
            </w:pPr>
          </w:p>
        </w:tc>
        <w:tc>
          <w:tcPr>
            <w:tcW w:w="1106" w:type="dxa"/>
            <w:vMerge w:val="continue"/>
            <w:noWrap/>
            <w:vAlign w:val="center"/>
          </w:tcPr>
          <w:p>
            <w:pPr>
              <w:ind w:left="0" w:leftChars="0" w:firstLine="0" w:firstLineChars="0"/>
              <w:rPr>
                <w:rFonts w:hint="eastAsia"/>
                <w:color w:val="auto"/>
                <w:highlight w:val="none"/>
              </w:rPr>
            </w:pPr>
          </w:p>
        </w:tc>
        <w:tc>
          <w:tcPr>
            <w:tcW w:w="1556" w:type="dxa"/>
            <w:gridSpan w:val="2"/>
            <w:noWrap/>
            <w:vAlign w:val="center"/>
          </w:tcPr>
          <w:p>
            <w:pPr>
              <w:ind w:left="0" w:leftChars="0" w:firstLine="0" w:firstLineChars="0"/>
              <w:rPr>
                <w:rFonts w:hint="eastAsia"/>
                <w:color w:val="auto"/>
                <w:highlight w:val="none"/>
              </w:rPr>
            </w:pPr>
            <w:r>
              <w:rPr>
                <w:rFonts w:hint="eastAsia"/>
                <w:color w:val="auto"/>
                <w:highlight w:val="none"/>
              </w:rPr>
              <w:t>中级职称人员</w:t>
            </w:r>
          </w:p>
        </w:tc>
        <w:tc>
          <w:tcPr>
            <w:tcW w:w="1331" w:type="dxa"/>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开户银行</w:t>
            </w:r>
          </w:p>
        </w:tc>
        <w:tc>
          <w:tcPr>
            <w:tcW w:w="3768" w:type="dxa"/>
            <w:gridSpan w:val="3"/>
            <w:noWrap/>
            <w:vAlign w:val="center"/>
          </w:tcPr>
          <w:p>
            <w:pPr>
              <w:ind w:left="0" w:leftChars="0" w:firstLine="0" w:firstLineChars="0"/>
              <w:rPr>
                <w:rFonts w:hint="eastAsia"/>
                <w:color w:val="auto"/>
                <w:highlight w:val="none"/>
              </w:rPr>
            </w:pPr>
          </w:p>
        </w:tc>
        <w:tc>
          <w:tcPr>
            <w:tcW w:w="1106" w:type="dxa"/>
            <w:vMerge w:val="continue"/>
            <w:noWrap/>
            <w:vAlign w:val="center"/>
          </w:tcPr>
          <w:p>
            <w:pPr>
              <w:ind w:left="0" w:leftChars="0" w:firstLine="0" w:firstLineChars="0"/>
              <w:rPr>
                <w:rFonts w:hint="eastAsia"/>
                <w:color w:val="auto"/>
                <w:highlight w:val="none"/>
              </w:rPr>
            </w:pPr>
          </w:p>
        </w:tc>
        <w:tc>
          <w:tcPr>
            <w:tcW w:w="1556" w:type="dxa"/>
            <w:gridSpan w:val="2"/>
            <w:noWrap/>
            <w:vAlign w:val="center"/>
          </w:tcPr>
          <w:p>
            <w:pPr>
              <w:ind w:left="0" w:leftChars="0" w:firstLine="0" w:firstLineChars="0"/>
              <w:rPr>
                <w:rFonts w:hint="eastAsia"/>
                <w:color w:val="auto"/>
                <w:highlight w:val="none"/>
              </w:rPr>
            </w:pPr>
            <w:r>
              <w:rPr>
                <w:rFonts w:hint="eastAsia"/>
                <w:color w:val="auto"/>
                <w:highlight w:val="none"/>
              </w:rPr>
              <w:t>初级职称人员</w:t>
            </w:r>
          </w:p>
        </w:tc>
        <w:tc>
          <w:tcPr>
            <w:tcW w:w="1331" w:type="dxa"/>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账号</w:t>
            </w:r>
          </w:p>
        </w:tc>
        <w:tc>
          <w:tcPr>
            <w:tcW w:w="3768" w:type="dxa"/>
            <w:gridSpan w:val="3"/>
            <w:noWrap/>
            <w:vAlign w:val="center"/>
          </w:tcPr>
          <w:p>
            <w:pPr>
              <w:ind w:left="0" w:leftChars="0" w:firstLine="0" w:firstLineChars="0"/>
              <w:rPr>
                <w:rFonts w:hint="eastAsia"/>
                <w:color w:val="auto"/>
                <w:highlight w:val="none"/>
              </w:rPr>
            </w:pPr>
          </w:p>
        </w:tc>
        <w:tc>
          <w:tcPr>
            <w:tcW w:w="1106" w:type="dxa"/>
            <w:vMerge w:val="continue"/>
            <w:noWrap/>
            <w:vAlign w:val="center"/>
          </w:tcPr>
          <w:p>
            <w:pPr>
              <w:ind w:left="0" w:leftChars="0" w:firstLine="0" w:firstLineChars="0"/>
              <w:rPr>
                <w:rFonts w:hint="eastAsia"/>
                <w:color w:val="auto"/>
                <w:highlight w:val="none"/>
              </w:rPr>
            </w:pPr>
          </w:p>
        </w:tc>
        <w:tc>
          <w:tcPr>
            <w:tcW w:w="1556" w:type="dxa"/>
            <w:gridSpan w:val="2"/>
            <w:noWrap/>
            <w:vAlign w:val="center"/>
          </w:tcPr>
          <w:p>
            <w:pPr>
              <w:ind w:left="0" w:leftChars="0" w:firstLine="0" w:firstLineChars="0"/>
              <w:rPr>
                <w:rFonts w:hint="eastAsia"/>
                <w:color w:val="auto"/>
                <w:highlight w:val="none"/>
              </w:rPr>
            </w:pPr>
            <w:r>
              <w:rPr>
                <w:rFonts w:hint="eastAsia"/>
                <w:color w:val="auto"/>
                <w:highlight w:val="none"/>
              </w:rPr>
              <w:t>技工</w:t>
            </w:r>
          </w:p>
        </w:tc>
        <w:tc>
          <w:tcPr>
            <w:tcW w:w="1331" w:type="dxa"/>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1"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经营范围</w:t>
            </w:r>
          </w:p>
        </w:tc>
        <w:tc>
          <w:tcPr>
            <w:tcW w:w="7761" w:type="dxa"/>
            <w:gridSpan w:val="7"/>
            <w:noWrap/>
            <w:vAlign w:val="center"/>
          </w:tcPr>
          <w:p>
            <w:pPr>
              <w:ind w:left="0" w:leftChars="0" w:firstLine="0" w:firstLineChars="0"/>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noWrap/>
            <w:vAlign w:val="center"/>
          </w:tcPr>
          <w:p>
            <w:pPr>
              <w:ind w:left="0" w:leftChars="0" w:firstLine="0" w:firstLineChars="0"/>
              <w:rPr>
                <w:rFonts w:hint="eastAsia"/>
                <w:color w:val="auto"/>
                <w:highlight w:val="none"/>
              </w:rPr>
            </w:pPr>
            <w:r>
              <w:rPr>
                <w:rFonts w:hint="eastAsia"/>
                <w:color w:val="auto"/>
                <w:highlight w:val="none"/>
              </w:rPr>
              <w:t>备注</w:t>
            </w:r>
          </w:p>
        </w:tc>
        <w:tc>
          <w:tcPr>
            <w:tcW w:w="7761" w:type="dxa"/>
            <w:gridSpan w:val="7"/>
            <w:noWrap/>
            <w:vAlign w:val="center"/>
          </w:tcPr>
          <w:p>
            <w:pPr>
              <w:ind w:left="0" w:leftChars="0" w:firstLine="0" w:firstLineChars="0"/>
              <w:rPr>
                <w:rFonts w:hint="eastAsia"/>
                <w:color w:val="auto"/>
                <w:highlight w:val="none"/>
              </w:rPr>
            </w:pPr>
          </w:p>
        </w:tc>
      </w:tr>
    </w:tbl>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bookmarkStart w:id="419" w:name="_Toc26612"/>
      <w:bookmarkStart w:id="420" w:name="_Toc500865943"/>
      <w:bookmarkStart w:id="421" w:name="_Toc536525021"/>
      <w:bookmarkStart w:id="422" w:name="_Toc511890187"/>
      <w:bookmarkStart w:id="423" w:name="_Toc500864553"/>
    </w:p>
    <w:p>
      <w:pPr>
        <w:rPr>
          <w:color w:val="auto"/>
          <w:highlight w:val="none"/>
        </w:rPr>
      </w:pPr>
      <w:bookmarkStart w:id="424" w:name="_Toc24804"/>
      <w:r>
        <w:rPr>
          <w:rFonts w:hint="eastAsia"/>
          <w:color w:val="auto"/>
          <w:highlight w:val="none"/>
        </w:rPr>
        <w:t>（二）近年财务状况表</w:t>
      </w:r>
      <w:bookmarkEnd w:id="419"/>
      <w:bookmarkEnd w:id="420"/>
      <w:bookmarkEnd w:id="421"/>
      <w:bookmarkEnd w:id="422"/>
      <w:bookmarkEnd w:id="423"/>
      <w:bookmarkEnd w:id="424"/>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rFonts w:hint="eastAsia"/>
          <w:color w:val="auto"/>
          <w:highlight w:val="none"/>
        </w:rPr>
      </w:pPr>
      <w:bookmarkStart w:id="425" w:name="_Toc436741213"/>
      <w:bookmarkStart w:id="426" w:name="_Toc227474197"/>
      <w:bookmarkStart w:id="427" w:name="_Toc536525023"/>
      <w:bookmarkStart w:id="428" w:name="_Toc511890189"/>
      <w:r>
        <w:rPr>
          <w:rFonts w:hint="eastAsia"/>
          <w:color w:val="auto"/>
          <w:highlight w:val="none"/>
        </w:rPr>
        <w:t>（三）类似业绩</w:t>
      </w:r>
      <w:bookmarkEnd w:id="425"/>
      <w:bookmarkEnd w:id="426"/>
      <w:bookmarkEnd w:id="427"/>
      <w:bookmarkEnd w:id="428"/>
    </w:p>
    <w:p>
      <w:pPr>
        <w:pStyle w:val="23"/>
        <w:ind w:firstLine="210"/>
        <w:rPr>
          <w:color w:val="auto"/>
          <w:highlight w:val="none"/>
        </w:rPr>
      </w:pPr>
    </w:p>
    <w:p>
      <w:pPr>
        <w:pStyle w:val="24"/>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rFonts w:hint="eastAsia"/>
          <w:color w:val="auto"/>
          <w:highlight w:val="none"/>
        </w:rPr>
      </w:pPr>
      <w:bookmarkStart w:id="429" w:name="_Toc536525024"/>
      <w:bookmarkStart w:id="430" w:name="_Toc511890190"/>
      <w:r>
        <w:rPr>
          <w:rFonts w:hint="eastAsia"/>
          <w:color w:val="auto"/>
          <w:highlight w:val="none"/>
        </w:rPr>
        <w:t>（四）近年发生的诉讼及仲裁情况</w:t>
      </w:r>
      <w:bookmarkEnd w:id="429"/>
      <w:bookmarkEnd w:id="430"/>
    </w:p>
    <w:p>
      <w:pPr>
        <w:rPr>
          <w:color w:val="auto"/>
          <w:highlight w:val="none"/>
        </w:rPr>
      </w:pPr>
    </w:p>
    <w:p>
      <w:pPr>
        <w:rPr>
          <w:rFonts w:ascii="宋体" w:hAnsi="宋体"/>
          <w:color w:val="auto"/>
          <w:highlight w:val="none"/>
        </w:rPr>
      </w:pPr>
      <w:r>
        <w:rPr>
          <w:rFonts w:hint="eastAsia"/>
          <w:color w:val="auto"/>
          <w:highlight w:val="none"/>
        </w:rPr>
        <w:t>说明：近年发生的诉讼和仲裁情况仅限于投标人败诉的，且与履行监理合同有关的案件，不包括调解结案以及未裁决的仲裁或未终审判决的诉讼。</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3"/>
        <w:numPr>
          <w:ilvl w:val="1"/>
          <w:numId w:val="0"/>
        </w:numPr>
        <w:ind w:firstLine="420" w:firstLineChars="0"/>
        <w:rPr>
          <w:rFonts w:hint="eastAsia"/>
          <w:color w:val="auto"/>
          <w:highlight w:val="none"/>
        </w:rPr>
      </w:pPr>
      <w:bookmarkStart w:id="431" w:name="_Toc536525025"/>
    </w:p>
    <w:p>
      <w:pPr>
        <w:rPr>
          <w:rFonts w:hint="eastAsia"/>
          <w:color w:val="auto"/>
          <w:highlight w:val="none"/>
        </w:rPr>
      </w:pPr>
    </w:p>
    <w:p>
      <w:pPr>
        <w:pStyle w:val="3"/>
        <w:numPr>
          <w:ilvl w:val="1"/>
          <w:numId w:val="0"/>
        </w:numPr>
        <w:ind w:firstLine="420" w:firstLineChars="0"/>
        <w:rPr>
          <w:color w:val="auto"/>
          <w:highlight w:val="none"/>
        </w:rPr>
      </w:pPr>
      <w:r>
        <w:rPr>
          <w:rFonts w:hint="eastAsia"/>
          <w:color w:val="auto"/>
          <w:highlight w:val="none"/>
        </w:rPr>
        <w:t>九、其它资料</w:t>
      </w:r>
      <w:bookmarkEnd w:id="431"/>
    </w:p>
    <w:p>
      <w:pPr>
        <w:rPr>
          <w:color w:val="auto"/>
          <w:highlight w:val="none"/>
        </w:rPr>
      </w:pPr>
      <w:r>
        <w:rPr>
          <w:rFonts w:hint="eastAsia"/>
          <w:color w:val="auto"/>
          <w:highlight w:val="none"/>
        </w:rPr>
        <w:t>9.1无行贿犯罪承诺函</w:t>
      </w:r>
    </w:p>
    <w:p>
      <w:pPr>
        <w:pStyle w:val="21"/>
        <w:rPr>
          <w:color w:val="auto"/>
          <w:highlight w:val="none"/>
        </w:rPr>
      </w:pPr>
    </w:p>
    <w:p>
      <w:pPr>
        <w:pStyle w:val="21"/>
        <w:rPr>
          <w:color w:val="auto"/>
          <w:highlight w:val="none"/>
        </w:rPr>
      </w:pPr>
      <w:r>
        <w:rPr>
          <w:rFonts w:hint="eastAsia"/>
          <w:color w:val="auto"/>
          <w:highlight w:val="none"/>
        </w:rPr>
        <w:t>致：</w:t>
      </w:r>
      <w:r>
        <w:rPr>
          <w:rFonts w:hint="eastAsia"/>
          <w:color w:val="auto"/>
          <w:highlight w:val="none"/>
          <w:u w:val="single"/>
        </w:rPr>
        <w:t xml:space="preserve">                   </w:t>
      </w:r>
      <w:r>
        <w:rPr>
          <w:rFonts w:hint="eastAsia"/>
          <w:color w:val="auto"/>
          <w:highlight w:val="none"/>
        </w:rPr>
        <w:t xml:space="preserve"> （招标人名称）：</w:t>
      </w:r>
    </w:p>
    <w:p>
      <w:pPr>
        <w:pStyle w:val="21"/>
        <w:rPr>
          <w:color w:val="auto"/>
          <w:highlight w:val="none"/>
        </w:rPr>
      </w:pPr>
    </w:p>
    <w:p>
      <w:pPr>
        <w:pStyle w:val="21"/>
        <w:rPr>
          <w:color w:val="auto"/>
          <w:highlight w:val="none"/>
        </w:rPr>
      </w:pPr>
      <w:r>
        <w:rPr>
          <w:rFonts w:hint="eastAsia"/>
          <w:color w:val="auto"/>
          <w:highlight w:val="none"/>
        </w:rPr>
        <w:t>我方在此承诺，我方在</w:t>
      </w:r>
      <w:r>
        <w:rPr>
          <w:rFonts w:hint="eastAsia"/>
          <w:color w:val="auto"/>
          <w:highlight w:val="none"/>
          <w:u w:val="single"/>
        </w:rPr>
        <w:t xml:space="preserve">            </w:t>
      </w:r>
      <w:r>
        <w:rPr>
          <w:rFonts w:hint="eastAsia"/>
          <w:color w:val="auto"/>
          <w:highlight w:val="none"/>
        </w:rPr>
        <w:t>（项目名称</w:t>
      </w:r>
      <w:r>
        <w:rPr>
          <w:rFonts w:hint="eastAsia"/>
          <w:color w:val="auto"/>
          <w:highlight w:val="none"/>
          <w:lang w:val="en-US" w:eastAsia="zh-CN"/>
        </w:rPr>
        <w:t>及标段</w:t>
      </w:r>
      <w:r>
        <w:rPr>
          <w:rFonts w:hint="eastAsia"/>
          <w:color w:val="auto"/>
          <w:highlight w:val="none"/>
        </w:rPr>
        <w:t>）招投标过程中所涉及的包括法人、法定代表人、拟派项目总监、委托代理人均无行贿犯罪记录。</w:t>
      </w:r>
    </w:p>
    <w:p>
      <w:pPr>
        <w:pStyle w:val="21"/>
        <w:rPr>
          <w:color w:val="auto"/>
          <w:highlight w:val="none"/>
        </w:rPr>
      </w:pPr>
    </w:p>
    <w:p>
      <w:pPr>
        <w:pStyle w:val="21"/>
        <w:rPr>
          <w:color w:val="auto"/>
          <w:highlight w:val="none"/>
        </w:rPr>
      </w:pPr>
      <w:r>
        <w:rPr>
          <w:rFonts w:hint="eastAsia"/>
          <w:color w:val="auto"/>
          <w:highlight w:val="none"/>
        </w:rPr>
        <w:t>我方保证上述信息的真实和准确，并愿意承担因我方就此弄虚作假所引起的一切法律后果。</w:t>
      </w:r>
    </w:p>
    <w:p>
      <w:pPr>
        <w:pStyle w:val="21"/>
        <w:rPr>
          <w:color w:val="auto"/>
          <w:highlight w:val="none"/>
        </w:rPr>
      </w:pPr>
    </w:p>
    <w:p>
      <w:pPr>
        <w:pStyle w:val="21"/>
        <w:rPr>
          <w:color w:val="auto"/>
          <w:highlight w:val="none"/>
        </w:rPr>
      </w:pPr>
      <w:r>
        <w:rPr>
          <w:rFonts w:hint="eastAsia"/>
          <w:color w:val="auto"/>
          <w:highlight w:val="none"/>
        </w:rPr>
        <w:t>特此承诺！</w:t>
      </w:r>
    </w:p>
    <w:p>
      <w:pPr>
        <w:pStyle w:val="21"/>
        <w:rPr>
          <w:color w:val="auto"/>
          <w:highlight w:val="none"/>
        </w:rPr>
      </w:pPr>
    </w:p>
    <w:p>
      <w:pPr>
        <w:pStyle w:val="21"/>
        <w:rPr>
          <w:color w:val="auto"/>
          <w:highlight w:val="none"/>
        </w:rPr>
      </w:pPr>
      <w:r>
        <w:rPr>
          <w:rFonts w:hint="eastAsia"/>
          <w:color w:val="auto"/>
          <w:highlight w:val="none"/>
        </w:rPr>
        <w:t>投标人：</w:t>
      </w:r>
      <w:r>
        <w:rPr>
          <w:rFonts w:hint="eastAsia"/>
          <w:color w:val="auto"/>
          <w:highlight w:val="none"/>
          <w:u w:val="single"/>
        </w:rPr>
        <w:t xml:space="preserve">                   </w:t>
      </w:r>
      <w:r>
        <w:rPr>
          <w:rFonts w:hint="eastAsia"/>
          <w:color w:val="auto"/>
          <w:highlight w:val="none"/>
        </w:rPr>
        <w:t>（盖单位章）</w:t>
      </w:r>
    </w:p>
    <w:p>
      <w:pPr>
        <w:pStyle w:val="21"/>
        <w:rPr>
          <w:color w:val="auto"/>
          <w:highlight w:val="none"/>
        </w:rPr>
      </w:pPr>
    </w:p>
    <w:p>
      <w:pPr>
        <w:pStyle w:val="21"/>
        <w:rPr>
          <w:color w:val="auto"/>
          <w:highlight w:val="none"/>
        </w:rPr>
      </w:pPr>
      <w:r>
        <w:rPr>
          <w:rFonts w:hint="eastAsia"/>
          <w:color w:val="auto"/>
          <w:highlight w:val="none"/>
        </w:rPr>
        <w:t>法定代表人或授权委托人：</w:t>
      </w:r>
      <w:r>
        <w:rPr>
          <w:rFonts w:hint="eastAsia"/>
          <w:color w:val="auto"/>
          <w:highlight w:val="none"/>
          <w:u w:val="single"/>
        </w:rPr>
        <w:t xml:space="preserve">              </w:t>
      </w:r>
      <w:r>
        <w:rPr>
          <w:rFonts w:hint="eastAsia"/>
          <w:color w:val="auto"/>
          <w:highlight w:val="none"/>
        </w:rPr>
        <w:t>（签字或盖章）</w:t>
      </w:r>
    </w:p>
    <w:p>
      <w:pPr>
        <w:pStyle w:val="21"/>
        <w:rPr>
          <w:color w:val="auto"/>
          <w:highlight w:val="none"/>
        </w:rPr>
      </w:pPr>
    </w:p>
    <w:p>
      <w:pPr>
        <w:rPr>
          <w:color w:val="auto"/>
          <w:highlight w:val="none"/>
        </w:rPr>
      </w:pPr>
      <w:r>
        <w:rPr>
          <w:rFonts w:hint="eastAsia"/>
          <w:color w:val="auto"/>
          <w:highlight w:val="none"/>
        </w:rPr>
        <w:t>日期：     年     月     日</w:t>
      </w:r>
    </w:p>
    <w:p>
      <w:pPr>
        <w:rPr>
          <w:color w:val="auto"/>
          <w:highlight w:val="none"/>
        </w:rPr>
      </w:pPr>
      <w:bookmarkStart w:id="432" w:name="_Toc436741216"/>
      <w:bookmarkStart w:id="433" w:name="_Toc511890193"/>
    </w:p>
    <w:p>
      <w:pPr>
        <w:rPr>
          <w:color w:val="auto"/>
          <w:highlight w:val="none"/>
        </w:rPr>
      </w:pPr>
    </w:p>
    <w:p>
      <w:pPr>
        <w:rPr>
          <w:color w:val="auto"/>
          <w:highlight w:val="none"/>
        </w:rPr>
      </w:pPr>
      <w:r>
        <w:rPr>
          <w:rFonts w:hint="eastAsia"/>
          <w:color w:val="auto"/>
          <w:highlight w:val="none"/>
        </w:rPr>
        <w:t>9.2投标人根据招标文件规定认为有必要提供的其他证明资料</w:t>
      </w:r>
      <w:bookmarkEnd w:id="432"/>
      <w:bookmarkEnd w:id="433"/>
    </w:p>
    <w:p>
      <w:pPr>
        <w:rPr>
          <w:color w:val="auto"/>
          <w:highlight w:val="none"/>
        </w:rPr>
      </w:pPr>
    </w:p>
    <w:p>
      <w:pPr>
        <w:rPr>
          <w:color w:val="auto"/>
          <w:highlight w:val="none"/>
        </w:rPr>
      </w:pPr>
    </w:p>
    <w:p>
      <w:pPr>
        <w:rPr>
          <w:color w:val="auto"/>
          <w:highlight w:val="none"/>
        </w:rPr>
      </w:pPr>
    </w:p>
    <w:p>
      <w:pPr>
        <w:rPr>
          <w:color w:val="auto"/>
          <w:highlight w:val="none"/>
        </w:rPr>
      </w:pPr>
    </w:p>
    <w:sectPr>
      <w:headerReference r:id="rId10" w:type="first"/>
      <w:footerReference r:id="rId13" w:type="first"/>
      <w:headerReference r:id="rId8" w:type="default"/>
      <w:footerReference r:id="rId11" w:type="default"/>
      <w:headerReference r:id="rId9" w:type="even"/>
      <w:footerReference r:id="rId12" w:type="even"/>
      <w:pgSz w:w="11906" w:h="16838"/>
      <w:pgMar w:top="1474" w:right="1418" w:bottom="1474" w:left="1418" w:header="851" w:footer="992" w:gutter="0"/>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pict>
        <v:shape id="_x0000_s1031" o:spid="_x0000_s1031"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kSrbzIAQAAmQMAAA4AAAAAAAAAAQAgAAAAHgEAAGRycy9lMm9Eb2Mu&#10;eG1sUEsFBgAAAAAGAAYAWQEAAFgFAAAAAA==&#10;">
          <v:path/>
          <v:fill on="f" focussize="0,0"/>
          <v:stroke on="f" joinstyle="miter"/>
          <v:imagedata o:title=""/>
          <o:lock v:ext="edit"/>
          <v:textbox inset="0mm,0mm,0mm,0mm" style="mso-fit-shape-to-text:t;">
            <w:txbxContent>
              <w:p>
                <w:pPr>
                  <w:pStyle w:val="14"/>
                </w:pPr>
                <w:r>
                  <w:fldChar w:fldCharType="begin"/>
                </w:r>
                <w:r>
                  <w:instrText xml:space="preserve"> PAGE  \* MERGEFORMAT </w:instrText>
                </w:r>
                <w:r>
                  <w:fldChar w:fldCharType="separate"/>
                </w:r>
                <w:r>
                  <w:t>5</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u w:val="single"/>
      </w:rPr>
    </w:pPr>
    <w:r>
      <w:pict>
        <v:shape id="_x0000_s1025" o:spid="_x0000_s1025"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8vckBAACZ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W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7/ry9yQEAAJkDAAAOAAAAAAAAAAEAIAAAAB4BAABkcnMvZTJvRG9j&#10;LnhtbFBLBQYAAAAABgAGAFkBAABZBQAAAAA=&#10;">
          <v:path/>
          <v:fill on="f" focussize="0,0"/>
          <v:stroke on="f" joinstyle="miter"/>
          <v:imagedata o:title=""/>
          <o:lock v:ext="edit"/>
          <v:textbox inset="0mm,0mm,0mm,0mm" style="mso-fit-shape-to-text:t;">
            <w:txbxContent>
              <w:p>
                <w:pPr>
                  <w:pStyle w:val="14"/>
                </w:pPr>
                <w:r>
                  <w:fldChar w:fldCharType="begin"/>
                </w:r>
                <w:r>
                  <w:instrText xml:space="preserve"> PAGE  \* MERGEFORMAT </w:instrText>
                </w:r>
                <w:r>
                  <w:fldChar w:fldCharType="separate"/>
                </w:r>
                <w:r>
                  <w:t>66</w:t>
                </w:r>
                <w:r>
                  <w:fldChar w:fldCharType="end"/>
                </w:r>
              </w:p>
            </w:txbxContent>
          </v:textbox>
        </v:shape>
      </w:pict>
    </w:r>
  </w:p>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Style w:val="29"/>
      </w:rPr>
    </w:pPr>
    <w:r>
      <w:fldChar w:fldCharType="begin"/>
    </w:r>
    <w:r>
      <w:rPr>
        <w:rStyle w:val="29"/>
      </w:rPr>
      <w:instrText xml:space="preserve">PAGE  </w:instrText>
    </w:r>
    <w:r>
      <w:fldChar w:fldCharType="end"/>
    </w:r>
  </w:p>
  <w:p>
    <w:pPr>
      <w:pStyle w:val="14"/>
    </w:pPr>
  </w:p>
  <w:p/>
  <w:p/>
  <w:p/>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tUFNgyQEAAJkDAAAOAAAAAAAAAAEAIAAAAB4BAABkcnMvZTJvRG9j&#10;LnhtbFBLBQYAAAAABgAGAFkBAABZBQAAAAA=&#10;">
          <v:path/>
          <v:fill on="f" focussize="0,0"/>
          <v:stroke on="f" joinstyle="miter"/>
          <v:imagedata o:title=""/>
          <o:lock v:ext="edit"/>
          <v:textbox inset="0mm,0mm,0mm,0mm" style="mso-fit-shape-to-text:t;">
            <w:txbxContent>
              <w:p>
                <w:pPr>
                  <w:pStyle w:val="14"/>
                </w:pPr>
                <w:r>
                  <w:fldChar w:fldCharType="begin"/>
                </w:r>
                <w:r>
                  <w:instrText xml:space="preserve"> PAGE  \* MERGEFORMAT </w:instrText>
                </w:r>
                <w:r>
                  <w:fldChar w:fldCharType="separate"/>
                </w:r>
                <w:r>
                  <w:t>25</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
  <w:p/>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778F6"/>
    <w:multiLevelType w:val="multilevel"/>
    <w:tmpl w:val="535778F6"/>
    <w:lvl w:ilvl="0" w:tentative="0">
      <w:start w:val="1"/>
      <w:numFmt w:val="chineseCountingThousand"/>
      <w:suff w:val="nothing"/>
      <w:lvlText w:val="%1、"/>
      <w:lvlJc w:val="left"/>
      <w:rPr>
        <w:rFonts w:hint="eastAsia"/>
        <w:b/>
        <w:i w:val="0"/>
        <w:sz w:val="24"/>
      </w:rPr>
    </w:lvl>
    <w:lvl w:ilvl="1" w:tentative="0">
      <w:start w:val="1"/>
      <w:numFmt w:val="decimal"/>
      <w:pStyle w:val="3"/>
      <w:suff w:val="nothing"/>
      <w:lvlText w:val="%2. "/>
      <w:lvlJc w:val="left"/>
      <w:rPr>
        <w:rFonts w:hint="eastAsia"/>
        <w:b w:val="0"/>
        <w:i w:val="0"/>
        <w:sz w:val="24"/>
      </w:rPr>
    </w:lvl>
    <w:lvl w:ilvl="2" w:tentative="0">
      <w:start w:val="1"/>
      <w:numFmt w:val="none"/>
      <w:pStyle w:val="4"/>
      <w:suff w:val="nothing"/>
      <w:lvlText w:val=""/>
      <w:lvlJc w:val="left"/>
      <w:rPr>
        <w:rFonts w:hint="eastAsia"/>
      </w:rPr>
    </w:lvl>
    <w:lvl w:ilvl="3" w:tentative="0">
      <w:start w:val="1"/>
      <w:numFmt w:val="none"/>
      <w:suff w:val="nothing"/>
      <w:lvlText w:val=""/>
      <w:lvlJc w:val="left"/>
      <w:rPr>
        <w:rFonts w:hint="eastAsia"/>
      </w:rPr>
    </w:lvl>
    <w:lvl w:ilvl="4" w:tentative="0">
      <w:start w:val="1"/>
      <w:numFmt w:val="none"/>
      <w:suff w:val="nothing"/>
      <w:lvlText w:val=""/>
      <w:lvlJc w:val="left"/>
      <w:rPr>
        <w:rFonts w:hint="eastAsia"/>
      </w:rPr>
    </w:lvl>
    <w:lvl w:ilvl="5" w:tentative="0">
      <w:start w:val="1"/>
      <w:numFmt w:val="none"/>
      <w:suff w:val="nothing"/>
      <w:lvlText w:val=""/>
      <w:lvlJc w:val="left"/>
      <w:rPr>
        <w:rFonts w:hint="eastAsia"/>
      </w:rPr>
    </w:lvl>
    <w:lvl w:ilvl="6" w:tentative="0">
      <w:start w:val="1"/>
      <w:numFmt w:val="none"/>
      <w:suff w:val="nothing"/>
      <w:lvlText w:val=""/>
      <w:lvlJc w:val="left"/>
      <w:rPr>
        <w:rFonts w:hint="eastAsia"/>
      </w:rPr>
    </w:lvl>
    <w:lvl w:ilvl="7" w:tentative="0">
      <w:start w:val="1"/>
      <w:numFmt w:val="none"/>
      <w:suff w:val="nothing"/>
      <w:lvlText w:val=""/>
      <w:lvlJc w:val="left"/>
      <w:rPr>
        <w:rFonts w:hint="eastAsia"/>
      </w:rPr>
    </w:lvl>
    <w:lvl w:ilvl="8" w:tentative="0">
      <w:start w:val="1"/>
      <w:numFmt w:val="none"/>
      <w:suff w:val="nothing"/>
      <w:lvlText w:val=""/>
      <w:lvlJc w:val="left"/>
      <w:rPr>
        <w:rFonts w:hint="eastAsia"/>
      </w:rPr>
    </w:lvl>
  </w:abstractNum>
  <w:abstractNum w:abstractNumId="1">
    <w:nsid w:val="544CC14F"/>
    <w:multiLevelType w:val="singleLevel"/>
    <w:tmpl w:val="544CC14F"/>
    <w:lvl w:ilvl="0" w:tentative="0">
      <w:start w:val="2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JmY2U0OGQ3YzM1YzUzNDUzMjNjZTkxYWIyYTcwMWUifQ=="/>
  </w:docVars>
  <w:rsids>
    <w:rsidRoot w:val="4FB62696"/>
    <w:rsid w:val="000034C0"/>
    <w:rsid w:val="00006EE8"/>
    <w:rsid w:val="00035AAA"/>
    <w:rsid w:val="000519DC"/>
    <w:rsid w:val="00061426"/>
    <w:rsid w:val="00064DCF"/>
    <w:rsid w:val="00082777"/>
    <w:rsid w:val="00094C9F"/>
    <w:rsid w:val="0009733E"/>
    <w:rsid w:val="000C2E89"/>
    <w:rsid w:val="000C63A1"/>
    <w:rsid w:val="000C7EDC"/>
    <w:rsid w:val="000E50CD"/>
    <w:rsid w:val="00103DB7"/>
    <w:rsid w:val="0010760E"/>
    <w:rsid w:val="00123D08"/>
    <w:rsid w:val="00125861"/>
    <w:rsid w:val="00127905"/>
    <w:rsid w:val="00134634"/>
    <w:rsid w:val="00140772"/>
    <w:rsid w:val="0014346B"/>
    <w:rsid w:val="00143913"/>
    <w:rsid w:val="00157C8F"/>
    <w:rsid w:val="00165B24"/>
    <w:rsid w:val="00171299"/>
    <w:rsid w:val="001753F8"/>
    <w:rsid w:val="001773DF"/>
    <w:rsid w:val="001A61BD"/>
    <w:rsid w:val="001B6DDA"/>
    <w:rsid w:val="00206F44"/>
    <w:rsid w:val="00211C71"/>
    <w:rsid w:val="0022235A"/>
    <w:rsid w:val="0022456D"/>
    <w:rsid w:val="00225AE5"/>
    <w:rsid w:val="00227E5E"/>
    <w:rsid w:val="00237EF1"/>
    <w:rsid w:val="00246665"/>
    <w:rsid w:val="00254BD0"/>
    <w:rsid w:val="002572EE"/>
    <w:rsid w:val="0027043C"/>
    <w:rsid w:val="00275F3C"/>
    <w:rsid w:val="002966FC"/>
    <w:rsid w:val="002A1AF7"/>
    <w:rsid w:val="002A2526"/>
    <w:rsid w:val="002A75F6"/>
    <w:rsid w:val="002A7E1A"/>
    <w:rsid w:val="002C011E"/>
    <w:rsid w:val="002C0B6E"/>
    <w:rsid w:val="002C7A4A"/>
    <w:rsid w:val="002D45FD"/>
    <w:rsid w:val="002E1FA5"/>
    <w:rsid w:val="002E3826"/>
    <w:rsid w:val="002F5089"/>
    <w:rsid w:val="002F7875"/>
    <w:rsid w:val="00322A87"/>
    <w:rsid w:val="00341F78"/>
    <w:rsid w:val="00354D3C"/>
    <w:rsid w:val="0036389A"/>
    <w:rsid w:val="00364C5F"/>
    <w:rsid w:val="00367F67"/>
    <w:rsid w:val="00372814"/>
    <w:rsid w:val="003760A7"/>
    <w:rsid w:val="003941A8"/>
    <w:rsid w:val="003A20D0"/>
    <w:rsid w:val="003A5CF9"/>
    <w:rsid w:val="003B2F47"/>
    <w:rsid w:val="003D4DC1"/>
    <w:rsid w:val="004117F5"/>
    <w:rsid w:val="00431255"/>
    <w:rsid w:val="004333E7"/>
    <w:rsid w:val="00435206"/>
    <w:rsid w:val="00451660"/>
    <w:rsid w:val="00475480"/>
    <w:rsid w:val="00481BEC"/>
    <w:rsid w:val="004A5A20"/>
    <w:rsid w:val="004C2D06"/>
    <w:rsid w:val="004D5BBF"/>
    <w:rsid w:val="004E268A"/>
    <w:rsid w:val="004E3D3A"/>
    <w:rsid w:val="004F26C9"/>
    <w:rsid w:val="00516BD9"/>
    <w:rsid w:val="00522252"/>
    <w:rsid w:val="00531C03"/>
    <w:rsid w:val="00532846"/>
    <w:rsid w:val="0053766C"/>
    <w:rsid w:val="0054565B"/>
    <w:rsid w:val="005558BE"/>
    <w:rsid w:val="005562D2"/>
    <w:rsid w:val="00576F2B"/>
    <w:rsid w:val="00580BFA"/>
    <w:rsid w:val="005836DC"/>
    <w:rsid w:val="005A196C"/>
    <w:rsid w:val="005A75E8"/>
    <w:rsid w:val="005E2988"/>
    <w:rsid w:val="005E54F0"/>
    <w:rsid w:val="006065CC"/>
    <w:rsid w:val="00610FC0"/>
    <w:rsid w:val="00642917"/>
    <w:rsid w:val="00690CC3"/>
    <w:rsid w:val="006A710D"/>
    <w:rsid w:val="006C07E9"/>
    <w:rsid w:val="006C6EA3"/>
    <w:rsid w:val="006E123C"/>
    <w:rsid w:val="006E47D5"/>
    <w:rsid w:val="006F274C"/>
    <w:rsid w:val="006F5B59"/>
    <w:rsid w:val="007141A9"/>
    <w:rsid w:val="0071599B"/>
    <w:rsid w:val="0074400A"/>
    <w:rsid w:val="007650EA"/>
    <w:rsid w:val="00772C09"/>
    <w:rsid w:val="00772F3C"/>
    <w:rsid w:val="007A2133"/>
    <w:rsid w:val="007C1364"/>
    <w:rsid w:val="007D228A"/>
    <w:rsid w:val="007E7F78"/>
    <w:rsid w:val="007F1EA5"/>
    <w:rsid w:val="00814795"/>
    <w:rsid w:val="0081530C"/>
    <w:rsid w:val="008156A4"/>
    <w:rsid w:val="00820432"/>
    <w:rsid w:val="0082185F"/>
    <w:rsid w:val="008249C7"/>
    <w:rsid w:val="0082746F"/>
    <w:rsid w:val="00840103"/>
    <w:rsid w:val="00845C5A"/>
    <w:rsid w:val="008473E6"/>
    <w:rsid w:val="008534F7"/>
    <w:rsid w:val="00854EDE"/>
    <w:rsid w:val="00866C8B"/>
    <w:rsid w:val="008703BF"/>
    <w:rsid w:val="00872300"/>
    <w:rsid w:val="00874A7A"/>
    <w:rsid w:val="00892F8B"/>
    <w:rsid w:val="008C209D"/>
    <w:rsid w:val="008D4525"/>
    <w:rsid w:val="008D75AE"/>
    <w:rsid w:val="008E5864"/>
    <w:rsid w:val="008E7890"/>
    <w:rsid w:val="00902F97"/>
    <w:rsid w:val="00921017"/>
    <w:rsid w:val="009248CB"/>
    <w:rsid w:val="009250EE"/>
    <w:rsid w:val="00927BEC"/>
    <w:rsid w:val="00931642"/>
    <w:rsid w:val="00944DFE"/>
    <w:rsid w:val="009609C9"/>
    <w:rsid w:val="00962B97"/>
    <w:rsid w:val="00965ABF"/>
    <w:rsid w:val="00966AD0"/>
    <w:rsid w:val="009909DA"/>
    <w:rsid w:val="00997082"/>
    <w:rsid w:val="009A00B1"/>
    <w:rsid w:val="009A5F10"/>
    <w:rsid w:val="009B00EA"/>
    <w:rsid w:val="009B5795"/>
    <w:rsid w:val="009B5DEE"/>
    <w:rsid w:val="009C6858"/>
    <w:rsid w:val="009D1C60"/>
    <w:rsid w:val="009D2DEF"/>
    <w:rsid w:val="009E0C7D"/>
    <w:rsid w:val="009E22A1"/>
    <w:rsid w:val="009E2638"/>
    <w:rsid w:val="00A028E7"/>
    <w:rsid w:val="00A10910"/>
    <w:rsid w:val="00A10B3E"/>
    <w:rsid w:val="00A139CE"/>
    <w:rsid w:val="00A24A1C"/>
    <w:rsid w:val="00A515FA"/>
    <w:rsid w:val="00A53069"/>
    <w:rsid w:val="00A65C6F"/>
    <w:rsid w:val="00A66677"/>
    <w:rsid w:val="00AA1EDE"/>
    <w:rsid w:val="00AA4347"/>
    <w:rsid w:val="00AD03D1"/>
    <w:rsid w:val="00AF3D89"/>
    <w:rsid w:val="00B033EA"/>
    <w:rsid w:val="00B0667E"/>
    <w:rsid w:val="00B103C8"/>
    <w:rsid w:val="00B11D24"/>
    <w:rsid w:val="00B149E1"/>
    <w:rsid w:val="00B4396F"/>
    <w:rsid w:val="00B45E09"/>
    <w:rsid w:val="00B46750"/>
    <w:rsid w:val="00B712BB"/>
    <w:rsid w:val="00B81EA5"/>
    <w:rsid w:val="00B83A2F"/>
    <w:rsid w:val="00B85F93"/>
    <w:rsid w:val="00B916EA"/>
    <w:rsid w:val="00B96F8B"/>
    <w:rsid w:val="00BA5177"/>
    <w:rsid w:val="00BB444A"/>
    <w:rsid w:val="00BB7874"/>
    <w:rsid w:val="00BE0571"/>
    <w:rsid w:val="00BF7F64"/>
    <w:rsid w:val="00C210C0"/>
    <w:rsid w:val="00C21D4E"/>
    <w:rsid w:val="00C249DE"/>
    <w:rsid w:val="00C63CF5"/>
    <w:rsid w:val="00C834EB"/>
    <w:rsid w:val="00C84886"/>
    <w:rsid w:val="00C8622F"/>
    <w:rsid w:val="00C86447"/>
    <w:rsid w:val="00CD3394"/>
    <w:rsid w:val="00CF08A0"/>
    <w:rsid w:val="00D00F23"/>
    <w:rsid w:val="00D1313E"/>
    <w:rsid w:val="00D25C72"/>
    <w:rsid w:val="00D34A13"/>
    <w:rsid w:val="00D46571"/>
    <w:rsid w:val="00D50C59"/>
    <w:rsid w:val="00D57D9F"/>
    <w:rsid w:val="00D66478"/>
    <w:rsid w:val="00D7315E"/>
    <w:rsid w:val="00D73AB6"/>
    <w:rsid w:val="00D746A7"/>
    <w:rsid w:val="00D96F4B"/>
    <w:rsid w:val="00DA5A62"/>
    <w:rsid w:val="00DB3CC8"/>
    <w:rsid w:val="00DC053A"/>
    <w:rsid w:val="00DD40C2"/>
    <w:rsid w:val="00DF3E37"/>
    <w:rsid w:val="00E03017"/>
    <w:rsid w:val="00E0367A"/>
    <w:rsid w:val="00E105B9"/>
    <w:rsid w:val="00E37C81"/>
    <w:rsid w:val="00E403AA"/>
    <w:rsid w:val="00E546E0"/>
    <w:rsid w:val="00E72B8B"/>
    <w:rsid w:val="00E831F3"/>
    <w:rsid w:val="00E84A93"/>
    <w:rsid w:val="00E86742"/>
    <w:rsid w:val="00EA46EF"/>
    <w:rsid w:val="00EB14B8"/>
    <w:rsid w:val="00EC2AA3"/>
    <w:rsid w:val="00ED6A8F"/>
    <w:rsid w:val="00EE49DB"/>
    <w:rsid w:val="00EF1E93"/>
    <w:rsid w:val="00EF5A2D"/>
    <w:rsid w:val="00F12D22"/>
    <w:rsid w:val="00F3153E"/>
    <w:rsid w:val="00F569EB"/>
    <w:rsid w:val="00F57426"/>
    <w:rsid w:val="00F65542"/>
    <w:rsid w:val="00F66DC9"/>
    <w:rsid w:val="00F73CE7"/>
    <w:rsid w:val="00F845F9"/>
    <w:rsid w:val="00FE0B09"/>
    <w:rsid w:val="00FE168A"/>
    <w:rsid w:val="00FE3180"/>
    <w:rsid w:val="00FE4D2B"/>
    <w:rsid w:val="00FF2AC6"/>
    <w:rsid w:val="00FF5416"/>
    <w:rsid w:val="00FF63D0"/>
    <w:rsid w:val="00FF786A"/>
    <w:rsid w:val="010B7927"/>
    <w:rsid w:val="0168189F"/>
    <w:rsid w:val="01B71787"/>
    <w:rsid w:val="01F23D33"/>
    <w:rsid w:val="02223D56"/>
    <w:rsid w:val="025021BC"/>
    <w:rsid w:val="025D4E3D"/>
    <w:rsid w:val="027502A7"/>
    <w:rsid w:val="028642E4"/>
    <w:rsid w:val="02A12F56"/>
    <w:rsid w:val="02CD5A6F"/>
    <w:rsid w:val="030610F6"/>
    <w:rsid w:val="034C108A"/>
    <w:rsid w:val="03597303"/>
    <w:rsid w:val="035A2E3C"/>
    <w:rsid w:val="03A84034"/>
    <w:rsid w:val="03E647B0"/>
    <w:rsid w:val="03E74CF9"/>
    <w:rsid w:val="04E478A0"/>
    <w:rsid w:val="056E07A7"/>
    <w:rsid w:val="057B7A05"/>
    <w:rsid w:val="06B036DE"/>
    <w:rsid w:val="06C21D4E"/>
    <w:rsid w:val="06DE6F14"/>
    <w:rsid w:val="07025015"/>
    <w:rsid w:val="07133C6D"/>
    <w:rsid w:val="071E3479"/>
    <w:rsid w:val="07571DAC"/>
    <w:rsid w:val="07B04C5A"/>
    <w:rsid w:val="07E31891"/>
    <w:rsid w:val="080C24BB"/>
    <w:rsid w:val="085B408A"/>
    <w:rsid w:val="08801666"/>
    <w:rsid w:val="08B034BA"/>
    <w:rsid w:val="08C96CD9"/>
    <w:rsid w:val="08CE7D19"/>
    <w:rsid w:val="08E25FED"/>
    <w:rsid w:val="095E2C42"/>
    <w:rsid w:val="097B5096"/>
    <w:rsid w:val="099239A6"/>
    <w:rsid w:val="09DE4A06"/>
    <w:rsid w:val="0A0F2384"/>
    <w:rsid w:val="0AB319EF"/>
    <w:rsid w:val="0ABD0ABF"/>
    <w:rsid w:val="0B052ADC"/>
    <w:rsid w:val="0B324C8C"/>
    <w:rsid w:val="0B8A51D3"/>
    <w:rsid w:val="0C216E2C"/>
    <w:rsid w:val="0C6F7B97"/>
    <w:rsid w:val="0CB622E9"/>
    <w:rsid w:val="0E697FB4"/>
    <w:rsid w:val="0E741495"/>
    <w:rsid w:val="0E8536A2"/>
    <w:rsid w:val="0E9024D7"/>
    <w:rsid w:val="0ECD6DF7"/>
    <w:rsid w:val="0EF51F5B"/>
    <w:rsid w:val="0F9D7BA7"/>
    <w:rsid w:val="0FB10A42"/>
    <w:rsid w:val="0FFE370C"/>
    <w:rsid w:val="10620E8E"/>
    <w:rsid w:val="109B71AD"/>
    <w:rsid w:val="10B93AD7"/>
    <w:rsid w:val="10E17011"/>
    <w:rsid w:val="115D0054"/>
    <w:rsid w:val="115F03B0"/>
    <w:rsid w:val="116326B6"/>
    <w:rsid w:val="11A845A5"/>
    <w:rsid w:val="122F5B35"/>
    <w:rsid w:val="12A20A13"/>
    <w:rsid w:val="12A30268"/>
    <w:rsid w:val="135950FD"/>
    <w:rsid w:val="1368016A"/>
    <w:rsid w:val="13B37950"/>
    <w:rsid w:val="14850600"/>
    <w:rsid w:val="14AF76CB"/>
    <w:rsid w:val="14E56934"/>
    <w:rsid w:val="15C40D7D"/>
    <w:rsid w:val="171E69DC"/>
    <w:rsid w:val="17334527"/>
    <w:rsid w:val="17504C0F"/>
    <w:rsid w:val="177050F7"/>
    <w:rsid w:val="17896032"/>
    <w:rsid w:val="17951C65"/>
    <w:rsid w:val="17BD20FF"/>
    <w:rsid w:val="18795ADF"/>
    <w:rsid w:val="187A7ABE"/>
    <w:rsid w:val="18B03A11"/>
    <w:rsid w:val="18D45C84"/>
    <w:rsid w:val="18DF05E5"/>
    <w:rsid w:val="19726F19"/>
    <w:rsid w:val="198C7CBB"/>
    <w:rsid w:val="1995404C"/>
    <w:rsid w:val="19C4377D"/>
    <w:rsid w:val="1A270F99"/>
    <w:rsid w:val="1A6965EE"/>
    <w:rsid w:val="1ABD39E5"/>
    <w:rsid w:val="1B0E6551"/>
    <w:rsid w:val="1B102545"/>
    <w:rsid w:val="1BC40468"/>
    <w:rsid w:val="1BDB1BEB"/>
    <w:rsid w:val="1C8105FE"/>
    <w:rsid w:val="1CCD48EB"/>
    <w:rsid w:val="1CD865EF"/>
    <w:rsid w:val="1CDA72AF"/>
    <w:rsid w:val="1D0816EB"/>
    <w:rsid w:val="1D0B15C6"/>
    <w:rsid w:val="1D110811"/>
    <w:rsid w:val="1DC81CEA"/>
    <w:rsid w:val="1DD25E9D"/>
    <w:rsid w:val="1DD43CFE"/>
    <w:rsid w:val="1E000ED0"/>
    <w:rsid w:val="1E0A363F"/>
    <w:rsid w:val="1E0D7340"/>
    <w:rsid w:val="1E1B3D30"/>
    <w:rsid w:val="1E8A2077"/>
    <w:rsid w:val="1EB458DE"/>
    <w:rsid w:val="203A67B2"/>
    <w:rsid w:val="2043009D"/>
    <w:rsid w:val="207C7579"/>
    <w:rsid w:val="20987A7B"/>
    <w:rsid w:val="20AE62EE"/>
    <w:rsid w:val="21240AF9"/>
    <w:rsid w:val="219B476C"/>
    <w:rsid w:val="21A41C3A"/>
    <w:rsid w:val="21ED0177"/>
    <w:rsid w:val="220D77DF"/>
    <w:rsid w:val="22214121"/>
    <w:rsid w:val="224D3BF5"/>
    <w:rsid w:val="228B11BF"/>
    <w:rsid w:val="229D0DC1"/>
    <w:rsid w:val="22AD01D8"/>
    <w:rsid w:val="22B3610C"/>
    <w:rsid w:val="2334242C"/>
    <w:rsid w:val="237D2742"/>
    <w:rsid w:val="23EC54C1"/>
    <w:rsid w:val="24107A5A"/>
    <w:rsid w:val="242305DE"/>
    <w:rsid w:val="2465510D"/>
    <w:rsid w:val="248B0D7B"/>
    <w:rsid w:val="24A02B8C"/>
    <w:rsid w:val="24C74FB8"/>
    <w:rsid w:val="25F27417"/>
    <w:rsid w:val="25FA62CC"/>
    <w:rsid w:val="26217CFD"/>
    <w:rsid w:val="26A65DEF"/>
    <w:rsid w:val="26D33D7B"/>
    <w:rsid w:val="27165388"/>
    <w:rsid w:val="27450035"/>
    <w:rsid w:val="27871DE1"/>
    <w:rsid w:val="27DA0163"/>
    <w:rsid w:val="27DE3507"/>
    <w:rsid w:val="284B72B3"/>
    <w:rsid w:val="289C06A0"/>
    <w:rsid w:val="28F32029"/>
    <w:rsid w:val="29430F3E"/>
    <w:rsid w:val="29786978"/>
    <w:rsid w:val="2987256D"/>
    <w:rsid w:val="29D532AA"/>
    <w:rsid w:val="2A313B60"/>
    <w:rsid w:val="2A401B37"/>
    <w:rsid w:val="2A4600A2"/>
    <w:rsid w:val="2A4C502A"/>
    <w:rsid w:val="2A517AA1"/>
    <w:rsid w:val="2A6F54DA"/>
    <w:rsid w:val="2A723A30"/>
    <w:rsid w:val="2A992557"/>
    <w:rsid w:val="2AA407DC"/>
    <w:rsid w:val="2AA42CAA"/>
    <w:rsid w:val="2ADC2444"/>
    <w:rsid w:val="2B4200AE"/>
    <w:rsid w:val="2BEE0770"/>
    <w:rsid w:val="2C3325E3"/>
    <w:rsid w:val="2C4604BD"/>
    <w:rsid w:val="2C4D6197"/>
    <w:rsid w:val="2D1952FA"/>
    <w:rsid w:val="2D571C52"/>
    <w:rsid w:val="2E387A4C"/>
    <w:rsid w:val="2E621008"/>
    <w:rsid w:val="2E7D3F3E"/>
    <w:rsid w:val="2EEB0F48"/>
    <w:rsid w:val="2F650C5A"/>
    <w:rsid w:val="2FFD7080"/>
    <w:rsid w:val="30270772"/>
    <w:rsid w:val="302A5EE2"/>
    <w:rsid w:val="30406FD1"/>
    <w:rsid w:val="30C01AFB"/>
    <w:rsid w:val="30C84584"/>
    <w:rsid w:val="31341F19"/>
    <w:rsid w:val="319D1C47"/>
    <w:rsid w:val="329751F4"/>
    <w:rsid w:val="3304078A"/>
    <w:rsid w:val="33224E64"/>
    <w:rsid w:val="33816134"/>
    <w:rsid w:val="342120BB"/>
    <w:rsid w:val="34685E7F"/>
    <w:rsid w:val="3470309F"/>
    <w:rsid w:val="34C60FC6"/>
    <w:rsid w:val="34F12F90"/>
    <w:rsid w:val="35797645"/>
    <w:rsid w:val="36097CCC"/>
    <w:rsid w:val="36962041"/>
    <w:rsid w:val="36AD7C3E"/>
    <w:rsid w:val="36C00E25"/>
    <w:rsid w:val="36E20DE2"/>
    <w:rsid w:val="370276D6"/>
    <w:rsid w:val="370E44DB"/>
    <w:rsid w:val="372A42BA"/>
    <w:rsid w:val="37660F14"/>
    <w:rsid w:val="37ED2D91"/>
    <w:rsid w:val="38147C65"/>
    <w:rsid w:val="384B29B7"/>
    <w:rsid w:val="385E26EA"/>
    <w:rsid w:val="389D0C7A"/>
    <w:rsid w:val="389D2409"/>
    <w:rsid w:val="38DD5BB5"/>
    <w:rsid w:val="38DF510A"/>
    <w:rsid w:val="390E5EBF"/>
    <w:rsid w:val="391E779C"/>
    <w:rsid w:val="392B0795"/>
    <w:rsid w:val="396E57D0"/>
    <w:rsid w:val="397B3A87"/>
    <w:rsid w:val="39963A14"/>
    <w:rsid w:val="39965EB4"/>
    <w:rsid w:val="3A092B2A"/>
    <w:rsid w:val="3A5E2E76"/>
    <w:rsid w:val="3A5E69AC"/>
    <w:rsid w:val="3A6164C2"/>
    <w:rsid w:val="3A654204"/>
    <w:rsid w:val="3A9912E7"/>
    <w:rsid w:val="3AD7108A"/>
    <w:rsid w:val="3B187BD3"/>
    <w:rsid w:val="3B36738C"/>
    <w:rsid w:val="3BE97DE2"/>
    <w:rsid w:val="3C2D2B00"/>
    <w:rsid w:val="3C94611B"/>
    <w:rsid w:val="3CB93232"/>
    <w:rsid w:val="3CE0272C"/>
    <w:rsid w:val="3D1141CF"/>
    <w:rsid w:val="3D3A5ABF"/>
    <w:rsid w:val="3D9D5A63"/>
    <w:rsid w:val="3DE73182"/>
    <w:rsid w:val="3DEE0D62"/>
    <w:rsid w:val="3E3D0FF4"/>
    <w:rsid w:val="3F0058F6"/>
    <w:rsid w:val="3F3B5533"/>
    <w:rsid w:val="3F5628F6"/>
    <w:rsid w:val="3FA21BB0"/>
    <w:rsid w:val="3FA61EC9"/>
    <w:rsid w:val="40B437EF"/>
    <w:rsid w:val="41273DAC"/>
    <w:rsid w:val="41406E31"/>
    <w:rsid w:val="4150177A"/>
    <w:rsid w:val="41A24E66"/>
    <w:rsid w:val="41A73354"/>
    <w:rsid w:val="4282568D"/>
    <w:rsid w:val="42A45AE6"/>
    <w:rsid w:val="42D812EB"/>
    <w:rsid w:val="42DC0DDB"/>
    <w:rsid w:val="43690C74"/>
    <w:rsid w:val="43A538C3"/>
    <w:rsid w:val="43CA332A"/>
    <w:rsid w:val="43DA2B56"/>
    <w:rsid w:val="43EE3508"/>
    <w:rsid w:val="43F3462F"/>
    <w:rsid w:val="441D78FE"/>
    <w:rsid w:val="4463287D"/>
    <w:rsid w:val="4467501D"/>
    <w:rsid w:val="44C17BDD"/>
    <w:rsid w:val="45010E84"/>
    <w:rsid w:val="45014B29"/>
    <w:rsid w:val="45280B99"/>
    <w:rsid w:val="453D4102"/>
    <w:rsid w:val="453F38A4"/>
    <w:rsid w:val="45613956"/>
    <w:rsid w:val="45A56589"/>
    <w:rsid w:val="46401681"/>
    <w:rsid w:val="46471099"/>
    <w:rsid w:val="46492914"/>
    <w:rsid w:val="467722DB"/>
    <w:rsid w:val="468C0D6B"/>
    <w:rsid w:val="46FB5C3A"/>
    <w:rsid w:val="47322078"/>
    <w:rsid w:val="47C7144F"/>
    <w:rsid w:val="47D169E9"/>
    <w:rsid w:val="48C22822"/>
    <w:rsid w:val="48C26CC5"/>
    <w:rsid w:val="493D6CFC"/>
    <w:rsid w:val="49813942"/>
    <w:rsid w:val="498B0685"/>
    <w:rsid w:val="49A56D96"/>
    <w:rsid w:val="4A355F0D"/>
    <w:rsid w:val="4AB278B1"/>
    <w:rsid w:val="4AEF625F"/>
    <w:rsid w:val="4B1B03F9"/>
    <w:rsid w:val="4B2D615B"/>
    <w:rsid w:val="4B4022CA"/>
    <w:rsid w:val="4B58066E"/>
    <w:rsid w:val="4BF70A34"/>
    <w:rsid w:val="4C172D63"/>
    <w:rsid w:val="4C376630"/>
    <w:rsid w:val="4C3A5A60"/>
    <w:rsid w:val="4CC65031"/>
    <w:rsid w:val="4D8D21CE"/>
    <w:rsid w:val="4DD31227"/>
    <w:rsid w:val="4E751D5C"/>
    <w:rsid w:val="4E8D6FC1"/>
    <w:rsid w:val="4ED803E4"/>
    <w:rsid w:val="4EFE5CE2"/>
    <w:rsid w:val="4FB62696"/>
    <w:rsid w:val="4FD05553"/>
    <w:rsid w:val="4FF25186"/>
    <w:rsid w:val="500A342C"/>
    <w:rsid w:val="502618E8"/>
    <w:rsid w:val="50267B3A"/>
    <w:rsid w:val="502D2C76"/>
    <w:rsid w:val="50B67110"/>
    <w:rsid w:val="50D0259D"/>
    <w:rsid w:val="51330760"/>
    <w:rsid w:val="51E23AD2"/>
    <w:rsid w:val="528D5C4E"/>
    <w:rsid w:val="52AF2069"/>
    <w:rsid w:val="52EF6976"/>
    <w:rsid w:val="536F35A6"/>
    <w:rsid w:val="53D150E8"/>
    <w:rsid w:val="54241E5B"/>
    <w:rsid w:val="54356834"/>
    <w:rsid w:val="54604C30"/>
    <w:rsid w:val="54822B44"/>
    <w:rsid w:val="54F06538"/>
    <w:rsid w:val="551C57CA"/>
    <w:rsid w:val="55284354"/>
    <w:rsid w:val="55A40D83"/>
    <w:rsid w:val="56091AFE"/>
    <w:rsid w:val="56210280"/>
    <w:rsid w:val="562B6483"/>
    <w:rsid w:val="564725B8"/>
    <w:rsid w:val="564C5C62"/>
    <w:rsid w:val="56666EE2"/>
    <w:rsid w:val="571E77BD"/>
    <w:rsid w:val="579B0066"/>
    <w:rsid w:val="57D61E46"/>
    <w:rsid w:val="57DB56AE"/>
    <w:rsid w:val="583C148A"/>
    <w:rsid w:val="588519F5"/>
    <w:rsid w:val="592E180D"/>
    <w:rsid w:val="59312905"/>
    <w:rsid w:val="59356C1C"/>
    <w:rsid w:val="594A6E10"/>
    <w:rsid w:val="59807308"/>
    <w:rsid w:val="59D00806"/>
    <w:rsid w:val="59E545C2"/>
    <w:rsid w:val="59EB4261"/>
    <w:rsid w:val="5A0C5769"/>
    <w:rsid w:val="5A0F7891"/>
    <w:rsid w:val="5A472AAA"/>
    <w:rsid w:val="5A4D105C"/>
    <w:rsid w:val="5A7F6F9F"/>
    <w:rsid w:val="5A9A2114"/>
    <w:rsid w:val="5AB70A09"/>
    <w:rsid w:val="5AE91E90"/>
    <w:rsid w:val="5B315738"/>
    <w:rsid w:val="5B3A6B8F"/>
    <w:rsid w:val="5B7200D7"/>
    <w:rsid w:val="5B7420A1"/>
    <w:rsid w:val="5BCB77E7"/>
    <w:rsid w:val="5C0A6562"/>
    <w:rsid w:val="5C261DF7"/>
    <w:rsid w:val="5C3F1891"/>
    <w:rsid w:val="5C3F445D"/>
    <w:rsid w:val="5C4D242C"/>
    <w:rsid w:val="5C677510"/>
    <w:rsid w:val="5CBA7F88"/>
    <w:rsid w:val="5CC45796"/>
    <w:rsid w:val="5CC61B62"/>
    <w:rsid w:val="5CCF14F4"/>
    <w:rsid w:val="5D247237"/>
    <w:rsid w:val="5D431D2B"/>
    <w:rsid w:val="5DD61A60"/>
    <w:rsid w:val="5DFD06C9"/>
    <w:rsid w:val="5E760751"/>
    <w:rsid w:val="5E9124F4"/>
    <w:rsid w:val="5F265243"/>
    <w:rsid w:val="5F27133B"/>
    <w:rsid w:val="5F4C6E38"/>
    <w:rsid w:val="5FAC3946"/>
    <w:rsid w:val="614E66DD"/>
    <w:rsid w:val="61811074"/>
    <w:rsid w:val="61D94A0C"/>
    <w:rsid w:val="620F48D2"/>
    <w:rsid w:val="62612C54"/>
    <w:rsid w:val="62662018"/>
    <w:rsid w:val="62BD432E"/>
    <w:rsid w:val="62CA5893"/>
    <w:rsid w:val="63676A6E"/>
    <w:rsid w:val="636E387A"/>
    <w:rsid w:val="639C3F43"/>
    <w:rsid w:val="63E77029"/>
    <w:rsid w:val="642D0685"/>
    <w:rsid w:val="6482280E"/>
    <w:rsid w:val="648E6B6C"/>
    <w:rsid w:val="64AC0143"/>
    <w:rsid w:val="65646CE3"/>
    <w:rsid w:val="657131AE"/>
    <w:rsid w:val="657566A0"/>
    <w:rsid w:val="65DD6A95"/>
    <w:rsid w:val="65F2369F"/>
    <w:rsid w:val="660C6239"/>
    <w:rsid w:val="66192F0F"/>
    <w:rsid w:val="665803EC"/>
    <w:rsid w:val="668D04BB"/>
    <w:rsid w:val="66F347C2"/>
    <w:rsid w:val="67203A06"/>
    <w:rsid w:val="67610951"/>
    <w:rsid w:val="676E3E49"/>
    <w:rsid w:val="677D0DFD"/>
    <w:rsid w:val="67956DAD"/>
    <w:rsid w:val="67AC007F"/>
    <w:rsid w:val="67DB2B3D"/>
    <w:rsid w:val="68132720"/>
    <w:rsid w:val="68314DE0"/>
    <w:rsid w:val="6962178B"/>
    <w:rsid w:val="69E11D72"/>
    <w:rsid w:val="6A28272C"/>
    <w:rsid w:val="6A283A94"/>
    <w:rsid w:val="6A366426"/>
    <w:rsid w:val="6A3D3FA6"/>
    <w:rsid w:val="6A7755BE"/>
    <w:rsid w:val="6AA70C35"/>
    <w:rsid w:val="6BA709B0"/>
    <w:rsid w:val="6C7B4016"/>
    <w:rsid w:val="6C7C0889"/>
    <w:rsid w:val="6D082649"/>
    <w:rsid w:val="6D7815EE"/>
    <w:rsid w:val="6D8223FC"/>
    <w:rsid w:val="6DEE183F"/>
    <w:rsid w:val="6DFB0400"/>
    <w:rsid w:val="6DFD44CE"/>
    <w:rsid w:val="6E9E56FE"/>
    <w:rsid w:val="6F4B0D0E"/>
    <w:rsid w:val="6F753DFB"/>
    <w:rsid w:val="6F8257E3"/>
    <w:rsid w:val="6F8828E7"/>
    <w:rsid w:val="6FAF3250"/>
    <w:rsid w:val="6FE13B1D"/>
    <w:rsid w:val="703164CD"/>
    <w:rsid w:val="70AE5F6D"/>
    <w:rsid w:val="70F07616"/>
    <w:rsid w:val="71445430"/>
    <w:rsid w:val="716C2D50"/>
    <w:rsid w:val="71AE78A4"/>
    <w:rsid w:val="71E52F59"/>
    <w:rsid w:val="72017F62"/>
    <w:rsid w:val="721A4751"/>
    <w:rsid w:val="727E26C2"/>
    <w:rsid w:val="731D4975"/>
    <w:rsid w:val="73E3171A"/>
    <w:rsid w:val="741C5BFF"/>
    <w:rsid w:val="745E5245"/>
    <w:rsid w:val="746E35C5"/>
    <w:rsid w:val="74AE1D28"/>
    <w:rsid w:val="74D01C6F"/>
    <w:rsid w:val="74E100DA"/>
    <w:rsid w:val="754B452A"/>
    <w:rsid w:val="75811EF8"/>
    <w:rsid w:val="75AC788D"/>
    <w:rsid w:val="75BC5B25"/>
    <w:rsid w:val="7656078F"/>
    <w:rsid w:val="766015E0"/>
    <w:rsid w:val="76915A82"/>
    <w:rsid w:val="76A70515"/>
    <w:rsid w:val="77063842"/>
    <w:rsid w:val="77434122"/>
    <w:rsid w:val="77833128"/>
    <w:rsid w:val="77AA5722"/>
    <w:rsid w:val="78250553"/>
    <w:rsid w:val="785468D9"/>
    <w:rsid w:val="786F3963"/>
    <w:rsid w:val="78767001"/>
    <w:rsid w:val="78784695"/>
    <w:rsid w:val="78A41DE7"/>
    <w:rsid w:val="78CC07ED"/>
    <w:rsid w:val="78CC4E73"/>
    <w:rsid w:val="79440EAD"/>
    <w:rsid w:val="798A185E"/>
    <w:rsid w:val="799D47A3"/>
    <w:rsid w:val="79BC08F6"/>
    <w:rsid w:val="79C40558"/>
    <w:rsid w:val="7A1828C7"/>
    <w:rsid w:val="7A364493"/>
    <w:rsid w:val="7A3C3932"/>
    <w:rsid w:val="7A556EB1"/>
    <w:rsid w:val="7AA8546C"/>
    <w:rsid w:val="7AB36300"/>
    <w:rsid w:val="7AD00B80"/>
    <w:rsid w:val="7AEC5358"/>
    <w:rsid w:val="7B6770D5"/>
    <w:rsid w:val="7B693D4C"/>
    <w:rsid w:val="7B8478F6"/>
    <w:rsid w:val="7BB120FE"/>
    <w:rsid w:val="7BBF0CBF"/>
    <w:rsid w:val="7BCF3A79"/>
    <w:rsid w:val="7BD76009"/>
    <w:rsid w:val="7BE349AD"/>
    <w:rsid w:val="7C641CA9"/>
    <w:rsid w:val="7C670577"/>
    <w:rsid w:val="7C681B79"/>
    <w:rsid w:val="7C8B294F"/>
    <w:rsid w:val="7C9061B7"/>
    <w:rsid w:val="7CF735EA"/>
    <w:rsid w:val="7D6509DA"/>
    <w:rsid w:val="7D9121E7"/>
    <w:rsid w:val="7E152E18"/>
    <w:rsid w:val="7E714AD8"/>
    <w:rsid w:val="7EBE0DBA"/>
    <w:rsid w:val="7EFE38AC"/>
    <w:rsid w:val="7F121106"/>
    <w:rsid w:val="7F7864F8"/>
    <w:rsid w:val="7FFF28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420"/>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keepLines/>
      <w:jc w:val="center"/>
      <w:outlineLvl w:val="0"/>
    </w:pPr>
    <w:rPr>
      <w:b/>
      <w:kern w:val="44"/>
      <w:sz w:val="44"/>
    </w:rPr>
  </w:style>
  <w:style w:type="paragraph" w:styleId="3">
    <w:name w:val="heading 2"/>
    <w:basedOn w:val="1"/>
    <w:next w:val="1"/>
    <w:autoRedefine/>
    <w:qFormat/>
    <w:uiPriority w:val="0"/>
    <w:pPr>
      <w:keepNext/>
      <w:keepLines/>
      <w:numPr>
        <w:ilvl w:val="1"/>
        <w:numId w:val="1"/>
      </w:numPr>
      <w:adjustRightInd w:val="0"/>
      <w:spacing w:line="416" w:lineRule="atLeast"/>
      <w:textAlignment w:val="baseline"/>
      <w:outlineLvl w:val="1"/>
    </w:pPr>
    <w:rPr>
      <w:rFonts w:ascii="Arial" w:hAnsi="Arial" w:eastAsia="黑体"/>
      <w:b/>
      <w:kern w:val="0"/>
      <w:sz w:val="32"/>
    </w:rPr>
  </w:style>
  <w:style w:type="paragraph" w:styleId="4">
    <w:name w:val="heading 3"/>
    <w:basedOn w:val="1"/>
    <w:next w:val="1"/>
    <w:autoRedefine/>
    <w:qFormat/>
    <w:uiPriority w:val="0"/>
    <w:pPr>
      <w:keepNext/>
      <w:keepLines/>
      <w:numPr>
        <w:ilvl w:val="2"/>
        <w:numId w:val="1"/>
      </w:numPr>
      <w:adjustRightInd w:val="0"/>
      <w:spacing w:line="416" w:lineRule="atLeast"/>
      <w:textAlignment w:val="baseline"/>
      <w:outlineLvl w:val="2"/>
    </w:pPr>
    <w:rPr>
      <w:b/>
      <w:kern w:val="0"/>
      <w:sz w:val="32"/>
    </w:rPr>
  </w:style>
  <w:style w:type="character" w:default="1" w:styleId="27">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5">
    <w:name w:val="Document Map"/>
    <w:basedOn w:val="1"/>
    <w:link w:val="38"/>
    <w:autoRedefine/>
    <w:qFormat/>
    <w:uiPriority w:val="0"/>
    <w:rPr>
      <w:rFonts w:ascii="宋体"/>
      <w:sz w:val="18"/>
      <w:szCs w:val="18"/>
    </w:rPr>
  </w:style>
  <w:style w:type="paragraph" w:styleId="6">
    <w:name w:val="annotation text"/>
    <w:basedOn w:val="1"/>
    <w:autoRedefine/>
    <w:qFormat/>
    <w:uiPriority w:val="0"/>
  </w:style>
  <w:style w:type="paragraph" w:styleId="7">
    <w:name w:val="Body Text"/>
    <w:basedOn w:val="1"/>
    <w:autoRedefine/>
    <w:qFormat/>
    <w:uiPriority w:val="0"/>
    <w:rPr>
      <w:spacing w:val="10"/>
      <w:sz w:val="32"/>
    </w:rPr>
  </w:style>
  <w:style w:type="paragraph" w:styleId="8">
    <w:name w:val="Body Text Indent"/>
    <w:basedOn w:val="1"/>
    <w:next w:val="9"/>
    <w:autoRedefine/>
    <w:qFormat/>
    <w:uiPriority w:val="0"/>
    <w:pPr>
      <w:ind w:left="420" w:leftChars="200"/>
    </w:pPr>
  </w:style>
  <w:style w:type="paragraph" w:customStyle="1" w:styleId="9">
    <w:name w:val="目录 51"/>
    <w:next w:val="1"/>
    <w:autoRedefine/>
    <w:qFormat/>
    <w:uiPriority w:val="0"/>
    <w:pPr>
      <w:wordWrap w:val="0"/>
      <w:ind w:left="1700"/>
      <w:jc w:val="both"/>
    </w:pPr>
    <w:rPr>
      <w:rFonts w:ascii="Calibri" w:hAnsi="Calibri" w:eastAsia="Calibri" w:cs="Times New Roman"/>
      <w:sz w:val="21"/>
      <w:lang w:val="en-US" w:eastAsia="zh-CN" w:bidi="ar-SA"/>
    </w:rPr>
  </w:style>
  <w:style w:type="paragraph" w:styleId="10">
    <w:name w:val="Plain Text"/>
    <w:basedOn w:val="1"/>
    <w:autoRedefine/>
    <w:qFormat/>
    <w:uiPriority w:val="0"/>
    <w:rPr>
      <w:rFonts w:ascii="宋体" w:hAnsi="Courier New"/>
    </w:rPr>
  </w:style>
  <w:style w:type="paragraph" w:styleId="11">
    <w:name w:val="Date"/>
    <w:basedOn w:val="1"/>
    <w:next w:val="1"/>
    <w:autoRedefine/>
    <w:qFormat/>
    <w:uiPriority w:val="0"/>
    <w:rPr>
      <w:sz w:val="24"/>
    </w:rPr>
  </w:style>
  <w:style w:type="paragraph" w:styleId="12">
    <w:name w:val="Body Text Indent 2"/>
    <w:basedOn w:val="1"/>
    <w:autoRedefine/>
    <w:qFormat/>
    <w:uiPriority w:val="0"/>
    <w:pPr>
      <w:spacing w:line="480" w:lineRule="auto"/>
      <w:ind w:left="420" w:leftChars="200"/>
    </w:pPr>
  </w:style>
  <w:style w:type="paragraph" w:styleId="13">
    <w:name w:val="Balloon Text"/>
    <w:basedOn w:val="1"/>
    <w:link w:val="45"/>
    <w:autoRedefine/>
    <w:qFormat/>
    <w:uiPriority w:val="0"/>
    <w:rPr>
      <w:sz w:val="18"/>
      <w:szCs w:val="18"/>
    </w:rPr>
  </w:style>
  <w:style w:type="paragraph" w:styleId="14">
    <w:name w:val="footer"/>
    <w:basedOn w:val="1"/>
    <w:autoRedefine/>
    <w:qFormat/>
    <w:uiPriority w:val="99"/>
    <w:pPr>
      <w:tabs>
        <w:tab w:val="center" w:pos="4153"/>
        <w:tab w:val="right" w:pos="8306"/>
      </w:tabs>
      <w:snapToGrid w:val="0"/>
    </w:pPr>
    <w:rPr>
      <w:sz w:val="18"/>
      <w:szCs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39"/>
    <w:pPr>
      <w:tabs>
        <w:tab w:val="right" w:leader="dot" w:pos="9174"/>
      </w:tabs>
      <w:ind w:firstLine="359" w:firstLineChars="171"/>
    </w:pPr>
    <w:rPr>
      <w:rFonts w:ascii="华文楷体" w:hAnsi="华文楷体"/>
      <w:kern w:val="44"/>
    </w:rPr>
  </w:style>
  <w:style w:type="paragraph" w:styleId="17">
    <w:name w:val="Body Text Indent 3"/>
    <w:basedOn w:val="1"/>
    <w:autoRedefine/>
    <w:qFormat/>
    <w:uiPriority w:val="0"/>
    <w:pPr>
      <w:adjustRightInd w:val="0"/>
      <w:snapToGrid w:val="0"/>
      <w:ind w:left="538" w:leftChars="256" w:firstLine="1"/>
    </w:pPr>
    <w:rPr>
      <w:rFonts w:ascii="宋体" w:hAnsi="宋体"/>
      <w:spacing w:val="6"/>
      <w:sz w:val="24"/>
    </w:rPr>
  </w:style>
  <w:style w:type="paragraph" w:styleId="18">
    <w:name w:val="toc 2"/>
    <w:basedOn w:val="1"/>
    <w:next w:val="1"/>
    <w:autoRedefine/>
    <w:qFormat/>
    <w:uiPriority w:val="39"/>
    <w:pPr>
      <w:tabs>
        <w:tab w:val="right" w:leader="dot" w:pos="9174"/>
      </w:tabs>
      <w:ind w:left="420" w:leftChars="200" w:firstLine="479" w:firstLineChars="228"/>
    </w:pPr>
    <w:rPr>
      <w:rFonts w:ascii="华文楷体" w:hAnsi="华文楷体"/>
    </w:rPr>
  </w:style>
  <w:style w:type="paragraph" w:styleId="19">
    <w:name w:val="Body Text 2"/>
    <w:basedOn w:val="1"/>
    <w:next w:val="7"/>
    <w:autoRedefine/>
    <w:qFormat/>
    <w:uiPriority w:val="0"/>
    <w:pPr>
      <w:spacing w:after="120" w:line="480" w:lineRule="auto"/>
    </w:pPr>
  </w:style>
  <w:style w:type="paragraph" w:styleId="20">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1">
    <w:name w:val="Normal (Web)"/>
    <w:basedOn w:val="1"/>
    <w:autoRedefine/>
    <w:qFormat/>
    <w:uiPriority w:val="99"/>
    <w:pPr>
      <w:widowControl/>
      <w:spacing w:before="100" w:beforeAutospacing="1" w:after="100" w:afterAutospacing="1"/>
    </w:pPr>
    <w:rPr>
      <w:rFonts w:ascii="宋体" w:hAnsi="宋体" w:cs="宋体"/>
      <w:kern w:val="0"/>
      <w:sz w:val="24"/>
      <w:szCs w:val="24"/>
    </w:rPr>
  </w:style>
  <w:style w:type="paragraph" w:styleId="22">
    <w:name w:val="Title"/>
    <w:basedOn w:val="1"/>
    <w:autoRedefine/>
    <w:qFormat/>
    <w:uiPriority w:val="0"/>
    <w:pPr>
      <w:jc w:val="center"/>
      <w:outlineLvl w:val="0"/>
    </w:pPr>
    <w:rPr>
      <w:rFonts w:ascii="Arial" w:hAnsi="Arial"/>
      <w:b/>
      <w:sz w:val="32"/>
    </w:rPr>
  </w:style>
  <w:style w:type="paragraph" w:styleId="23">
    <w:name w:val="Body Text First Indent"/>
    <w:basedOn w:val="7"/>
    <w:next w:val="24"/>
    <w:autoRedefine/>
    <w:qFormat/>
    <w:uiPriority w:val="0"/>
    <w:pPr>
      <w:ind w:firstLineChars="100"/>
    </w:pPr>
    <w:rPr>
      <w:spacing w:val="0"/>
      <w:sz w:val="21"/>
    </w:rPr>
  </w:style>
  <w:style w:type="paragraph" w:styleId="24">
    <w:name w:val="Body Text First Indent 2"/>
    <w:basedOn w:val="8"/>
    <w:next w:val="1"/>
    <w:autoRedefine/>
    <w:qFormat/>
    <w:uiPriority w:val="0"/>
    <w:pPr>
      <w:tabs>
        <w:tab w:val="left" w:pos="0"/>
      </w:tabs>
    </w:p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rPr>
  </w:style>
  <w:style w:type="character" w:styleId="29">
    <w:name w:val="page number"/>
    <w:basedOn w:val="27"/>
    <w:autoRedefine/>
    <w:qFormat/>
    <w:uiPriority w:val="0"/>
  </w:style>
  <w:style w:type="character" w:styleId="30">
    <w:name w:val="Hyperlink"/>
    <w:basedOn w:val="27"/>
    <w:autoRedefine/>
    <w:qFormat/>
    <w:uiPriority w:val="99"/>
    <w:rPr>
      <w:color w:val="0000FF"/>
      <w:u w:val="single"/>
    </w:rPr>
  </w:style>
  <w:style w:type="paragraph" w:customStyle="1" w:styleId="31">
    <w:name w:val="无间隔1"/>
    <w:basedOn w:val="1"/>
    <w:next w:val="1"/>
    <w:autoRedefine/>
    <w:qFormat/>
    <w:uiPriority w:val="1"/>
    <w:pPr>
      <w:spacing w:line="400" w:lineRule="exact"/>
    </w:pPr>
    <w:rPr>
      <w:sz w:val="24"/>
    </w:rPr>
  </w:style>
  <w:style w:type="paragraph" w:customStyle="1" w:styleId="32">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3">
    <w:name w:val="Body Text 21"/>
    <w:basedOn w:val="1"/>
    <w:autoRedefine/>
    <w:qFormat/>
    <w:uiPriority w:val="0"/>
    <w:pPr>
      <w:ind w:firstLine="480" w:firstLineChars="200"/>
    </w:pPr>
    <w:rPr>
      <w:rFonts w:ascii="仿宋_GB2312" w:eastAsia="仿宋_GB2312"/>
      <w:sz w:val="24"/>
    </w:rPr>
  </w:style>
  <w:style w:type="paragraph" w:customStyle="1" w:styleId="34">
    <w:name w:val="样式 标题 3 + (中文) 黑体 小四 非加粗 段前: 7.8 磅 段后: 0 磅 行距: 固定值 20 磅"/>
    <w:basedOn w:val="4"/>
    <w:autoRedefine/>
    <w:qFormat/>
    <w:uiPriority w:val="0"/>
    <w:pPr>
      <w:numPr>
        <w:ilvl w:val="0"/>
        <w:numId w:val="0"/>
      </w:numPr>
      <w:adjustRightInd/>
      <w:spacing w:line="400" w:lineRule="exact"/>
      <w:textAlignment w:val="auto"/>
    </w:pPr>
    <w:rPr>
      <w:rFonts w:eastAsia="黑体" w:cs="宋体"/>
      <w:b w:val="0"/>
      <w:kern w:val="2"/>
      <w:sz w:val="24"/>
    </w:rPr>
  </w:style>
  <w:style w:type="paragraph" w:customStyle="1" w:styleId="35">
    <w:name w:val="Table Paragraph"/>
    <w:basedOn w:val="1"/>
    <w:autoRedefine/>
    <w:qFormat/>
    <w:uiPriority w:val="1"/>
    <w:rPr>
      <w:rFonts w:ascii="宋体" w:hAnsi="宋体" w:cs="宋体"/>
      <w:snapToGrid w:val="0"/>
      <w:kern w:val="0"/>
      <w:szCs w:val="21"/>
    </w:rPr>
  </w:style>
  <w:style w:type="character" w:customStyle="1" w:styleId="36">
    <w:name w:val="font11"/>
    <w:basedOn w:val="27"/>
    <w:autoRedefine/>
    <w:qFormat/>
    <w:uiPriority w:val="0"/>
    <w:rPr>
      <w:rFonts w:hint="default" w:ascii="仿宋_GB2312" w:eastAsia="仿宋_GB2312" w:cs="仿宋_GB2312"/>
      <w:color w:val="000000"/>
      <w:sz w:val="20"/>
      <w:szCs w:val="20"/>
      <w:u w:val="none"/>
    </w:rPr>
  </w:style>
  <w:style w:type="character" w:customStyle="1" w:styleId="37">
    <w:name w:val="font21"/>
    <w:basedOn w:val="27"/>
    <w:autoRedefine/>
    <w:qFormat/>
    <w:uiPriority w:val="0"/>
    <w:rPr>
      <w:rFonts w:hint="default" w:ascii="仿宋_GB2312" w:eastAsia="仿宋_GB2312" w:cs="仿宋_GB2312"/>
      <w:color w:val="000000"/>
      <w:sz w:val="20"/>
      <w:szCs w:val="20"/>
      <w:u w:val="none"/>
    </w:rPr>
  </w:style>
  <w:style w:type="character" w:customStyle="1" w:styleId="38">
    <w:name w:val="文档结构图 字符"/>
    <w:basedOn w:val="27"/>
    <w:link w:val="5"/>
    <w:autoRedefine/>
    <w:qFormat/>
    <w:uiPriority w:val="0"/>
    <w:rPr>
      <w:rFonts w:ascii="宋体"/>
      <w:kern w:val="2"/>
      <w:sz w:val="18"/>
      <w:szCs w:val="18"/>
    </w:rPr>
  </w:style>
  <w:style w:type="character" w:customStyle="1" w:styleId="39">
    <w:name w:val="font41"/>
    <w:basedOn w:val="27"/>
    <w:autoRedefine/>
    <w:qFormat/>
    <w:uiPriority w:val="0"/>
    <w:rPr>
      <w:rFonts w:hint="eastAsia" w:ascii="宋体" w:hAnsi="宋体" w:eastAsia="宋体" w:cs="宋体"/>
      <w:color w:val="000000"/>
      <w:sz w:val="21"/>
      <w:szCs w:val="21"/>
      <w:u w:val="none"/>
    </w:rPr>
  </w:style>
  <w:style w:type="paragraph" w:customStyle="1" w:styleId="40">
    <w:name w:val="WPSOffice手动目录 1"/>
    <w:autoRedefine/>
    <w:qFormat/>
    <w:uiPriority w:val="0"/>
    <w:rPr>
      <w:rFonts w:ascii="Times New Roman" w:hAnsi="Times New Roman" w:eastAsia="宋体" w:cs="Times New Roman"/>
      <w:lang w:val="en-US" w:eastAsia="zh-CN" w:bidi="ar-SA"/>
    </w:rPr>
  </w:style>
  <w:style w:type="paragraph" w:customStyle="1" w:styleId="41">
    <w:name w:val="标题 31"/>
    <w:basedOn w:val="1"/>
    <w:autoRedefine/>
    <w:qFormat/>
    <w:uiPriority w:val="0"/>
    <w:pPr>
      <w:ind w:left="237" w:right="113"/>
      <w:outlineLvl w:val="3"/>
    </w:pPr>
    <w:rPr>
      <w:rFonts w:ascii="宋体" w:hAnsi="宋体" w:cs="宋体"/>
      <w:kern w:val="0"/>
      <w:sz w:val="28"/>
      <w:szCs w:val="28"/>
      <w:lang w:eastAsia="en-US"/>
    </w:rPr>
  </w:style>
  <w:style w:type="character" w:customStyle="1" w:styleId="42">
    <w:name w:val="正文缩进 Char"/>
    <w:basedOn w:val="27"/>
    <w:autoRedefine/>
    <w:qFormat/>
    <w:uiPriority w:val="0"/>
    <w:rPr>
      <w:rFonts w:eastAsia="宋体"/>
      <w:kern w:val="2"/>
      <w:sz w:val="21"/>
      <w:szCs w:val="24"/>
      <w:lang w:val="en-US" w:eastAsia="zh-CN" w:bidi="ar-SA"/>
    </w:rPr>
  </w:style>
  <w:style w:type="paragraph" w:customStyle="1" w:styleId="43">
    <w:name w:val="标题 21"/>
    <w:basedOn w:val="1"/>
    <w:autoRedefine/>
    <w:qFormat/>
    <w:uiPriority w:val="0"/>
    <w:pPr>
      <w:ind w:left="100" w:right="113"/>
      <w:outlineLvl w:val="2"/>
    </w:pPr>
    <w:rPr>
      <w:rFonts w:ascii="Microsoft JhengHei" w:hAnsi="Microsoft JhengHei" w:eastAsia="Microsoft JhengHei" w:cs="Microsoft JhengHei"/>
      <w:b/>
      <w:bCs/>
      <w:kern w:val="0"/>
      <w:sz w:val="32"/>
      <w:szCs w:val="32"/>
      <w:lang w:eastAsia="en-US"/>
    </w:rPr>
  </w:style>
  <w:style w:type="paragraph" w:customStyle="1" w:styleId="44">
    <w:name w:val="标题 41"/>
    <w:basedOn w:val="1"/>
    <w:autoRedefine/>
    <w:qFormat/>
    <w:uiPriority w:val="0"/>
    <w:pPr>
      <w:spacing w:line="331" w:lineRule="exact"/>
      <w:ind w:left="513" w:right="113"/>
      <w:outlineLvl w:val="4"/>
    </w:pPr>
    <w:rPr>
      <w:rFonts w:eastAsia="Times New Roman"/>
      <w:b/>
      <w:bCs/>
      <w:kern w:val="0"/>
      <w:lang w:eastAsia="en-US"/>
    </w:rPr>
  </w:style>
  <w:style w:type="character" w:customStyle="1" w:styleId="45">
    <w:name w:val="批注框文本 字符"/>
    <w:basedOn w:val="27"/>
    <w:link w:val="13"/>
    <w:autoRedefine/>
    <w:qFormat/>
    <w:uiPriority w:val="0"/>
    <w:rPr>
      <w:kern w:val="2"/>
      <w:sz w:val="18"/>
      <w:szCs w:val="18"/>
    </w:rPr>
  </w:style>
  <w:style w:type="paragraph" w:styleId="46">
    <w:name w:val="List Paragraph"/>
    <w:basedOn w:val="1"/>
    <w:autoRedefine/>
    <w:unhideWhenUsed/>
    <w:qFormat/>
    <w:uiPriority w:val="99"/>
    <w:pPr>
      <w:ind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31"/>
    <customShpInfo spid="_x0000_s1025"/>
    <customShpInfo spid="_x0000_s1026"/>
    <customShpInfo spid="_x0000_s205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D5D9C3-6C0F-41AB-A1A6-3C0D0A47DB05}">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65</Pages>
  <Words>5853</Words>
  <Characters>33363</Characters>
  <Lines>278</Lines>
  <Paragraphs>78</Paragraphs>
  <TotalTime>2</TotalTime>
  <ScaleCrop>false</ScaleCrop>
  <LinksUpToDate>false</LinksUpToDate>
  <CharactersWithSpaces>39138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2019-06-03T07:49:00Z</dcterms:created>
  <dc:creator>S</dc:creator>
  <cp:lastModifiedBy>NTKO</cp:lastModifiedBy>
  <cp:lastPrinted>2024-04-28T04:21:00Z</cp:lastPrinted>
  <dcterms:modified xsi:type="dcterms:W3CDTF">2024-04-30T03:18:39Z</dcterms:modified>
  <cp:revision>212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8B4A9A2D686546B5B5240C3F14174B26</vt:lpwstr>
  </property>
</Properties>
</file>