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7C0E8">
      <w:pPr>
        <w:widowControl/>
        <w:wordWrap w:val="0"/>
        <w:spacing w:line="0" w:lineRule="atLeast"/>
        <w:jc w:val="center"/>
        <w:rPr>
          <w:rFonts w:hint="eastAsia" w:ascii="宋体" w:hAnsi="宋体" w:eastAsia="宋体" w:cs="宋体"/>
          <w:b/>
          <w:bCs/>
          <w:color w:val="auto"/>
          <w:kern w:val="0"/>
          <w:sz w:val="44"/>
          <w:szCs w:val="36"/>
          <w:highlight w:val="none"/>
          <w:lang w:eastAsia="zh-CN"/>
        </w:rPr>
      </w:pPr>
      <w:r>
        <w:rPr>
          <w:rFonts w:hint="eastAsia" w:ascii="宋体" w:hAnsi="宋体" w:eastAsia="宋体" w:cs="宋体"/>
          <w:b/>
          <w:bCs/>
          <w:color w:val="auto"/>
          <w:kern w:val="0"/>
          <w:sz w:val="44"/>
          <w:szCs w:val="36"/>
          <w:highlight w:val="none"/>
          <w:lang w:eastAsia="zh-CN"/>
        </w:rPr>
        <w:drawing>
          <wp:anchor distT="0" distB="0" distL="114300" distR="114300" simplePos="0" relativeHeight="251659264" behindDoc="0" locked="0" layoutInCell="1" allowOverlap="1">
            <wp:simplePos x="0" y="0"/>
            <wp:positionH relativeFrom="column">
              <wp:posOffset>-1088390</wp:posOffset>
            </wp:positionH>
            <wp:positionV relativeFrom="paragraph">
              <wp:posOffset>-857250</wp:posOffset>
            </wp:positionV>
            <wp:extent cx="7503160" cy="10627360"/>
            <wp:effectExtent l="0" t="0" r="2540" b="2540"/>
            <wp:wrapNone/>
            <wp:docPr id="1" name="图片 1" descr="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封面"/>
                    <pic:cNvPicPr>
                      <a:picLocks noChangeAspect="1"/>
                    </pic:cNvPicPr>
                  </pic:nvPicPr>
                  <pic:blipFill>
                    <a:blip r:embed="rId13"/>
                    <a:stretch>
                      <a:fillRect/>
                    </a:stretch>
                  </pic:blipFill>
                  <pic:spPr>
                    <a:xfrm>
                      <a:off x="0" y="0"/>
                      <a:ext cx="7503160" cy="10627360"/>
                    </a:xfrm>
                    <a:prstGeom prst="rect">
                      <a:avLst/>
                    </a:prstGeom>
                  </pic:spPr>
                </pic:pic>
              </a:graphicData>
            </a:graphic>
          </wp:anchor>
        </w:drawing>
      </w:r>
    </w:p>
    <w:p w14:paraId="6E6EAE69">
      <w:pPr>
        <w:widowControl/>
        <w:wordWrap w:val="0"/>
        <w:spacing w:before="156" w:after="156"/>
        <w:contextualSpacing/>
        <w:jc w:val="center"/>
        <w:rPr>
          <w:rFonts w:hint="eastAsia" w:ascii="宋体" w:hAnsi="宋体" w:eastAsia="宋体" w:cs="宋体"/>
          <w:b/>
          <w:bCs/>
          <w:color w:val="auto"/>
          <w:kern w:val="0"/>
          <w:sz w:val="40"/>
          <w:szCs w:val="40"/>
          <w:highlight w:val="none"/>
          <w:u w:val="none"/>
          <w:lang w:eastAsia="zh-CN"/>
        </w:rPr>
      </w:pPr>
    </w:p>
    <w:p w14:paraId="155C1CAB">
      <w:pPr>
        <w:widowControl/>
        <w:wordWrap w:val="0"/>
        <w:spacing w:before="156" w:after="156"/>
        <w:contextualSpacing/>
        <w:jc w:val="center"/>
        <w:rPr>
          <w:rFonts w:hint="eastAsia" w:ascii="宋体" w:hAnsi="宋体" w:eastAsia="宋体" w:cs="宋体"/>
          <w:b/>
          <w:bCs/>
          <w:color w:val="auto"/>
          <w:kern w:val="0"/>
          <w:sz w:val="40"/>
          <w:szCs w:val="40"/>
          <w:highlight w:val="none"/>
          <w:u w:val="none"/>
          <w:lang w:eastAsia="zh-CN"/>
        </w:rPr>
      </w:pPr>
    </w:p>
    <w:p w14:paraId="1CF40B9E">
      <w:pPr>
        <w:widowControl/>
        <w:wordWrap w:val="0"/>
        <w:spacing w:before="156" w:after="156"/>
        <w:contextualSpacing/>
        <w:jc w:val="center"/>
        <w:rPr>
          <w:rFonts w:hint="eastAsia" w:ascii="宋体" w:hAnsi="宋体" w:eastAsia="宋体" w:cs="宋体"/>
          <w:b/>
          <w:bCs/>
          <w:color w:val="auto"/>
          <w:kern w:val="0"/>
          <w:sz w:val="40"/>
          <w:szCs w:val="40"/>
          <w:highlight w:val="none"/>
          <w:u w:val="none"/>
          <w:lang w:eastAsia="zh-CN"/>
        </w:rPr>
      </w:pPr>
    </w:p>
    <w:p w14:paraId="175C87D5">
      <w:pPr>
        <w:widowControl/>
        <w:wordWrap w:val="0"/>
        <w:spacing w:before="156" w:after="156"/>
        <w:contextualSpacing/>
        <w:jc w:val="center"/>
        <w:rPr>
          <w:rFonts w:hint="eastAsia" w:ascii="宋体" w:hAnsi="宋体" w:eastAsia="宋体" w:cs="宋体"/>
          <w:b/>
          <w:bCs/>
          <w:color w:val="auto"/>
          <w:kern w:val="0"/>
          <w:sz w:val="40"/>
          <w:szCs w:val="40"/>
          <w:highlight w:val="none"/>
          <w:u w:val="none"/>
          <w:lang w:eastAsia="zh-CN"/>
        </w:rPr>
      </w:pPr>
    </w:p>
    <w:p w14:paraId="73003853">
      <w:pPr>
        <w:widowControl/>
        <w:wordWrap w:val="0"/>
        <w:spacing w:before="156" w:after="156"/>
        <w:contextualSpacing/>
        <w:jc w:val="center"/>
        <w:rPr>
          <w:rFonts w:hint="eastAsia" w:ascii="宋体" w:hAnsi="宋体" w:eastAsia="宋体" w:cs="宋体"/>
          <w:b/>
          <w:bCs/>
          <w:color w:val="auto"/>
          <w:kern w:val="0"/>
          <w:sz w:val="40"/>
          <w:szCs w:val="40"/>
          <w:highlight w:val="none"/>
          <w:u w:val="none"/>
          <w:lang w:eastAsia="zh-CN"/>
        </w:rPr>
      </w:pPr>
    </w:p>
    <w:p w14:paraId="54F22214">
      <w:pPr>
        <w:widowControl/>
        <w:wordWrap w:val="0"/>
        <w:spacing w:before="156" w:after="156"/>
        <w:contextualSpacing/>
        <w:jc w:val="center"/>
        <w:rPr>
          <w:rFonts w:hint="eastAsia" w:ascii="宋体" w:hAnsi="宋体" w:eastAsia="宋体" w:cs="宋体"/>
          <w:b/>
          <w:bCs/>
          <w:color w:val="auto"/>
          <w:kern w:val="0"/>
          <w:sz w:val="40"/>
          <w:szCs w:val="40"/>
          <w:highlight w:val="none"/>
          <w:u w:val="none"/>
          <w:lang w:eastAsia="zh-CN"/>
        </w:rPr>
      </w:pPr>
    </w:p>
    <w:p w14:paraId="26C6D638">
      <w:pPr>
        <w:widowControl/>
        <w:wordWrap w:val="0"/>
        <w:spacing w:before="156" w:after="156"/>
        <w:contextualSpacing/>
        <w:jc w:val="center"/>
        <w:rPr>
          <w:rFonts w:hint="eastAsia" w:ascii="宋体" w:hAnsi="宋体" w:eastAsia="宋体" w:cs="宋体"/>
          <w:b/>
          <w:bCs/>
          <w:color w:val="auto"/>
          <w:kern w:val="0"/>
          <w:sz w:val="40"/>
          <w:szCs w:val="40"/>
          <w:highlight w:val="none"/>
          <w:u w:val="none"/>
          <w:lang w:eastAsia="zh-CN"/>
        </w:rPr>
      </w:pPr>
    </w:p>
    <w:p w14:paraId="05C50378">
      <w:pPr>
        <w:widowControl/>
        <w:wordWrap w:val="0"/>
        <w:spacing w:before="156" w:after="156"/>
        <w:contextualSpacing/>
        <w:jc w:val="center"/>
        <w:rPr>
          <w:rFonts w:hint="eastAsia" w:ascii="宋体" w:hAnsi="宋体" w:eastAsia="宋体" w:cs="宋体"/>
          <w:b/>
          <w:bCs/>
          <w:color w:val="auto"/>
          <w:kern w:val="0"/>
          <w:sz w:val="40"/>
          <w:szCs w:val="40"/>
          <w:highlight w:val="none"/>
          <w:u w:val="none"/>
          <w:lang w:eastAsia="zh-CN"/>
        </w:rPr>
      </w:pPr>
    </w:p>
    <w:p w14:paraId="5950441E">
      <w:pPr>
        <w:widowControl/>
        <w:wordWrap w:val="0"/>
        <w:spacing w:before="156" w:after="156"/>
        <w:contextualSpacing/>
        <w:jc w:val="center"/>
        <w:rPr>
          <w:rFonts w:hint="eastAsia" w:ascii="宋体" w:hAnsi="宋体" w:eastAsia="宋体" w:cs="宋体"/>
          <w:b/>
          <w:bCs/>
          <w:color w:val="auto"/>
          <w:kern w:val="0"/>
          <w:sz w:val="40"/>
          <w:szCs w:val="40"/>
          <w:highlight w:val="none"/>
          <w:u w:val="none"/>
          <w:lang w:eastAsia="zh-CN"/>
        </w:rPr>
      </w:pPr>
    </w:p>
    <w:p w14:paraId="7810A180">
      <w:pPr>
        <w:widowControl/>
        <w:wordWrap w:val="0"/>
        <w:spacing w:before="156" w:after="156"/>
        <w:contextualSpacing/>
        <w:jc w:val="center"/>
        <w:rPr>
          <w:rFonts w:hint="eastAsia" w:ascii="宋体" w:hAnsi="宋体" w:eastAsia="宋体" w:cs="宋体"/>
          <w:b/>
          <w:bCs/>
          <w:color w:val="auto"/>
          <w:kern w:val="0"/>
          <w:sz w:val="40"/>
          <w:szCs w:val="40"/>
          <w:highlight w:val="none"/>
          <w:u w:val="none"/>
          <w:lang w:eastAsia="zh-CN"/>
        </w:rPr>
      </w:pPr>
    </w:p>
    <w:p w14:paraId="72732B98">
      <w:pPr>
        <w:widowControl/>
        <w:wordWrap w:val="0"/>
        <w:spacing w:before="156" w:after="156"/>
        <w:contextualSpacing/>
        <w:jc w:val="center"/>
        <w:rPr>
          <w:rFonts w:hint="eastAsia" w:ascii="宋体" w:hAnsi="宋体" w:eastAsia="宋体" w:cs="宋体"/>
          <w:b/>
          <w:bCs/>
          <w:color w:val="auto"/>
          <w:kern w:val="0"/>
          <w:sz w:val="40"/>
          <w:szCs w:val="40"/>
          <w:highlight w:val="none"/>
          <w:u w:val="none"/>
          <w:lang w:eastAsia="zh-CN"/>
        </w:rPr>
      </w:pPr>
    </w:p>
    <w:p w14:paraId="55FAC68A">
      <w:pPr>
        <w:widowControl/>
        <w:wordWrap w:val="0"/>
        <w:spacing w:before="156" w:after="156"/>
        <w:contextualSpacing/>
        <w:jc w:val="center"/>
        <w:rPr>
          <w:rFonts w:hint="eastAsia" w:ascii="宋体" w:hAnsi="宋体" w:eastAsia="宋体" w:cs="宋体"/>
          <w:b/>
          <w:bCs/>
          <w:color w:val="auto"/>
          <w:kern w:val="0"/>
          <w:sz w:val="40"/>
          <w:szCs w:val="40"/>
          <w:highlight w:val="none"/>
          <w:u w:val="none"/>
          <w:lang w:eastAsia="zh-CN"/>
        </w:rPr>
      </w:pPr>
    </w:p>
    <w:p w14:paraId="1E23101A">
      <w:pPr>
        <w:widowControl/>
        <w:wordWrap w:val="0"/>
        <w:spacing w:before="156" w:after="156"/>
        <w:contextualSpacing/>
        <w:jc w:val="center"/>
        <w:rPr>
          <w:rFonts w:hint="eastAsia" w:ascii="宋体" w:hAnsi="宋体" w:eastAsia="宋体" w:cs="宋体"/>
          <w:b/>
          <w:bCs/>
          <w:color w:val="auto"/>
          <w:kern w:val="0"/>
          <w:sz w:val="40"/>
          <w:szCs w:val="40"/>
          <w:highlight w:val="none"/>
          <w:u w:val="none"/>
          <w:lang w:eastAsia="zh-CN"/>
        </w:rPr>
      </w:pPr>
    </w:p>
    <w:p w14:paraId="780EBCEE">
      <w:pPr>
        <w:widowControl/>
        <w:wordWrap w:val="0"/>
        <w:spacing w:before="156" w:after="156"/>
        <w:contextualSpacing/>
        <w:jc w:val="center"/>
        <w:rPr>
          <w:rFonts w:hint="eastAsia" w:ascii="宋体" w:hAnsi="宋体" w:eastAsia="宋体" w:cs="宋体"/>
          <w:b/>
          <w:bCs/>
          <w:color w:val="auto"/>
          <w:kern w:val="0"/>
          <w:sz w:val="40"/>
          <w:szCs w:val="40"/>
          <w:highlight w:val="none"/>
          <w:u w:val="none"/>
          <w:lang w:eastAsia="zh-CN"/>
        </w:rPr>
      </w:pPr>
    </w:p>
    <w:p w14:paraId="0F359B80">
      <w:pPr>
        <w:widowControl/>
        <w:wordWrap w:val="0"/>
        <w:spacing w:before="156" w:after="156"/>
        <w:contextualSpacing/>
        <w:jc w:val="center"/>
        <w:rPr>
          <w:rFonts w:hint="eastAsia" w:ascii="宋体" w:hAnsi="宋体" w:eastAsia="宋体" w:cs="宋体"/>
          <w:b/>
          <w:bCs/>
          <w:color w:val="auto"/>
          <w:kern w:val="0"/>
          <w:sz w:val="40"/>
          <w:szCs w:val="40"/>
          <w:highlight w:val="none"/>
          <w:u w:val="none"/>
          <w:lang w:eastAsia="zh-CN"/>
        </w:rPr>
      </w:pPr>
    </w:p>
    <w:p w14:paraId="09AA9534">
      <w:pPr>
        <w:widowControl/>
        <w:wordWrap w:val="0"/>
        <w:spacing w:before="156" w:after="156"/>
        <w:contextualSpacing/>
        <w:jc w:val="center"/>
        <w:rPr>
          <w:rFonts w:hint="eastAsia" w:ascii="宋体" w:hAnsi="宋体" w:eastAsia="宋体" w:cs="宋体"/>
          <w:b/>
          <w:bCs/>
          <w:color w:val="auto"/>
          <w:kern w:val="0"/>
          <w:sz w:val="40"/>
          <w:szCs w:val="40"/>
          <w:highlight w:val="none"/>
          <w:u w:val="none"/>
          <w:lang w:eastAsia="zh-CN"/>
        </w:rPr>
      </w:pPr>
    </w:p>
    <w:p w14:paraId="089EAC13">
      <w:pPr>
        <w:widowControl/>
        <w:wordWrap w:val="0"/>
        <w:spacing w:before="156" w:after="156"/>
        <w:contextualSpacing/>
        <w:jc w:val="center"/>
        <w:rPr>
          <w:rFonts w:hint="eastAsia" w:ascii="宋体" w:hAnsi="宋体" w:eastAsia="宋体" w:cs="宋体"/>
          <w:b/>
          <w:bCs/>
          <w:color w:val="auto"/>
          <w:kern w:val="0"/>
          <w:sz w:val="40"/>
          <w:szCs w:val="40"/>
          <w:highlight w:val="none"/>
          <w:u w:val="none"/>
          <w:lang w:eastAsia="zh-CN"/>
        </w:rPr>
      </w:pPr>
    </w:p>
    <w:p w14:paraId="59E35723">
      <w:pPr>
        <w:widowControl/>
        <w:wordWrap w:val="0"/>
        <w:spacing w:before="156" w:after="156"/>
        <w:contextualSpacing/>
        <w:jc w:val="center"/>
        <w:rPr>
          <w:rFonts w:hint="eastAsia" w:ascii="宋体" w:hAnsi="宋体" w:eastAsia="宋体" w:cs="宋体"/>
          <w:b/>
          <w:bCs/>
          <w:color w:val="auto"/>
          <w:kern w:val="0"/>
          <w:sz w:val="40"/>
          <w:szCs w:val="40"/>
          <w:highlight w:val="none"/>
          <w:u w:val="none"/>
          <w:lang w:eastAsia="zh-CN"/>
        </w:rPr>
      </w:pPr>
    </w:p>
    <w:p w14:paraId="542FE7FD">
      <w:pPr>
        <w:widowControl/>
        <w:wordWrap w:val="0"/>
        <w:spacing w:before="156" w:after="156"/>
        <w:contextualSpacing/>
        <w:jc w:val="center"/>
        <w:rPr>
          <w:rFonts w:hint="eastAsia" w:ascii="宋体" w:hAnsi="宋体" w:eastAsia="宋体" w:cs="宋体"/>
          <w:b/>
          <w:bCs/>
          <w:color w:val="auto"/>
          <w:kern w:val="0"/>
          <w:sz w:val="40"/>
          <w:szCs w:val="40"/>
          <w:highlight w:val="none"/>
          <w:u w:val="none"/>
          <w:lang w:eastAsia="zh-CN"/>
        </w:rPr>
      </w:pPr>
    </w:p>
    <w:p w14:paraId="5268C556">
      <w:pPr>
        <w:widowControl/>
        <w:wordWrap w:val="0"/>
        <w:spacing w:before="156" w:after="156"/>
        <w:contextualSpacing/>
        <w:jc w:val="center"/>
        <w:rPr>
          <w:rFonts w:hint="eastAsia" w:ascii="宋体" w:hAnsi="宋体" w:eastAsia="宋体" w:cs="宋体"/>
          <w:b/>
          <w:bCs/>
          <w:color w:val="auto"/>
          <w:kern w:val="0"/>
          <w:sz w:val="40"/>
          <w:szCs w:val="40"/>
          <w:highlight w:val="none"/>
          <w:u w:val="none"/>
          <w:lang w:eastAsia="zh-CN"/>
        </w:rPr>
      </w:pPr>
    </w:p>
    <w:p w14:paraId="38A2352A">
      <w:pPr>
        <w:widowControl/>
        <w:wordWrap w:val="0"/>
        <w:spacing w:before="156" w:after="156"/>
        <w:contextualSpacing/>
        <w:jc w:val="center"/>
        <w:rPr>
          <w:rFonts w:hint="eastAsia" w:ascii="宋体" w:hAnsi="宋体" w:eastAsia="宋体" w:cs="宋体"/>
          <w:b/>
          <w:bCs/>
          <w:color w:val="auto"/>
          <w:kern w:val="0"/>
          <w:sz w:val="40"/>
          <w:szCs w:val="40"/>
          <w:highlight w:val="none"/>
          <w:u w:val="none"/>
          <w:lang w:eastAsia="zh-CN"/>
        </w:rPr>
      </w:pPr>
    </w:p>
    <w:p w14:paraId="286A41EB">
      <w:pPr>
        <w:widowControl/>
        <w:wordWrap w:val="0"/>
        <w:spacing w:before="156" w:after="156"/>
        <w:contextualSpacing/>
        <w:jc w:val="center"/>
        <w:rPr>
          <w:rFonts w:hint="eastAsia" w:ascii="宋体" w:hAnsi="宋体" w:eastAsia="宋体" w:cs="宋体"/>
          <w:b/>
          <w:bCs/>
          <w:color w:val="auto"/>
          <w:kern w:val="0"/>
          <w:sz w:val="40"/>
          <w:szCs w:val="40"/>
          <w:highlight w:val="none"/>
          <w:u w:val="none"/>
        </w:rPr>
      </w:pPr>
      <w:r>
        <w:rPr>
          <w:rFonts w:hint="eastAsia" w:ascii="宋体" w:hAnsi="宋体" w:eastAsia="宋体" w:cs="宋体"/>
          <w:b/>
          <w:bCs/>
          <w:color w:val="auto"/>
          <w:kern w:val="0"/>
          <w:sz w:val="40"/>
          <w:szCs w:val="40"/>
          <w:highlight w:val="none"/>
          <w:u w:val="none"/>
          <w:lang w:eastAsia="zh-CN"/>
        </w:rPr>
        <w:t>驻马店市地下管网管廊及设施建设改造实施方案编制项目</w:t>
      </w:r>
      <w:r>
        <w:rPr>
          <w:rFonts w:hint="eastAsia" w:ascii="宋体" w:hAnsi="宋体" w:eastAsia="宋体" w:cs="宋体"/>
          <w:b/>
          <w:bCs/>
          <w:color w:val="auto"/>
          <w:kern w:val="0"/>
          <w:sz w:val="40"/>
          <w:szCs w:val="40"/>
          <w:highlight w:val="none"/>
          <w:u w:val="none"/>
        </w:rPr>
        <w:t>招标文件</w:t>
      </w:r>
    </w:p>
    <w:p w14:paraId="4BAA7861">
      <w:pPr>
        <w:widowControl/>
        <w:wordWrap w:val="0"/>
        <w:spacing w:before="156" w:after="156" w:line="0" w:lineRule="atLeast"/>
        <w:jc w:val="center"/>
        <w:rPr>
          <w:rFonts w:hint="eastAsia" w:ascii="宋体" w:hAnsi="宋体" w:eastAsia="宋体" w:cs="宋体"/>
          <w:b/>
          <w:color w:val="auto"/>
          <w:kern w:val="0"/>
          <w:sz w:val="28"/>
          <w:highlight w:val="none"/>
        </w:rPr>
      </w:pPr>
    </w:p>
    <w:p w14:paraId="2EA7383D">
      <w:pPr>
        <w:widowControl/>
        <w:wordWrap w:val="0"/>
        <w:spacing w:before="156" w:after="156" w:line="0" w:lineRule="atLeast"/>
        <w:jc w:val="center"/>
        <w:rPr>
          <w:rFonts w:hint="eastAsia" w:ascii="宋体" w:hAnsi="宋体" w:eastAsia="宋体" w:cs="宋体"/>
          <w:b/>
          <w:color w:val="auto"/>
          <w:kern w:val="0"/>
          <w:sz w:val="28"/>
          <w:highlight w:val="none"/>
        </w:rPr>
      </w:pPr>
      <w:r>
        <w:rPr>
          <w:rFonts w:hint="eastAsia" w:ascii="宋体" w:hAnsi="宋体" w:eastAsia="宋体" w:cs="宋体"/>
          <w:b/>
          <w:color w:val="auto"/>
          <w:kern w:val="0"/>
          <w:sz w:val="28"/>
          <w:highlight w:val="none"/>
        </w:rPr>
        <w:t>（202</w:t>
      </w:r>
      <w:r>
        <w:rPr>
          <w:rFonts w:hint="eastAsia" w:ascii="宋体" w:hAnsi="宋体" w:eastAsia="宋体" w:cs="宋体"/>
          <w:b/>
          <w:color w:val="auto"/>
          <w:kern w:val="0"/>
          <w:sz w:val="28"/>
          <w:highlight w:val="none"/>
          <w:lang w:val="en-US" w:eastAsia="zh-CN"/>
        </w:rPr>
        <w:t>5</w:t>
      </w:r>
      <w:r>
        <w:rPr>
          <w:rFonts w:hint="eastAsia" w:ascii="宋体" w:hAnsi="宋体" w:eastAsia="宋体" w:cs="宋体"/>
          <w:b/>
          <w:color w:val="auto"/>
          <w:kern w:val="0"/>
          <w:sz w:val="28"/>
          <w:highlight w:val="none"/>
        </w:rPr>
        <w:t>年不见面电子化版）</w:t>
      </w:r>
    </w:p>
    <w:p w14:paraId="7CD20CB2">
      <w:pPr>
        <w:pStyle w:val="3"/>
        <w:rPr>
          <w:rFonts w:hint="eastAsia" w:ascii="宋体" w:hAnsi="宋体" w:eastAsia="宋体" w:cs="宋体"/>
          <w:b/>
          <w:color w:val="auto"/>
          <w:kern w:val="0"/>
          <w:sz w:val="28"/>
          <w:highlight w:val="none"/>
        </w:rPr>
      </w:pPr>
    </w:p>
    <w:p w14:paraId="790EF374">
      <w:pPr>
        <w:rPr>
          <w:rFonts w:hint="eastAsia" w:ascii="宋体" w:hAnsi="宋体" w:eastAsia="宋体" w:cs="宋体"/>
          <w:highlight w:val="none"/>
        </w:rPr>
      </w:pPr>
    </w:p>
    <w:p w14:paraId="04A96819">
      <w:pPr>
        <w:pStyle w:val="16"/>
        <w:jc w:val="center"/>
        <w:rPr>
          <w:rFonts w:hint="eastAsia" w:ascii="宋体" w:hAnsi="宋体" w:eastAsia="宋体" w:cs="宋体"/>
          <w:b/>
          <w:bCs/>
          <w:color w:val="auto"/>
          <w:kern w:val="0"/>
          <w:sz w:val="28"/>
          <w:highlight w:val="none"/>
        </w:rPr>
      </w:pPr>
    </w:p>
    <w:p w14:paraId="0EC5BF98">
      <w:pPr>
        <w:pStyle w:val="17"/>
        <w:ind w:left="0" w:leftChars="0" w:firstLine="0" w:firstLineChars="0"/>
        <w:rPr>
          <w:rFonts w:hint="eastAsia" w:ascii="宋体" w:hAnsi="宋体" w:eastAsia="宋体" w:cs="宋体"/>
          <w:color w:val="auto"/>
          <w:highlight w:val="none"/>
        </w:rPr>
      </w:pPr>
    </w:p>
    <w:p w14:paraId="70E64936">
      <w:pPr>
        <w:widowControl/>
        <w:wordWrap w:val="0"/>
        <w:spacing w:before="156" w:after="156"/>
        <w:contextualSpacing/>
        <w:jc w:val="left"/>
        <w:rPr>
          <w:rFonts w:hint="eastAsia" w:ascii="宋体" w:hAnsi="宋体" w:eastAsia="宋体" w:cs="宋体"/>
          <w:b/>
          <w:bCs/>
          <w:color w:val="auto"/>
          <w:kern w:val="0"/>
          <w:sz w:val="28"/>
          <w:szCs w:val="28"/>
          <w:highlight w:val="none"/>
          <w:u w:val="none"/>
        </w:rPr>
      </w:pPr>
    </w:p>
    <w:p w14:paraId="0040E810">
      <w:pPr>
        <w:widowControl/>
        <w:wordWrap w:val="0"/>
        <w:spacing w:before="156" w:after="156"/>
        <w:contextualSpacing/>
        <w:jc w:val="left"/>
        <w:rPr>
          <w:rFonts w:hint="eastAsia" w:ascii="宋体" w:hAnsi="宋体" w:eastAsia="宋体" w:cs="宋体"/>
          <w:b/>
          <w:bCs/>
          <w:color w:val="auto"/>
          <w:kern w:val="0"/>
          <w:sz w:val="28"/>
          <w:szCs w:val="28"/>
          <w:highlight w:val="none"/>
          <w:u w:val="none"/>
        </w:rPr>
      </w:pPr>
    </w:p>
    <w:p w14:paraId="0E3054A7">
      <w:pPr>
        <w:widowControl/>
        <w:wordWrap w:val="0"/>
        <w:spacing w:before="156" w:after="156"/>
        <w:contextualSpacing/>
        <w:jc w:val="left"/>
        <w:rPr>
          <w:rFonts w:hint="eastAsia" w:ascii="宋体" w:hAnsi="宋体" w:eastAsia="宋体" w:cs="宋体"/>
          <w:b/>
          <w:bCs/>
          <w:color w:val="auto"/>
          <w:kern w:val="0"/>
          <w:sz w:val="28"/>
          <w:szCs w:val="28"/>
          <w:highlight w:val="none"/>
          <w:u w:val="none"/>
        </w:rPr>
      </w:pPr>
    </w:p>
    <w:p w14:paraId="1AF35136">
      <w:pPr>
        <w:widowControl/>
        <w:wordWrap w:val="0"/>
        <w:spacing w:before="156" w:after="156"/>
        <w:contextualSpacing/>
        <w:jc w:val="left"/>
        <w:rPr>
          <w:rFonts w:hint="eastAsia" w:ascii="宋体" w:hAnsi="宋体" w:eastAsia="宋体" w:cs="宋体"/>
          <w:b/>
          <w:bCs/>
          <w:color w:val="auto"/>
          <w:kern w:val="0"/>
          <w:sz w:val="28"/>
          <w:szCs w:val="28"/>
          <w:highlight w:val="none"/>
          <w:u w:val="none"/>
          <w:lang w:val="en-US" w:eastAsia="zh-CN"/>
        </w:rPr>
      </w:pPr>
      <w:r>
        <w:rPr>
          <w:rFonts w:hint="eastAsia" w:ascii="宋体" w:hAnsi="宋体" w:eastAsia="宋体" w:cs="宋体"/>
          <w:b/>
          <w:bCs/>
          <w:color w:val="auto"/>
          <w:kern w:val="0"/>
          <w:sz w:val="28"/>
          <w:szCs w:val="28"/>
          <w:highlight w:val="none"/>
          <w:u w:val="none"/>
        </w:rPr>
        <w:t>项</w:t>
      </w:r>
      <w:r>
        <w:rPr>
          <w:rFonts w:hint="eastAsia" w:ascii="宋体" w:hAnsi="宋体" w:eastAsia="宋体" w:cs="宋体"/>
          <w:b/>
          <w:bCs/>
          <w:color w:val="auto"/>
          <w:kern w:val="0"/>
          <w:sz w:val="28"/>
          <w:szCs w:val="28"/>
          <w:highlight w:val="none"/>
          <w:u w:val="none"/>
          <w:lang w:val="en-US" w:eastAsia="zh-CN"/>
        </w:rPr>
        <w:t xml:space="preserve"> </w:t>
      </w:r>
      <w:r>
        <w:rPr>
          <w:rFonts w:hint="eastAsia" w:ascii="宋体" w:hAnsi="宋体" w:eastAsia="宋体" w:cs="宋体"/>
          <w:b/>
          <w:bCs/>
          <w:color w:val="auto"/>
          <w:kern w:val="0"/>
          <w:sz w:val="28"/>
          <w:szCs w:val="28"/>
          <w:highlight w:val="none"/>
          <w:u w:val="none"/>
        </w:rPr>
        <w:t>目</w:t>
      </w:r>
      <w:r>
        <w:rPr>
          <w:rFonts w:hint="eastAsia" w:ascii="宋体" w:hAnsi="宋体" w:eastAsia="宋体" w:cs="宋体"/>
          <w:b/>
          <w:bCs/>
          <w:color w:val="auto"/>
          <w:kern w:val="0"/>
          <w:sz w:val="28"/>
          <w:szCs w:val="28"/>
          <w:highlight w:val="none"/>
          <w:u w:val="none"/>
          <w:lang w:val="en-US" w:eastAsia="zh-CN"/>
        </w:rPr>
        <w:t xml:space="preserve"> </w:t>
      </w:r>
      <w:r>
        <w:rPr>
          <w:rFonts w:hint="eastAsia" w:ascii="宋体" w:hAnsi="宋体" w:eastAsia="宋体" w:cs="宋体"/>
          <w:b/>
          <w:bCs/>
          <w:color w:val="auto"/>
          <w:kern w:val="0"/>
          <w:sz w:val="28"/>
          <w:szCs w:val="28"/>
          <w:highlight w:val="none"/>
          <w:u w:val="none"/>
        </w:rPr>
        <w:t>编</w:t>
      </w:r>
      <w:r>
        <w:rPr>
          <w:rFonts w:hint="eastAsia" w:ascii="宋体" w:hAnsi="宋体" w:eastAsia="宋体" w:cs="宋体"/>
          <w:b/>
          <w:bCs/>
          <w:color w:val="auto"/>
          <w:kern w:val="0"/>
          <w:sz w:val="28"/>
          <w:szCs w:val="28"/>
          <w:highlight w:val="none"/>
          <w:u w:val="none"/>
          <w:lang w:val="en-US" w:eastAsia="zh-CN"/>
        </w:rPr>
        <w:t xml:space="preserve"> </w:t>
      </w:r>
      <w:r>
        <w:rPr>
          <w:rFonts w:hint="eastAsia" w:ascii="宋体" w:hAnsi="宋体" w:eastAsia="宋体" w:cs="宋体"/>
          <w:b/>
          <w:bCs/>
          <w:color w:val="auto"/>
          <w:kern w:val="0"/>
          <w:sz w:val="28"/>
          <w:szCs w:val="28"/>
          <w:highlight w:val="none"/>
          <w:u w:val="none"/>
        </w:rPr>
        <w:t>号：驻政采购-2025-06-30</w:t>
      </w:r>
      <w:r>
        <w:rPr>
          <w:rFonts w:hint="eastAsia" w:ascii="宋体" w:hAnsi="宋体" w:eastAsia="宋体" w:cs="宋体"/>
          <w:b/>
          <w:bCs/>
          <w:color w:val="auto"/>
          <w:kern w:val="0"/>
          <w:sz w:val="28"/>
          <w:szCs w:val="28"/>
          <w:highlight w:val="none"/>
          <w:u w:val="none"/>
          <w:lang w:val="en-US" w:eastAsia="zh-CN"/>
        </w:rPr>
        <w:t xml:space="preserve">                         </w:t>
      </w:r>
    </w:p>
    <w:p w14:paraId="7E8D9577">
      <w:pPr>
        <w:widowControl/>
        <w:wordWrap w:val="0"/>
        <w:spacing w:before="156" w:after="156"/>
        <w:ind w:left="1968" w:hanging="1968" w:hangingChars="700"/>
        <w:contextualSpacing/>
        <w:jc w:val="left"/>
        <w:rPr>
          <w:rFonts w:hint="eastAsia" w:ascii="宋体" w:hAnsi="宋体" w:eastAsia="宋体" w:cs="宋体"/>
          <w:b/>
          <w:bCs/>
          <w:color w:val="auto"/>
          <w:kern w:val="0"/>
          <w:sz w:val="28"/>
          <w:szCs w:val="28"/>
          <w:highlight w:val="none"/>
          <w:u w:val="none"/>
          <w:lang w:val="en-US" w:eastAsia="zh-CN"/>
        </w:rPr>
      </w:pPr>
      <w:r>
        <w:rPr>
          <w:rFonts w:hint="eastAsia" w:ascii="宋体" w:hAnsi="宋体" w:eastAsia="宋体" w:cs="宋体"/>
          <w:b/>
          <w:bCs/>
          <w:color w:val="auto"/>
          <w:kern w:val="0"/>
          <w:sz w:val="28"/>
          <w:szCs w:val="28"/>
          <w:highlight w:val="none"/>
          <w:u w:val="none"/>
        </w:rPr>
        <w:t>项</w:t>
      </w:r>
      <w:r>
        <w:rPr>
          <w:rFonts w:hint="eastAsia" w:ascii="宋体" w:hAnsi="宋体" w:eastAsia="宋体" w:cs="宋体"/>
          <w:b/>
          <w:bCs/>
          <w:color w:val="auto"/>
          <w:kern w:val="0"/>
          <w:sz w:val="28"/>
          <w:szCs w:val="28"/>
          <w:highlight w:val="none"/>
          <w:u w:val="none"/>
          <w:lang w:val="en-US" w:eastAsia="zh-CN"/>
        </w:rPr>
        <w:t xml:space="preserve"> </w:t>
      </w:r>
      <w:r>
        <w:rPr>
          <w:rFonts w:hint="eastAsia" w:ascii="宋体" w:hAnsi="宋体" w:eastAsia="宋体" w:cs="宋体"/>
          <w:b/>
          <w:bCs/>
          <w:color w:val="auto"/>
          <w:kern w:val="0"/>
          <w:sz w:val="28"/>
          <w:szCs w:val="28"/>
          <w:highlight w:val="none"/>
          <w:u w:val="none"/>
        </w:rPr>
        <w:t>目</w:t>
      </w:r>
      <w:r>
        <w:rPr>
          <w:rFonts w:hint="eastAsia" w:ascii="宋体" w:hAnsi="宋体" w:eastAsia="宋体" w:cs="宋体"/>
          <w:b/>
          <w:bCs/>
          <w:color w:val="auto"/>
          <w:kern w:val="0"/>
          <w:sz w:val="28"/>
          <w:szCs w:val="28"/>
          <w:highlight w:val="none"/>
          <w:u w:val="none"/>
          <w:lang w:val="en-US" w:eastAsia="zh-CN"/>
        </w:rPr>
        <w:t xml:space="preserve"> </w:t>
      </w:r>
      <w:r>
        <w:rPr>
          <w:rFonts w:hint="eastAsia" w:ascii="宋体" w:hAnsi="宋体" w:eastAsia="宋体" w:cs="宋体"/>
          <w:b/>
          <w:bCs/>
          <w:color w:val="auto"/>
          <w:kern w:val="0"/>
          <w:sz w:val="28"/>
          <w:szCs w:val="28"/>
          <w:highlight w:val="none"/>
          <w:u w:val="none"/>
        </w:rPr>
        <w:t>名</w:t>
      </w:r>
      <w:r>
        <w:rPr>
          <w:rFonts w:hint="eastAsia" w:ascii="宋体" w:hAnsi="宋体" w:eastAsia="宋体" w:cs="宋体"/>
          <w:b/>
          <w:bCs/>
          <w:color w:val="auto"/>
          <w:kern w:val="0"/>
          <w:sz w:val="28"/>
          <w:szCs w:val="28"/>
          <w:highlight w:val="none"/>
          <w:u w:val="none"/>
          <w:lang w:val="en-US" w:eastAsia="zh-CN"/>
        </w:rPr>
        <w:t xml:space="preserve"> </w:t>
      </w:r>
      <w:r>
        <w:rPr>
          <w:rFonts w:hint="eastAsia" w:ascii="宋体" w:hAnsi="宋体" w:eastAsia="宋体" w:cs="宋体"/>
          <w:b/>
          <w:bCs/>
          <w:color w:val="auto"/>
          <w:kern w:val="0"/>
          <w:sz w:val="28"/>
          <w:szCs w:val="28"/>
          <w:highlight w:val="none"/>
          <w:u w:val="none"/>
        </w:rPr>
        <w:t>称：</w:t>
      </w:r>
      <w:r>
        <w:rPr>
          <w:rFonts w:hint="eastAsia" w:ascii="宋体" w:hAnsi="宋体" w:eastAsia="宋体" w:cs="宋体"/>
          <w:b/>
          <w:bCs/>
          <w:color w:val="auto"/>
          <w:kern w:val="0"/>
          <w:sz w:val="28"/>
          <w:szCs w:val="28"/>
          <w:highlight w:val="none"/>
          <w:u w:val="none"/>
          <w:lang w:val="en-US" w:eastAsia="zh-CN"/>
        </w:rPr>
        <w:t xml:space="preserve"> 驻马店市地下管网管廊及设施建设改造实施方案编制项目</w:t>
      </w:r>
    </w:p>
    <w:p w14:paraId="1257C063">
      <w:pPr>
        <w:widowControl/>
        <w:wordWrap w:val="0"/>
        <w:spacing w:before="156" w:after="156"/>
        <w:contextualSpacing/>
        <w:jc w:val="left"/>
        <w:rPr>
          <w:rFonts w:hint="eastAsia" w:ascii="宋体" w:hAnsi="宋体" w:eastAsia="宋体" w:cs="宋体"/>
          <w:b/>
          <w:color w:val="auto"/>
          <w:spacing w:val="20"/>
          <w:kern w:val="0"/>
          <w:sz w:val="28"/>
          <w:szCs w:val="28"/>
          <w:highlight w:val="none"/>
          <w:u w:val="none"/>
        </w:rPr>
      </w:pPr>
      <w:r>
        <w:rPr>
          <w:rFonts w:hint="eastAsia" w:ascii="宋体" w:hAnsi="宋体" w:eastAsia="宋体" w:cs="宋体"/>
          <w:b/>
          <w:bCs/>
          <w:color w:val="auto"/>
          <w:kern w:val="0"/>
          <w:sz w:val="28"/>
          <w:szCs w:val="28"/>
          <w:highlight w:val="none"/>
          <w:u w:val="none"/>
        </w:rPr>
        <w:t>采</w:t>
      </w:r>
      <w:r>
        <w:rPr>
          <w:rFonts w:hint="eastAsia" w:ascii="宋体" w:hAnsi="宋体" w:eastAsia="宋体" w:cs="宋体"/>
          <w:b/>
          <w:bCs/>
          <w:color w:val="auto"/>
          <w:kern w:val="0"/>
          <w:sz w:val="28"/>
          <w:szCs w:val="28"/>
          <w:highlight w:val="none"/>
          <w:u w:val="none"/>
          <w:lang w:val="en-US" w:eastAsia="zh-CN"/>
        </w:rPr>
        <w:t xml:space="preserve">   </w:t>
      </w:r>
      <w:r>
        <w:rPr>
          <w:rFonts w:hint="eastAsia" w:ascii="宋体" w:hAnsi="宋体" w:eastAsia="宋体" w:cs="宋体"/>
          <w:b/>
          <w:bCs/>
          <w:color w:val="auto"/>
          <w:kern w:val="0"/>
          <w:sz w:val="28"/>
          <w:szCs w:val="28"/>
          <w:highlight w:val="none"/>
          <w:u w:val="none"/>
        </w:rPr>
        <w:t>购</w:t>
      </w:r>
      <w:r>
        <w:rPr>
          <w:rFonts w:hint="eastAsia" w:ascii="宋体" w:hAnsi="宋体" w:eastAsia="宋体" w:cs="宋体"/>
          <w:b/>
          <w:bCs/>
          <w:color w:val="auto"/>
          <w:kern w:val="0"/>
          <w:sz w:val="28"/>
          <w:szCs w:val="28"/>
          <w:highlight w:val="none"/>
          <w:u w:val="none"/>
          <w:lang w:val="en-US" w:eastAsia="zh-CN"/>
        </w:rPr>
        <w:t xml:space="preserve">  </w:t>
      </w:r>
      <w:r>
        <w:rPr>
          <w:rFonts w:hint="eastAsia" w:ascii="宋体" w:hAnsi="宋体" w:eastAsia="宋体" w:cs="宋体"/>
          <w:b/>
          <w:bCs/>
          <w:color w:val="auto"/>
          <w:kern w:val="0"/>
          <w:sz w:val="28"/>
          <w:szCs w:val="28"/>
          <w:highlight w:val="none"/>
          <w:u w:val="none"/>
        </w:rPr>
        <w:t>人：</w:t>
      </w:r>
      <w:r>
        <w:rPr>
          <w:rFonts w:hint="eastAsia" w:ascii="宋体" w:hAnsi="宋体" w:eastAsia="宋体" w:cs="宋体"/>
          <w:b/>
          <w:bCs/>
          <w:color w:val="auto"/>
          <w:kern w:val="0"/>
          <w:sz w:val="28"/>
          <w:szCs w:val="28"/>
          <w:highlight w:val="none"/>
          <w:u w:val="none"/>
          <w:lang w:val="en-US" w:eastAsia="zh-CN"/>
        </w:rPr>
        <w:t xml:space="preserve"> 驻马店市城市管理局（驻马店市城市综合执法局）  </w:t>
      </w:r>
      <w:r>
        <w:rPr>
          <w:rFonts w:hint="eastAsia" w:ascii="宋体" w:hAnsi="宋体" w:eastAsia="宋体" w:cs="宋体"/>
          <w:b/>
          <w:bCs/>
          <w:color w:val="auto"/>
          <w:kern w:val="0"/>
          <w:sz w:val="28"/>
          <w:szCs w:val="28"/>
          <w:highlight w:val="none"/>
          <w:u w:val="none"/>
        </w:rPr>
        <w:t>采购代理机构</w:t>
      </w:r>
      <w:r>
        <w:rPr>
          <w:rFonts w:hint="eastAsia" w:ascii="宋体" w:hAnsi="宋体" w:eastAsia="宋体" w:cs="宋体"/>
          <w:b/>
          <w:color w:val="auto"/>
          <w:spacing w:val="20"/>
          <w:kern w:val="0"/>
          <w:sz w:val="28"/>
          <w:szCs w:val="28"/>
          <w:highlight w:val="none"/>
          <w:u w:val="none"/>
        </w:rPr>
        <w:t>：</w:t>
      </w:r>
      <w:r>
        <w:rPr>
          <w:rFonts w:hint="eastAsia" w:ascii="宋体" w:hAnsi="宋体" w:eastAsia="宋体" w:cs="宋体"/>
          <w:b/>
          <w:bCs/>
          <w:color w:val="auto"/>
          <w:kern w:val="0"/>
          <w:sz w:val="28"/>
          <w:szCs w:val="28"/>
          <w:highlight w:val="none"/>
          <w:u w:val="none"/>
          <w:lang w:eastAsia="zh-CN"/>
        </w:rPr>
        <w:t xml:space="preserve">河南泽群工程咨询有限公司 </w:t>
      </w:r>
      <w:r>
        <w:rPr>
          <w:rFonts w:hint="eastAsia" w:ascii="宋体" w:hAnsi="宋体" w:eastAsia="宋体" w:cs="宋体"/>
          <w:b/>
          <w:bCs/>
          <w:color w:val="auto"/>
          <w:kern w:val="0"/>
          <w:sz w:val="28"/>
          <w:szCs w:val="28"/>
          <w:highlight w:val="none"/>
          <w:u w:val="none"/>
          <w:lang w:val="en-US" w:eastAsia="zh-CN"/>
        </w:rPr>
        <w:t xml:space="preserve">           </w:t>
      </w:r>
    </w:p>
    <w:p w14:paraId="38B1EBD3">
      <w:pPr>
        <w:widowControl/>
        <w:wordWrap w:val="0"/>
        <w:spacing w:before="156" w:after="156"/>
        <w:ind w:firstLine="1405" w:firstLineChars="500"/>
        <w:contextualSpacing/>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二○二</w:t>
      </w:r>
      <w:r>
        <w:rPr>
          <w:rFonts w:hint="eastAsia" w:ascii="宋体" w:hAnsi="宋体" w:eastAsia="宋体" w:cs="宋体"/>
          <w:b/>
          <w:color w:val="auto"/>
          <w:kern w:val="0"/>
          <w:sz w:val="28"/>
          <w:szCs w:val="28"/>
          <w:highlight w:val="none"/>
          <w:lang w:val="en-US" w:eastAsia="zh-CN"/>
        </w:rPr>
        <w:t>五年六</w:t>
      </w:r>
      <w:r>
        <w:rPr>
          <w:rFonts w:hint="eastAsia" w:ascii="宋体" w:hAnsi="宋体" w:eastAsia="宋体" w:cs="宋体"/>
          <w:b/>
          <w:color w:val="auto"/>
          <w:kern w:val="0"/>
          <w:sz w:val="28"/>
          <w:szCs w:val="28"/>
          <w:highlight w:val="none"/>
        </w:rPr>
        <w:t>月</w:t>
      </w:r>
    </w:p>
    <w:p w14:paraId="2194DC54">
      <w:pPr>
        <w:widowControl/>
        <w:wordWrap w:val="0"/>
        <w:spacing w:before="156" w:after="156"/>
        <w:jc w:val="center"/>
        <w:rPr>
          <w:rFonts w:hint="eastAsia" w:ascii="宋体" w:hAnsi="宋体" w:eastAsia="宋体" w:cs="宋体"/>
          <w:b/>
          <w:color w:val="auto"/>
          <w:kern w:val="0"/>
          <w:sz w:val="32"/>
          <w:szCs w:val="32"/>
          <w:highlight w:val="none"/>
        </w:rPr>
        <w:sectPr>
          <w:headerReference r:id="rId3" w:type="default"/>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p w14:paraId="7E4EAD27">
      <w:pPr>
        <w:widowControl/>
        <w:wordWrap w:val="0"/>
        <w:spacing w:before="156" w:after="156"/>
        <w:jc w:val="center"/>
        <w:rPr>
          <w:rFonts w:hint="eastAsia" w:ascii="宋体" w:hAnsi="宋体" w:eastAsia="宋体" w:cs="宋体"/>
          <w:b/>
          <w:color w:val="auto"/>
          <w:kern w:val="0"/>
          <w:sz w:val="36"/>
          <w:szCs w:val="32"/>
          <w:highlight w:val="none"/>
        </w:rPr>
      </w:pPr>
      <w:r>
        <w:rPr>
          <w:rFonts w:hint="eastAsia" w:ascii="宋体" w:hAnsi="宋体" w:eastAsia="宋体" w:cs="宋体"/>
          <w:b/>
          <w:color w:val="auto"/>
          <w:kern w:val="0"/>
          <w:sz w:val="36"/>
          <w:szCs w:val="32"/>
          <w:highlight w:val="none"/>
        </w:rPr>
        <w:t>目    录</w:t>
      </w:r>
    </w:p>
    <w:p w14:paraId="65EE7327">
      <w:pPr>
        <w:widowControl/>
        <w:wordWrap w:val="0"/>
        <w:spacing w:before="156" w:line="276"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793FFE9D">
      <w:pPr>
        <w:widowControl/>
        <w:numPr>
          <w:ilvl w:val="0"/>
          <w:numId w:val="1"/>
        </w:numPr>
        <w:wordWrap w:val="0"/>
        <w:spacing w:before="156" w:line="276" w:lineRule="auto"/>
        <w:ind w:left="560" w:leftChars="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招标公告</w:t>
      </w:r>
    </w:p>
    <w:p w14:paraId="6596F9AE">
      <w:pPr>
        <w:widowControl/>
        <w:numPr>
          <w:ilvl w:val="0"/>
          <w:numId w:val="0"/>
        </w:numPr>
        <w:wordWrap w:val="0"/>
        <w:spacing w:before="156" w:line="276" w:lineRule="auto"/>
        <w:ind w:left="560"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第二章    采购需求</w:t>
      </w:r>
    </w:p>
    <w:p w14:paraId="0C43B211">
      <w:pPr>
        <w:widowControl/>
        <w:wordWrap w:val="0"/>
        <w:spacing w:before="156" w:line="276"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第三章    投标人须知</w:t>
      </w:r>
    </w:p>
    <w:p w14:paraId="738ABAC5">
      <w:pPr>
        <w:widowControl/>
        <w:wordWrap w:val="0"/>
        <w:spacing w:before="156" w:line="276"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投标</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须知前附表</w:t>
      </w:r>
    </w:p>
    <w:p w14:paraId="295A4B15">
      <w:pPr>
        <w:widowControl/>
        <w:wordWrap w:val="0"/>
        <w:spacing w:before="156" w:line="276"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一.说明</w:t>
      </w:r>
    </w:p>
    <w:p w14:paraId="0DFC9163">
      <w:pPr>
        <w:widowControl/>
        <w:wordWrap w:val="0"/>
        <w:spacing w:before="156" w:line="276"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二.招标文件</w:t>
      </w:r>
    </w:p>
    <w:p w14:paraId="2BED83AA">
      <w:pPr>
        <w:widowControl/>
        <w:wordWrap w:val="0"/>
        <w:spacing w:before="156" w:line="276"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三.投标文件的编制</w:t>
      </w:r>
    </w:p>
    <w:p w14:paraId="0F2906F2">
      <w:pPr>
        <w:widowControl/>
        <w:wordWrap w:val="0"/>
        <w:spacing w:before="156" w:line="276"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四.投标文件的上传、提交</w:t>
      </w:r>
    </w:p>
    <w:p w14:paraId="4F80A361">
      <w:pPr>
        <w:widowControl/>
        <w:wordWrap w:val="0"/>
        <w:spacing w:before="156" w:line="276"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五.开标</w:t>
      </w:r>
    </w:p>
    <w:p w14:paraId="049A46A5">
      <w:pPr>
        <w:widowControl/>
        <w:wordWrap w:val="0"/>
        <w:spacing w:before="156" w:line="276"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六.评标</w:t>
      </w:r>
    </w:p>
    <w:p w14:paraId="249ABFFC">
      <w:pPr>
        <w:widowControl/>
        <w:wordWrap w:val="0"/>
        <w:spacing w:before="156" w:line="276"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七.定标</w:t>
      </w:r>
    </w:p>
    <w:p w14:paraId="7C513988">
      <w:pPr>
        <w:widowControl/>
        <w:wordWrap w:val="0"/>
        <w:spacing w:before="156" w:line="276"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八.合同授予</w:t>
      </w:r>
    </w:p>
    <w:p w14:paraId="4F7F7FC4">
      <w:pPr>
        <w:widowControl/>
        <w:wordWrap w:val="0"/>
        <w:spacing w:before="156" w:line="276"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第四章    评标办法及评分标准</w:t>
      </w:r>
    </w:p>
    <w:p w14:paraId="100DD3DC">
      <w:pPr>
        <w:widowControl/>
        <w:wordWrap w:val="0"/>
        <w:spacing w:before="156" w:line="276"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第五章    政府采购合同主要条款</w:t>
      </w:r>
    </w:p>
    <w:p w14:paraId="03AC6AB2">
      <w:pPr>
        <w:widowControl/>
        <w:wordWrap w:val="0"/>
        <w:spacing w:before="156" w:line="276"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第六章    投标文件格式</w:t>
      </w:r>
    </w:p>
    <w:p w14:paraId="62004317">
      <w:pPr>
        <w:widowControl/>
        <w:wordWrap w:val="0"/>
        <w:spacing w:before="156"/>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4A29DE09">
      <w:pPr>
        <w:spacing w:line="0" w:lineRule="atLeast"/>
        <w:rPr>
          <w:rFonts w:hint="eastAsia" w:ascii="宋体" w:hAnsi="宋体" w:eastAsia="宋体" w:cs="宋体"/>
          <w:b/>
          <w:color w:val="auto"/>
          <w:kern w:val="0"/>
          <w:sz w:val="32"/>
          <w:highlight w:val="none"/>
        </w:rPr>
      </w:pPr>
    </w:p>
    <w:p w14:paraId="1B663C81">
      <w:pPr>
        <w:spacing w:line="0" w:lineRule="atLeast"/>
        <w:jc w:val="center"/>
        <w:rPr>
          <w:rFonts w:hint="eastAsia" w:ascii="宋体" w:hAnsi="宋体" w:eastAsia="宋体" w:cs="宋体"/>
          <w:b/>
          <w:color w:val="auto"/>
          <w:kern w:val="0"/>
          <w:sz w:val="32"/>
          <w:highlight w:val="none"/>
        </w:rPr>
      </w:pPr>
    </w:p>
    <w:p w14:paraId="50550854">
      <w:pPr>
        <w:spacing w:line="0" w:lineRule="atLeast"/>
        <w:jc w:val="center"/>
        <w:rPr>
          <w:rFonts w:hint="eastAsia" w:ascii="宋体" w:hAnsi="宋体" w:eastAsia="宋体" w:cs="宋体"/>
          <w:b/>
          <w:color w:val="auto"/>
          <w:kern w:val="0"/>
          <w:sz w:val="32"/>
          <w:highlight w:val="none"/>
        </w:rPr>
      </w:pPr>
    </w:p>
    <w:p w14:paraId="2A3B11B7">
      <w:pPr>
        <w:spacing w:line="0" w:lineRule="atLeast"/>
        <w:jc w:val="center"/>
        <w:rPr>
          <w:rFonts w:hint="eastAsia" w:ascii="宋体" w:hAnsi="宋体" w:eastAsia="宋体" w:cs="宋体"/>
          <w:b/>
          <w:color w:val="auto"/>
          <w:kern w:val="0"/>
          <w:sz w:val="32"/>
          <w:highlight w:val="none"/>
        </w:rPr>
      </w:pPr>
    </w:p>
    <w:p w14:paraId="3029B99A">
      <w:pPr>
        <w:spacing w:line="0" w:lineRule="atLeast"/>
        <w:jc w:val="center"/>
        <w:rPr>
          <w:rFonts w:hint="eastAsia" w:ascii="宋体" w:hAnsi="宋体" w:eastAsia="宋体" w:cs="宋体"/>
          <w:b/>
          <w:color w:val="auto"/>
          <w:kern w:val="0"/>
          <w:sz w:val="32"/>
          <w:highlight w:val="none"/>
        </w:rPr>
      </w:pPr>
    </w:p>
    <w:p w14:paraId="25B4660B">
      <w:pPr>
        <w:spacing w:line="0" w:lineRule="atLeast"/>
        <w:jc w:val="center"/>
        <w:rPr>
          <w:rFonts w:hint="eastAsia" w:ascii="宋体" w:hAnsi="宋体" w:eastAsia="宋体" w:cs="宋体"/>
          <w:b/>
          <w:color w:val="auto"/>
          <w:kern w:val="0"/>
          <w:sz w:val="32"/>
          <w:highlight w:val="none"/>
        </w:rPr>
      </w:pPr>
    </w:p>
    <w:p w14:paraId="3DB0EC1A">
      <w:pPr>
        <w:spacing w:line="360" w:lineRule="auto"/>
        <w:jc w:val="center"/>
        <w:rPr>
          <w:rFonts w:hint="eastAsia" w:ascii="宋体" w:hAnsi="宋体" w:eastAsia="宋体" w:cs="宋体"/>
          <w:b/>
          <w:color w:val="auto"/>
          <w:kern w:val="0"/>
          <w:sz w:val="32"/>
          <w:szCs w:val="32"/>
          <w:highlight w:val="none"/>
        </w:rPr>
        <w:sectPr>
          <w:footerReference r:id="rId6" w:type="default"/>
          <w:pgSz w:w="11900" w:h="16838"/>
          <w:pgMar w:top="1440" w:right="1800" w:bottom="1440" w:left="1800" w:header="0" w:footer="850" w:gutter="0"/>
          <w:pgBorders>
            <w:top w:val="none" w:sz="0" w:space="0"/>
            <w:left w:val="none" w:sz="0" w:space="0"/>
            <w:bottom w:val="none" w:sz="0" w:space="0"/>
            <w:right w:val="none" w:sz="0" w:space="0"/>
          </w:pgBorders>
          <w:pgNumType w:fmt="decimal" w:start="1"/>
          <w:cols w:space="720" w:num="1"/>
          <w:docGrid w:linePitch="360" w:charSpace="0"/>
        </w:sectPr>
      </w:pPr>
    </w:p>
    <w:p w14:paraId="6FF5B793">
      <w:pPr>
        <w:spacing w:line="360" w:lineRule="auto"/>
        <w:jc w:val="center"/>
        <w:rPr>
          <w:rFonts w:hint="eastAsia" w:ascii="宋体" w:hAnsi="宋体" w:eastAsia="宋体" w:cs="宋体"/>
          <w:b/>
          <w:bCs/>
          <w:color w:val="auto"/>
          <w:kern w:val="44"/>
          <w:sz w:val="28"/>
          <w:szCs w:val="28"/>
          <w:highlight w:val="none"/>
        </w:rPr>
      </w:pPr>
      <w:r>
        <w:rPr>
          <w:rFonts w:hint="eastAsia" w:ascii="宋体" w:hAnsi="宋体" w:eastAsia="宋体" w:cs="宋体"/>
          <w:b/>
          <w:color w:val="auto"/>
          <w:kern w:val="0"/>
          <w:sz w:val="32"/>
          <w:szCs w:val="32"/>
          <w:highlight w:val="none"/>
        </w:rPr>
        <w:t>第一章</w:t>
      </w: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b/>
          <w:color w:val="auto"/>
          <w:sz w:val="32"/>
          <w:szCs w:val="32"/>
          <w:highlight w:val="none"/>
        </w:rPr>
        <w:t>招标公告</w:t>
      </w:r>
    </w:p>
    <w:p w14:paraId="7D33193D">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4"/>
          <w:szCs w:val="24"/>
          <w:highlight w:val="none"/>
        </w:rPr>
      </w:pPr>
      <w:bookmarkStart w:id="0" w:name="_Toc35393790"/>
      <w:bookmarkStart w:id="1" w:name="_Toc28359002"/>
      <w:bookmarkStart w:id="2" w:name="_Toc28359079"/>
      <w:bookmarkStart w:id="3" w:name="_Toc35393621"/>
      <w:bookmarkStart w:id="4" w:name="_Hlk24379207"/>
      <w:r>
        <w:rPr>
          <w:rFonts w:hint="eastAsia" w:ascii="宋体" w:hAnsi="宋体" w:eastAsia="宋体" w:cs="宋体"/>
          <w:color w:val="auto"/>
          <w:sz w:val="24"/>
          <w:szCs w:val="24"/>
          <w:highlight w:val="none"/>
        </w:rPr>
        <w:t>项目概况</w:t>
      </w:r>
    </w:p>
    <w:p w14:paraId="7F75F02D">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驻马店市地下管网管廊及设施建设改造实施方案编制项目</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招标项目的潜在投标人应在</w:t>
      </w:r>
      <w:r>
        <w:rPr>
          <w:rFonts w:hint="eastAsia" w:ascii="宋体" w:hAnsi="宋体" w:eastAsia="宋体" w:cs="宋体"/>
          <w:color w:val="auto"/>
          <w:sz w:val="24"/>
          <w:szCs w:val="24"/>
          <w:highlight w:val="none"/>
          <w:u w:val="single"/>
        </w:rPr>
        <w:t>驻马店市公共资源交易中心电子交易平台(以下简称“交易平台网站”)（https://ggzy.zhumadian.gov.cn ）</w:t>
      </w:r>
      <w:r>
        <w:rPr>
          <w:rFonts w:hint="eastAsia" w:ascii="宋体" w:hAnsi="宋体" w:eastAsia="宋体" w:cs="宋体"/>
          <w:color w:val="auto"/>
          <w:sz w:val="24"/>
          <w:szCs w:val="24"/>
          <w:highlight w:val="none"/>
        </w:rPr>
        <w:t>获取招标文件，并于</w:t>
      </w:r>
      <w:r>
        <w:rPr>
          <w:rFonts w:hint="eastAsia" w:ascii="宋体" w:hAnsi="宋体" w:eastAsia="宋体" w:cs="宋体"/>
          <w:color w:val="auto"/>
          <w:sz w:val="24"/>
          <w:szCs w:val="24"/>
          <w:highlight w:val="none"/>
          <w:u w:val="single"/>
          <w:lang w:val="en-US" w:eastAsia="zh-CN"/>
        </w:rPr>
        <w:t xml:space="preserve">2025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9时00分（北京时间）前递交投标文件。</w:t>
      </w:r>
    </w:p>
    <w:p w14:paraId="5EC9B4AF">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bookmarkEnd w:id="0"/>
      <w:bookmarkEnd w:id="1"/>
      <w:bookmarkEnd w:id="2"/>
      <w:bookmarkEnd w:id="3"/>
      <w:r>
        <w:rPr>
          <w:rFonts w:hint="eastAsia" w:ascii="宋体" w:hAnsi="宋体" w:eastAsia="宋体" w:cs="宋体"/>
          <w:b/>
          <w:color w:val="auto"/>
          <w:sz w:val="24"/>
          <w:szCs w:val="24"/>
          <w:highlight w:val="none"/>
        </w:rPr>
        <w:t>：</w:t>
      </w:r>
    </w:p>
    <w:p w14:paraId="38E3F6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1.项目编号：驻政采购-2025-06-30</w:t>
      </w:r>
    </w:p>
    <w:p w14:paraId="7C12867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lang w:eastAsia="zh-CN"/>
        </w:rPr>
        <w:t>驻马店市地下管网管廊及设施建设改造实施方案编制项目</w:t>
      </w:r>
    </w:p>
    <w:p w14:paraId="4F33333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w:t>
      </w:r>
      <w:bookmarkEnd w:id="4"/>
      <w:r>
        <w:rPr>
          <w:rFonts w:hint="eastAsia" w:ascii="宋体" w:hAnsi="宋体" w:eastAsia="宋体" w:cs="宋体"/>
          <w:color w:val="auto"/>
          <w:sz w:val="24"/>
          <w:szCs w:val="24"/>
          <w:highlight w:val="none"/>
        </w:rPr>
        <w:t>公开招标</w:t>
      </w:r>
    </w:p>
    <w:p w14:paraId="5F8187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eastAsia="宋体" w:cs="宋体"/>
          <w:color w:val="auto"/>
          <w:sz w:val="24"/>
          <w:szCs w:val="24"/>
          <w:highlight w:val="none"/>
          <w:lang w:val="en-US" w:eastAsia="zh-CN"/>
        </w:rPr>
        <w:t>1145200.00</w:t>
      </w:r>
      <w:r>
        <w:rPr>
          <w:rFonts w:hint="eastAsia" w:ascii="宋体" w:hAnsi="宋体" w:eastAsia="宋体" w:cs="宋体"/>
          <w:color w:val="auto"/>
          <w:sz w:val="24"/>
          <w:szCs w:val="24"/>
          <w:highlight w:val="none"/>
        </w:rPr>
        <w:t>元             最高限价：</w:t>
      </w:r>
      <w:r>
        <w:rPr>
          <w:rFonts w:hint="eastAsia" w:ascii="宋体" w:hAnsi="宋体" w:eastAsia="宋体" w:cs="宋体"/>
          <w:color w:val="auto"/>
          <w:sz w:val="24"/>
          <w:szCs w:val="24"/>
          <w:highlight w:val="none"/>
          <w:lang w:val="en-US" w:eastAsia="zh-CN"/>
        </w:rPr>
        <w:t>1145200.00</w:t>
      </w:r>
      <w:r>
        <w:rPr>
          <w:rFonts w:hint="eastAsia" w:ascii="宋体" w:hAnsi="宋体" w:eastAsia="宋体" w:cs="宋体"/>
          <w:color w:val="auto"/>
          <w:sz w:val="24"/>
          <w:szCs w:val="24"/>
          <w:highlight w:val="none"/>
        </w:rPr>
        <w:t>元</w:t>
      </w:r>
    </w:p>
    <w:tbl>
      <w:tblPr>
        <w:tblStyle w:val="19"/>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783"/>
        <w:gridCol w:w="3063"/>
        <w:gridCol w:w="1807"/>
        <w:gridCol w:w="1903"/>
      </w:tblGrid>
      <w:tr w14:paraId="60CF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52" w:type="dxa"/>
            <w:noWrap w:val="0"/>
            <w:vAlign w:val="center"/>
          </w:tcPr>
          <w:p w14:paraId="696BF761">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序号</w:t>
            </w:r>
          </w:p>
        </w:tc>
        <w:tc>
          <w:tcPr>
            <w:tcW w:w="1783" w:type="dxa"/>
            <w:noWrap w:val="0"/>
            <w:vAlign w:val="center"/>
          </w:tcPr>
          <w:p w14:paraId="72BDA8E5">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包号</w:t>
            </w:r>
          </w:p>
        </w:tc>
        <w:tc>
          <w:tcPr>
            <w:tcW w:w="3063" w:type="dxa"/>
            <w:noWrap w:val="0"/>
            <w:vAlign w:val="center"/>
          </w:tcPr>
          <w:p w14:paraId="1E5C3E36">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包名称</w:t>
            </w:r>
          </w:p>
        </w:tc>
        <w:tc>
          <w:tcPr>
            <w:tcW w:w="1807" w:type="dxa"/>
            <w:noWrap w:val="0"/>
            <w:vAlign w:val="center"/>
          </w:tcPr>
          <w:p w14:paraId="02667050">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包预算（元）</w:t>
            </w:r>
          </w:p>
        </w:tc>
        <w:tc>
          <w:tcPr>
            <w:tcW w:w="1903" w:type="dxa"/>
            <w:noWrap w:val="0"/>
            <w:vAlign w:val="center"/>
          </w:tcPr>
          <w:p w14:paraId="4AF11B11">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包最高限价（元）</w:t>
            </w:r>
          </w:p>
        </w:tc>
      </w:tr>
      <w:tr w14:paraId="5E1A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noWrap w:val="0"/>
            <w:vAlign w:val="center"/>
          </w:tcPr>
          <w:p w14:paraId="46F326EA">
            <w:pPr>
              <w:pStyle w:val="6"/>
              <w:keepNext w:val="0"/>
              <w:keepLines w:val="0"/>
              <w:pageBreakBefore w:val="0"/>
              <w:kinsoku/>
              <w:wordWrap/>
              <w:overflowPunct/>
              <w:topLinePunct w:val="0"/>
              <w:autoSpaceDE/>
              <w:autoSpaceDN/>
              <w:bidi w:val="0"/>
              <w:snapToGrid/>
              <w:spacing w:line="400" w:lineRule="exact"/>
              <w:ind w:left="63" w:leftChars="30" w:right="63" w:rightChars="3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1783" w:type="dxa"/>
            <w:noWrap w:val="0"/>
            <w:vAlign w:val="center"/>
          </w:tcPr>
          <w:p w14:paraId="660A99F0">
            <w:pPr>
              <w:pStyle w:val="6"/>
              <w:keepNext w:val="0"/>
              <w:keepLines w:val="0"/>
              <w:pageBreakBefore w:val="0"/>
              <w:kinsoku/>
              <w:wordWrap/>
              <w:overflowPunct/>
              <w:topLinePunct w:val="0"/>
              <w:autoSpaceDE/>
              <w:autoSpaceDN/>
              <w:bidi w:val="0"/>
              <w:snapToGrid/>
              <w:spacing w:line="400" w:lineRule="exact"/>
              <w:ind w:left="63" w:leftChars="30" w:right="63" w:rightChars="3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驻政采购-2025-06-30</w:t>
            </w:r>
            <w:r>
              <w:rPr>
                <w:rFonts w:hint="eastAsia" w:ascii="宋体" w:hAnsi="宋体" w:eastAsia="宋体" w:cs="宋体"/>
                <w:color w:val="auto"/>
                <w:sz w:val="24"/>
                <w:szCs w:val="24"/>
                <w:highlight w:val="none"/>
                <w:lang w:val="en-US" w:eastAsia="zh-CN"/>
              </w:rPr>
              <w:t>A</w:t>
            </w:r>
          </w:p>
        </w:tc>
        <w:tc>
          <w:tcPr>
            <w:tcW w:w="3063" w:type="dxa"/>
            <w:noWrap w:val="0"/>
            <w:vAlign w:val="center"/>
          </w:tcPr>
          <w:p w14:paraId="3F8E2FAA">
            <w:pPr>
              <w:pStyle w:val="28"/>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2"/>
                <w:highlight w:val="none"/>
                <w:lang w:eastAsia="zh-CN"/>
              </w:rPr>
              <w:t>驻马店市地下管网管廊及设施建设改造实施方案编制项目</w:t>
            </w:r>
          </w:p>
        </w:tc>
        <w:tc>
          <w:tcPr>
            <w:tcW w:w="1807" w:type="dxa"/>
            <w:noWrap w:val="0"/>
            <w:vAlign w:val="center"/>
          </w:tcPr>
          <w:p w14:paraId="6A8C3E08">
            <w:pPr>
              <w:pStyle w:val="6"/>
              <w:keepNext w:val="0"/>
              <w:keepLines w:val="0"/>
              <w:pageBreakBefore w:val="0"/>
              <w:kinsoku/>
              <w:wordWrap/>
              <w:overflowPunct/>
              <w:topLinePunct w:val="0"/>
              <w:autoSpaceDE/>
              <w:autoSpaceDN/>
              <w:bidi w:val="0"/>
              <w:snapToGrid/>
              <w:spacing w:line="400" w:lineRule="exact"/>
              <w:ind w:left="63" w:leftChars="30" w:right="63" w:rightChars="3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1145200.00</w:t>
            </w:r>
          </w:p>
        </w:tc>
        <w:tc>
          <w:tcPr>
            <w:tcW w:w="1903" w:type="dxa"/>
            <w:noWrap w:val="0"/>
            <w:vAlign w:val="center"/>
          </w:tcPr>
          <w:p w14:paraId="6E755861">
            <w:pPr>
              <w:pStyle w:val="6"/>
              <w:keepNext w:val="0"/>
              <w:keepLines w:val="0"/>
              <w:pageBreakBefore w:val="0"/>
              <w:kinsoku/>
              <w:wordWrap/>
              <w:overflowPunct/>
              <w:topLinePunct w:val="0"/>
              <w:autoSpaceDE/>
              <w:autoSpaceDN/>
              <w:bidi w:val="0"/>
              <w:snapToGrid/>
              <w:spacing w:line="400" w:lineRule="exact"/>
              <w:ind w:left="63" w:leftChars="30" w:right="63" w:rightChars="3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1145200.00</w:t>
            </w:r>
          </w:p>
        </w:tc>
      </w:tr>
    </w:tbl>
    <w:p w14:paraId="09E8E188">
      <w:pPr>
        <w:spacing w:line="360" w:lineRule="auto"/>
        <w:ind w:firstLine="480" w:firstLineChars="200"/>
        <w:rPr>
          <w:rFonts w:hint="eastAsia" w:ascii="宋体" w:hAnsi="宋体" w:eastAsia="宋体" w:cs="宋体"/>
          <w:color w:val="auto"/>
          <w:sz w:val="24"/>
          <w:szCs w:val="24"/>
          <w:highlight w:val="none"/>
          <w:lang w:val="en-US" w:eastAsia="zh-CN"/>
        </w:rPr>
      </w:pPr>
      <w:bookmarkStart w:id="5" w:name="_Toc28359080"/>
      <w:bookmarkStart w:id="6" w:name="_Toc35393791"/>
      <w:bookmarkStart w:id="7" w:name="_Toc28359003"/>
      <w:bookmarkStart w:id="8" w:name="_Toc35393622"/>
      <w:r>
        <w:rPr>
          <w:rFonts w:hint="eastAsia" w:ascii="宋体" w:hAnsi="宋体" w:eastAsia="宋体" w:cs="宋体"/>
          <w:color w:val="auto"/>
          <w:sz w:val="24"/>
          <w:szCs w:val="24"/>
          <w:highlight w:val="none"/>
        </w:rPr>
        <w:t>5.采购需求：</w:t>
      </w:r>
      <w:r>
        <w:rPr>
          <w:rFonts w:hint="eastAsia" w:ascii="宋体" w:hAnsi="宋体" w:eastAsia="宋体" w:cs="宋体"/>
          <w:color w:val="auto"/>
          <w:sz w:val="24"/>
          <w:szCs w:val="24"/>
          <w:highlight w:val="none"/>
          <w:lang w:val="zh-CN"/>
        </w:rPr>
        <w:t>（包括但不限于标的的名称、数量、简要技术需求或服务要求等）</w:t>
      </w:r>
      <w:r>
        <w:rPr>
          <w:rFonts w:hint="eastAsia" w:ascii="宋体" w:hAnsi="宋体" w:eastAsia="宋体" w:cs="宋体"/>
          <w:color w:val="auto"/>
          <w:sz w:val="24"/>
          <w:szCs w:val="24"/>
          <w:highlight w:val="none"/>
          <w:lang w:val="en-US" w:eastAsia="zh-CN"/>
        </w:rPr>
        <w:t>详见招标文件。</w:t>
      </w:r>
    </w:p>
    <w:p w14:paraId="7B77960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6.合同履行期限：</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日历天</w:t>
      </w:r>
    </w:p>
    <w:p w14:paraId="343FE9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273262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8.本项目是否接受进口产品：否</w:t>
      </w:r>
    </w:p>
    <w:p w14:paraId="6F07743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9.是否专门面向中小企业：</w:t>
      </w:r>
      <w:r>
        <w:rPr>
          <w:rFonts w:hint="eastAsia" w:ascii="宋体" w:hAnsi="宋体" w:eastAsia="宋体" w:cs="宋体"/>
          <w:color w:val="auto"/>
          <w:sz w:val="24"/>
          <w:szCs w:val="24"/>
          <w:highlight w:val="none"/>
          <w:lang w:val="en-US" w:eastAsia="zh-CN"/>
        </w:rPr>
        <w:t>否</w:t>
      </w:r>
    </w:p>
    <w:p w14:paraId="6EE2A883">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bookmarkEnd w:id="5"/>
      <w:bookmarkEnd w:id="6"/>
      <w:bookmarkEnd w:id="7"/>
      <w:bookmarkEnd w:id="8"/>
      <w:bookmarkStart w:id="9" w:name="_Toc35393792"/>
      <w:bookmarkStart w:id="10" w:name="_Toc35393623"/>
      <w:bookmarkStart w:id="11" w:name="_Toc28359081"/>
      <w:bookmarkStart w:id="12" w:name="_Toc28359004"/>
    </w:p>
    <w:p w14:paraId="7EF9D3D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1D2700B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2.落实政府采购政策需满足的资格要求：本项目执行促进中小型企业发展政策（监狱企业、残疾人福利性企业视同小微企业）等政府采购政策</w:t>
      </w:r>
      <w:r>
        <w:rPr>
          <w:rFonts w:hint="eastAsia" w:ascii="宋体" w:hAnsi="宋体" w:eastAsia="宋体" w:cs="宋体"/>
          <w:color w:val="auto"/>
          <w:sz w:val="24"/>
          <w:szCs w:val="24"/>
          <w:highlight w:val="none"/>
          <w:lang w:eastAsia="zh-CN"/>
        </w:rPr>
        <w:t>。</w:t>
      </w:r>
    </w:p>
    <w:p w14:paraId="05DE9C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1F615C70">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kern w:val="0"/>
          <w:sz w:val="24"/>
          <w:highlight w:val="none"/>
        </w:rPr>
        <w:t xml:space="preserve"> 投标</w:t>
      </w:r>
      <w:r>
        <w:rPr>
          <w:rFonts w:hint="eastAsia" w:ascii="宋体" w:hAnsi="宋体" w:eastAsia="宋体" w:cs="宋体"/>
          <w:color w:val="auto"/>
          <w:kern w:val="0"/>
          <w:sz w:val="24"/>
          <w:highlight w:val="none"/>
          <w:lang w:val="en-US" w:eastAsia="zh-CN"/>
        </w:rPr>
        <w:t>人具有有效的企业营业执照、税务登记证、组织机构代码证或三证合一的新营业执照或事业单位法人证书</w:t>
      </w:r>
      <w:r>
        <w:rPr>
          <w:rFonts w:hint="eastAsia" w:ascii="宋体" w:hAnsi="宋体" w:eastAsia="宋体" w:cs="宋体"/>
          <w:color w:val="auto"/>
          <w:kern w:val="0"/>
          <w:sz w:val="24"/>
          <w:highlight w:val="none"/>
        </w:rPr>
        <w:t>。</w:t>
      </w:r>
    </w:p>
    <w:p w14:paraId="5A9FB893">
      <w:pPr>
        <w:spacing w:line="360" w:lineRule="auto"/>
        <w:ind w:firstLine="480" w:firstLineChars="200"/>
        <w:rPr>
          <w:rFonts w:hint="eastAsia" w:ascii="宋体" w:hAnsi="宋体" w:eastAsia="宋体" w:cs="宋体"/>
          <w:color w:val="auto"/>
          <w:kern w:val="0"/>
          <w:sz w:val="24"/>
          <w:highlight w:val="none"/>
          <w:shd w:val="clear" w:color="auto" w:fill="FFFFFF"/>
          <w:lang w:eastAsia="zh-CN" w:bidi="ar"/>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kern w:val="0"/>
          <w:sz w:val="24"/>
          <w:highlight w:val="none"/>
          <w:shd w:val="clear" w:color="auto" w:fill="FFFFFF"/>
          <w:lang w:bidi="ar"/>
        </w:rPr>
        <w:t>符合《中华人民共和国政府采购法》第二十二条规定，按照《驻马店市财政局关于推行政府采购资格审查环节信用承诺制的通知》（驻财购〔2022〕15 号）文件规定提供驻马店市政府采购供应商信用承诺函</w:t>
      </w:r>
      <w:r>
        <w:rPr>
          <w:rFonts w:hint="eastAsia" w:ascii="宋体" w:hAnsi="宋体" w:eastAsia="宋体" w:cs="宋体"/>
          <w:color w:val="auto"/>
          <w:kern w:val="0"/>
          <w:sz w:val="24"/>
          <w:highlight w:val="none"/>
          <w:shd w:val="clear" w:color="auto" w:fill="FFFFFF"/>
          <w:lang w:eastAsia="zh-CN" w:bidi="ar"/>
        </w:rPr>
        <w:t>。</w:t>
      </w:r>
    </w:p>
    <w:p w14:paraId="7775BA55">
      <w:pPr>
        <w:spacing w:line="360" w:lineRule="auto"/>
        <w:ind w:firstLine="480" w:firstLineChars="200"/>
        <w:rPr>
          <w:rFonts w:hint="eastAsia" w:ascii="宋体" w:hAnsi="宋体" w:eastAsia="宋体" w:cs="宋体"/>
          <w:color w:val="auto"/>
          <w:kern w:val="0"/>
          <w:sz w:val="24"/>
          <w:highlight w:val="none"/>
          <w:shd w:val="clear" w:color="auto" w:fill="FFFFFF"/>
          <w:lang w:val="en-US" w:eastAsia="zh-CN" w:bidi="ar"/>
        </w:rPr>
      </w:pPr>
      <w:r>
        <w:rPr>
          <w:rFonts w:hint="eastAsia" w:ascii="宋体" w:hAnsi="宋体" w:eastAsia="宋体" w:cs="宋体"/>
          <w:color w:val="auto"/>
          <w:kern w:val="0"/>
          <w:sz w:val="24"/>
          <w:highlight w:val="none"/>
          <w:shd w:val="clear" w:color="auto" w:fill="FFFFFF"/>
          <w:lang w:val="en-US" w:eastAsia="zh-CN" w:bidi="ar"/>
        </w:rPr>
        <w:t>3.3投标人须同时具有城乡规划编制乙级及以上资质和测绘乙级及以上资质。</w:t>
      </w:r>
    </w:p>
    <w:p w14:paraId="66CDC4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shd w:val="clear" w:color="auto" w:fill="FFFFFF"/>
          <w:lang w:val="en-US" w:eastAsia="zh-CN" w:bidi="ar"/>
        </w:rPr>
        <w:t>3.4</w:t>
      </w:r>
      <w:r>
        <w:rPr>
          <w:rFonts w:hint="eastAsia" w:ascii="宋体" w:hAnsi="宋体" w:eastAsia="宋体" w:cs="宋体"/>
          <w:color w:val="auto"/>
          <w:sz w:val="24"/>
          <w:szCs w:val="24"/>
          <w:highlight w:val="none"/>
        </w:rPr>
        <w:t>根据《关于在政府采购活动中查询及使用信用记录有关问题的通知》(财库〔2016〕125号)的规定，对列入失信被执行人、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、政府采购严重违法失信行为记录名单的投标人，拒绝参与本项目政府采购活动【查询渠道：“信用中国”网站（www.creditchina.gov.cn）、中国政府采购网（www.ccgp.gov.cn）】。</w:t>
      </w:r>
    </w:p>
    <w:p w14:paraId="78E02D68">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三、获取招标文件</w:t>
      </w:r>
      <w:bookmarkEnd w:id="9"/>
      <w:bookmarkEnd w:id="10"/>
      <w:bookmarkEnd w:id="11"/>
      <w:bookmarkEnd w:id="12"/>
      <w:r>
        <w:rPr>
          <w:rFonts w:hint="eastAsia" w:ascii="宋体" w:hAnsi="宋体" w:eastAsia="宋体" w:cs="宋体"/>
          <w:b/>
          <w:color w:val="auto"/>
          <w:sz w:val="24"/>
          <w:szCs w:val="24"/>
          <w:highlight w:val="none"/>
        </w:rPr>
        <w:t>：</w:t>
      </w:r>
    </w:p>
    <w:p w14:paraId="60EC45B8">
      <w:pPr>
        <w:spacing w:line="360" w:lineRule="auto"/>
        <w:ind w:firstLine="540"/>
        <w:rPr>
          <w:rFonts w:hint="eastAsia" w:ascii="宋体" w:hAnsi="宋体" w:eastAsia="宋体" w:cs="宋体"/>
          <w:color w:val="auto"/>
          <w:sz w:val="24"/>
          <w:szCs w:val="24"/>
          <w:highlight w:val="none"/>
          <w:lang w:eastAsia="zh-CN"/>
        </w:rPr>
      </w:pPr>
      <w:bookmarkStart w:id="13" w:name="_Toc28359005"/>
      <w:bookmarkStart w:id="14" w:name="_Toc35393624"/>
      <w:bookmarkStart w:id="15" w:name="_Toc28359082"/>
      <w:bookmarkStart w:id="16" w:name="_Toc35393793"/>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日，每天上午08:00至12:00，下午12:00至</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0（北京时间，法定节假日除外）</w:t>
      </w:r>
      <w:r>
        <w:rPr>
          <w:rFonts w:hint="eastAsia" w:ascii="宋体" w:hAnsi="宋体" w:eastAsia="宋体" w:cs="宋体"/>
          <w:color w:val="auto"/>
          <w:sz w:val="24"/>
          <w:szCs w:val="24"/>
          <w:highlight w:val="none"/>
          <w:lang w:eastAsia="zh-CN"/>
        </w:rPr>
        <w:t>。</w:t>
      </w:r>
    </w:p>
    <w:p w14:paraId="5DC02D1C">
      <w:pPr>
        <w:spacing w:line="360" w:lineRule="auto"/>
        <w:ind w:firstLine="54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2.地点：驻马店市公共资源交易中心电子交易平台(以下简称“交易平台网站”)（https://ggzy.zhumadian.gov.cn ）</w:t>
      </w:r>
      <w:r>
        <w:rPr>
          <w:rFonts w:hint="eastAsia" w:ascii="宋体" w:hAnsi="宋体" w:eastAsia="宋体" w:cs="宋体"/>
          <w:color w:val="auto"/>
          <w:sz w:val="24"/>
          <w:szCs w:val="24"/>
          <w:highlight w:val="none"/>
          <w:lang w:eastAsia="zh-CN"/>
        </w:rPr>
        <w:t>。</w:t>
      </w:r>
    </w:p>
    <w:p w14:paraId="43693BA4">
      <w:pPr>
        <w:spacing w:line="360" w:lineRule="auto"/>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3.方式：登录“驻马店市公共资源交易中心（https://ggzy.zhumadian.gov.cn ）”网站，凭领取的企业身份认证锁（CA密钥）登录系统进行网上免费下载招标文件。未按规定在网上下载招标文件的，将被拒绝。</w:t>
      </w:r>
    </w:p>
    <w:p w14:paraId="2033AEFD">
      <w:pPr>
        <w:spacing w:line="360" w:lineRule="auto"/>
        <w:ind w:firstLine="5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4.售价：0元</w:t>
      </w:r>
      <w:r>
        <w:rPr>
          <w:rFonts w:hint="eastAsia" w:ascii="宋体" w:hAnsi="宋体" w:eastAsia="宋体" w:cs="宋体"/>
          <w:color w:val="auto"/>
          <w:sz w:val="24"/>
          <w:szCs w:val="24"/>
          <w:highlight w:val="none"/>
          <w:lang w:eastAsia="zh-CN"/>
        </w:rPr>
        <w:t>。</w:t>
      </w:r>
    </w:p>
    <w:p w14:paraId="3C6AC1F3">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w:t>
      </w:r>
      <w:bookmarkEnd w:id="13"/>
      <w:bookmarkEnd w:id="14"/>
      <w:bookmarkEnd w:id="15"/>
      <w:bookmarkEnd w:id="16"/>
      <w:r>
        <w:rPr>
          <w:rFonts w:hint="eastAsia" w:ascii="宋体" w:hAnsi="宋体" w:eastAsia="宋体" w:cs="宋体"/>
          <w:b/>
          <w:color w:val="auto"/>
          <w:sz w:val="24"/>
          <w:szCs w:val="24"/>
          <w:highlight w:val="none"/>
        </w:rPr>
        <w:t>投标截止时间及地点：</w:t>
      </w:r>
    </w:p>
    <w:p w14:paraId="3B599EB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日09时00分（北京时间）</w:t>
      </w:r>
    </w:p>
    <w:p w14:paraId="19DAB8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2.地点：驻马店市公共资源交易中心电子交易平台不见面开标</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厅。</w:t>
      </w:r>
    </w:p>
    <w:p w14:paraId="7450117A">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五、开标时间及地点：</w:t>
      </w:r>
    </w:p>
    <w:p w14:paraId="1CE49B39">
      <w:pPr>
        <w:spacing w:line="360" w:lineRule="auto"/>
        <w:ind w:firstLine="480" w:firstLineChars="200"/>
        <w:rPr>
          <w:rFonts w:hint="eastAsia" w:ascii="宋体" w:hAnsi="宋体" w:eastAsia="宋体" w:cs="宋体"/>
          <w:bCs/>
          <w:color w:val="auto"/>
          <w:sz w:val="24"/>
          <w:szCs w:val="24"/>
          <w:highlight w:val="none"/>
        </w:rPr>
      </w:pPr>
      <w:bookmarkStart w:id="17" w:name="_Toc35393625"/>
      <w:bookmarkStart w:id="18" w:name="_Toc28359084"/>
      <w:bookmarkStart w:id="19" w:name="_Toc35393794"/>
      <w:bookmarkStart w:id="20" w:name="_Toc28359007"/>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日09时00分（北京时间）</w:t>
      </w:r>
    </w:p>
    <w:p w14:paraId="369141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2.地点：驻马店市公共资源交易中心电子交易平台不见面开标</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厅。</w:t>
      </w:r>
    </w:p>
    <w:p w14:paraId="37CDB74B">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bookmarkEnd w:id="17"/>
      <w:bookmarkEnd w:id="18"/>
      <w:bookmarkEnd w:id="19"/>
      <w:bookmarkEnd w:id="20"/>
      <w:r>
        <w:rPr>
          <w:rFonts w:hint="eastAsia" w:ascii="宋体" w:hAnsi="宋体" w:eastAsia="宋体" w:cs="宋体"/>
          <w:b/>
          <w:color w:val="auto"/>
          <w:sz w:val="24"/>
          <w:szCs w:val="24"/>
          <w:highlight w:val="none"/>
        </w:rPr>
        <w:t>发布公告的媒介及招标公告期限：</w:t>
      </w:r>
    </w:p>
    <w:p w14:paraId="086AB3CB">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本次招标公告在《河南省政府采购网》、《驻马店市公共资源交易中心网》上发布。招标公告期限为</w:t>
      </w:r>
      <w:r>
        <w:rPr>
          <w:rFonts w:hint="eastAsia" w:ascii="宋体" w:hAnsi="宋体" w:eastAsia="宋体" w:cs="宋体"/>
          <w:color w:val="auto"/>
          <w:kern w:val="0"/>
          <w:sz w:val="24"/>
          <w:szCs w:val="24"/>
          <w:highlight w:val="none"/>
        </w:rPr>
        <w:t>五个工作日。</w:t>
      </w:r>
      <w:bookmarkStart w:id="21" w:name="_Toc35393626"/>
      <w:bookmarkStart w:id="22" w:name="_Toc35393795"/>
    </w:p>
    <w:p w14:paraId="2F02DF18">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七、其他补充事宜</w:t>
      </w:r>
      <w:bookmarkEnd w:id="21"/>
      <w:bookmarkEnd w:id="22"/>
      <w:r>
        <w:rPr>
          <w:rFonts w:hint="eastAsia" w:ascii="宋体" w:hAnsi="宋体" w:eastAsia="宋体" w:cs="宋体"/>
          <w:b/>
          <w:color w:val="auto"/>
          <w:sz w:val="24"/>
          <w:szCs w:val="24"/>
          <w:highlight w:val="none"/>
        </w:rPr>
        <w:t>：</w:t>
      </w:r>
    </w:p>
    <w:p w14:paraId="46C8B090">
      <w:pPr>
        <w:spacing w:line="360" w:lineRule="auto"/>
        <w:ind w:firstLine="480" w:firstLineChars="200"/>
        <w:rPr>
          <w:rFonts w:hint="eastAsia" w:ascii="宋体" w:hAnsi="宋体" w:eastAsia="宋体" w:cs="宋体"/>
          <w:color w:val="auto"/>
          <w:sz w:val="24"/>
          <w:szCs w:val="24"/>
          <w:highlight w:val="none"/>
        </w:rPr>
      </w:pPr>
      <w:bookmarkStart w:id="23" w:name="_Toc35393627"/>
      <w:bookmarkStart w:id="24" w:name="_Toc28359008"/>
      <w:bookmarkStart w:id="25" w:name="_Toc35393796"/>
      <w:bookmarkStart w:id="26" w:name="_Toc28359085"/>
      <w:r>
        <w:rPr>
          <w:rFonts w:hint="eastAsia" w:ascii="宋体" w:hAnsi="宋体" w:eastAsia="宋体" w:cs="宋体"/>
          <w:color w:val="auto"/>
          <w:sz w:val="24"/>
          <w:szCs w:val="24"/>
          <w:highlight w:val="none"/>
        </w:rPr>
        <w:t>1.本项目使用远程不见面交易的模式。投标人应于投标截止时间前将加密电子投标文件(.zmdtf格式)在驻马店市公共资源交易中心电子交易平台加密上传，逾期上传其投标将被拒绝。</w:t>
      </w:r>
    </w:p>
    <w:p w14:paraId="07E83A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2.投标人注册:</w:t>
      </w:r>
    </w:p>
    <w:p w14:paraId="0C79A2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1F5159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3.招标文件下载: </w:t>
      </w:r>
    </w:p>
    <w:p w14:paraId="4D930E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凡有意参加投标者，登录“驻马店市公共资源交易中心（https://ggzy.zhumadian.gov.cn ）”网站，凭领取的企业身份认证锁（CA密钥）登录系统进行网上免费下载招标文件。投标人未按规定在网上下载招标文件的，其投标将被拒绝。</w:t>
      </w:r>
    </w:p>
    <w:p w14:paraId="3052606E">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八、凡对本次招标提出询问，请按照以下方式联系。</w:t>
      </w:r>
      <w:bookmarkEnd w:id="23"/>
      <w:bookmarkEnd w:id="24"/>
      <w:bookmarkEnd w:id="25"/>
      <w:bookmarkEnd w:id="26"/>
    </w:p>
    <w:p w14:paraId="0DC357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采购人信息</w:t>
      </w:r>
    </w:p>
    <w:p w14:paraId="01D31D7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 购 人：</w:t>
      </w:r>
      <w:r>
        <w:rPr>
          <w:rFonts w:hint="eastAsia" w:ascii="宋体" w:hAnsi="宋体" w:eastAsia="宋体" w:cs="宋体"/>
          <w:color w:val="auto"/>
          <w:sz w:val="24"/>
          <w:szCs w:val="24"/>
          <w:highlight w:val="none"/>
          <w:lang w:eastAsia="zh-CN"/>
        </w:rPr>
        <w:t>驻马店市城市管理局（驻马店市城市综合执法局）</w:t>
      </w:r>
    </w:p>
    <w:p w14:paraId="1667405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址：驻马店市驿城区金河街道通达路</w:t>
      </w:r>
    </w:p>
    <w:p w14:paraId="3DFDF76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吴先生</w:t>
      </w:r>
    </w:p>
    <w:p w14:paraId="704EEA1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17518787177</w:t>
      </w:r>
    </w:p>
    <w:p w14:paraId="50ED03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43D338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河南泽群工程咨询有限公司</w:t>
      </w:r>
      <w:r>
        <w:rPr>
          <w:rFonts w:hint="eastAsia" w:ascii="宋体" w:hAnsi="宋体" w:eastAsia="宋体" w:cs="宋体"/>
          <w:color w:val="auto"/>
          <w:sz w:val="24"/>
          <w:szCs w:val="24"/>
          <w:highlight w:val="none"/>
        </w:rPr>
        <w:t xml:space="preserve"> </w:t>
      </w:r>
    </w:p>
    <w:p w14:paraId="5C6DEA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地址：驻马店市金雀路与金顶山路交叉口置地阳光城7号楼11层1107号</w:t>
      </w:r>
    </w:p>
    <w:p w14:paraId="16FB6B2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肖先生</w:t>
      </w:r>
    </w:p>
    <w:p w14:paraId="5FA4EEA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17516121090</w:t>
      </w:r>
    </w:p>
    <w:p w14:paraId="746F1E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36715B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肖先生</w:t>
      </w:r>
    </w:p>
    <w:p w14:paraId="442BD2F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17516121090</w:t>
      </w:r>
    </w:p>
    <w:p w14:paraId="0A91E209">
      <w:pPr>
        <w:widowControl/>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color w:val="auto"/>
          <w:sz w:val="22"/>
          <w:szCs w:val="22"/>
          <w:highlight w:val="none"/>
        </w:rPr>
        <w:br w:type="page"/>
      </w:r>
      <w:r>
        <w:rPr>
          <w:rFonts w:hint="eastAsia" w:ascii="宋体" w:hAnsi="宋体" w:eastAsia="宋体" w:cs="宋体"/>
          <w:b/>
          <w:color w:val="auto"/>
          <w:kern w:val="0"/>
          <w:sz w:val="32"/>
          <w:szCs w:val="32"/>
          <w:highlight w:val="none"/>
        </w:rPr>
        <w:t xml:space="preserve">第二章  </w:t>
      </w:r>
      <w:r>
        <w:rPr>
          <w:rFonts w:hint="eastAsia" w:ascii="宋体" w:hAnsi="宋体" w:eastAsia="宋体" w:cs="宋体"/>
          <w:b/>
          <w:bCs/>
          <w:color w:val="auto"/>
          <w:kern w:val="0"/>
          <w:sz w:val="32"/>
          <w:szCs w:val="32"/>
          <w:highlight w:val="none"/>
        </w:rPr>
        <w:t>采购</w:t>
      </w:r>
      <w:r>
        <w:rPr>
          <w:rFonts w:hint="eastAsia" w:ascii="宋体" w:hAnsi="宋体" w:eastAsia="宋体" w:cs="宋体"/>
          <w:b/>
          <w:color w:val="auto"/>
          <w:kern w:val="0"/>
          <w:sz w:val="32"/>
          <w:szCs w:val="32"/>
          <w:highlight w:val="none"/>
        </w:rPr>
        <w:t>需求</w:t>
      </w:r>
    </w:p>
    <w:p w14:paraId="2B9A94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一、技术</w:t>
      </w:r>
      <w:r>
        <w:rPr>
          <w:rFonts w:hint="eastAsia" w:ascii="宋体" w:hAnsi="宋体" w:cs="宋体"/>
          <w:b w:val="0"/>
          <w:bCs w:val="0"/>
          <w:i w:val="0"/>
          <w:iCs w:val="0"/>
          <w:color w:val="auto"/>
          <w:sz w:val="24"/>
          <w:szCs w:val="24"/>
          <w:highlight w:val="none"/>
          <w:lang w:val="en-US" w:eastAsia="zh-CN"/>
        </w:rPr>
        <w:t>服务</w:t>
      </w:r>
      <w:r>
        <w:rPr>
          <w:rFonts w:hint="eastAsia" w:ascii="宋体" w:hAnsi="宋体" w:eastAsia="宋体" w:cs="宋体"/>
          <w:b w:val="0"/>
          <w:bCs w:val="0"/>
          <w:i w:val="0"/>
          <w:iCs w:val="0"/>
          <w:color w:val="auto"/>
          <w:sz w:val="24"/>
          <w:szCs w:val="24"/>
          <w:highlight w:val="none"/>
          <w:lang w:val="en-US" w:eastAsia="zh-CN"/>
        </w:rPr>
        <w:t>需求</w:t>
      </w:r>
    </w:p>
    <w:p w14:paraId="5D5F54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项目概况：</w:t>
      </w:r>
    </w:p>
    <w:p w14:paraId="387EF5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为贯彻落实党中央、国务院关于“两重”建设的决策部署，为驻马店市地下管网管廊统筹建设和综合管理提供行动指南，提前谋划一批补短板、强弱项、树标杆、上水平的地下管网管廊项目，作为未来5年我市城市地下管网管廊类项目申请中央预算内资金和超长期国债支持的依据。</w:t>
      </w:r>
    </w:p>
    <w:p w14:paraId="7B8071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采购需求：</w:t>
      </w:r>
    </w:p>
    <w:p w14:paraId="16F0E6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研究城市地理区位、自然环境和城市发展基础等城市基本情况；摸排并分项梳理各类管网管廊及设施的分布、权属、建设年代、管养维护状况等现状情况；分项对城市地下管网管廊和设施进行评估，总结市政设施能力短板、市政安全隐患、市政管网低效运行、市政服务空白区域、小区庭院内管网和设施质量安全等方面存在的问题；逐项分析原因，并按照因地制宜、分类施策的原则确定城区地下管网管廊及设施建设改造工作的总体思路；明确各类城市地下管网管廊和设施的建设改造目标，提出城市地下管网管廊和设施的建设布局方案，并统筹建设改造时序，按照轻重缓急制定出5年建设任务。</w:t>
      </w:r>
    </w:p>
    <w:p w14:paraId="20C3FE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实施方案主要框架及内容要求如下：</w:t>
      </w:r>
    </w:p>
    <w:p w14:paraId="3688993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一、城市基本情况</w:t>
      </w:r>
    </w:p>
    <w:p w14:paraId="3C8C52B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（一）地理区位</w:t>
      </w:r>
    </w:p>
    <w:p w14:paraId="723FF7F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（二）自然环境</w:t>
      </w:r>
    </w:p>
    <w:p w14:paraId="0088545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（三）城市发展基础</w:t>
      </w:r>
    </w:p>
    <w:p w14:paraId="046E943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（四）编制范围与期限</w:t>
      </w:r>
    </w:p>
    <w:p w14:paraId="6A903A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二、地下管网和综合管廊现状</w:t>
      </w:r>
    </w:p>
    <w:p w14:paraId="533D13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在开展城市地下管网管廊及设施普查和排查工作（城市市政管网体检）的基础上，分项梳理各类管网管廊及设施的分布权属、建设年代、管养维护状况和存在问题等情况。管网管廊及设施包括但不限于以下7类：（1）城市燃气管网及设施；（2）城市供水管网及设施；（3）城市污水和再生水管网及设施；（4）城市排水管网及排涝设施；（5）城市供热管网及设施；（6）综合管廊及附属设施；（7）地下管网智慧化建设（含物联智能感知设备和信息化系统平台）。</w:t>
      </w:r>
    </w:p>
    <w:p w14:paraId="25F5F4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三、问题和需求分析</w:t>
      </w:r>
    </w:p>
    <w:p w14:paraId="6E2FF9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在全面了解管网管廊及设施建设现状的基础上，结合普查排查成果和近5年厂站设施运行、地下管网管廊运维情况与数据对照建设目标，分项对城市地下管网管廊和设施进行评估，总结市政设施能力短板、市政管网安全隐惠、市政管网低效运行、市政服务空白区域、小区庭院内管网和设施质量安全等方面存在的问题，分析原因，明确建设和改造方向。</w:t>
      </w:r>
    </w:p>
    <w:p w14:paraId="1EE580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四、建设改造目标</w:t>
      </w:r>
    </w:p>
    <w:p w14:paraId="62A293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根据国家相关文件要求，在全面普查、分类分析的基础上按照因地制宜、分类施策的原则确定城区地下管网管廊及设施建设改造工作的总体思路，并分类明确各类城市地下管网、地下管廊及设施的建设改造目标。</w:t>
      </w:r>
    </w:p>
    <w:p w14:paraId="5DB33E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五、建设布局方案</w:t>
      </w:r>
    </w:p>
    <w:p w14:paraId="4E1704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结合问题清单和设施权属等情况，对照建设目标和指标，按照燃气管网及设施、给水管网及设施、污水和再生水管网及设施、排水管网及排水防涝设施、供热管网及设施、综合管廊及附属设施、智慧化建设等分别对城市地下管网管廊和设施提出建设方案，形成市政设施补短板、市政管网管廊提质增效、市政服务全覆盖、小区庭院管网和设施质量提升等实施方案，落实区域治理、系统治理和综合治理，形成项目清单，明确工程位置、内容、规模、标准、实施方式和技术路径、实施期限、建成后管线及设施产权归属等主要内容。</w:t>
      </w:r>
    </w:p>
    <w:p w14:paraId="6EEA29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六、实施计划</w:t>
      </w:r>
    </w:p>
    <w:p w14:paraId="25B0F3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统筹各类管网管廊及设施的建设改造时序，避免反复开挖建设。按照轻重缓急列出近五年建设任务，明确任务主要内容、工程量、资金需求、时序安排、责任部门等，编制项目清单，明确各类项目工程建设内容、工程量、投资估算、预期成效等</w:t>
      </w:r>
      <w:r>
        <w:rPr>
          <w:rFonts w:hint="eastAsia" w:ascii="宋体" w:hAnsi="宋体" w:cs="宋体"/>
          <w:b w:val="0"/>
          <w:bCs w:val="0"/>
          <w:i w:val="0"/>
          <w:iCs w:val="0"/>
          <w:color w:val="auto"/>
          <w:sz w:val="24"/>
          <w:szCs w:val="24"/>
          <w:highlight w:val="none"/>
          <w:lang w:val="en-US" w:eastAsia="zh-CN"/>
        </w:rPr>
        <w:t>。</w:t>
      </w:r>
    </w:p>
    <w:p w14:paraId="5925CA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七、保障措施</w:t>
      </w:r>
    </w:p>
    <w:p w14:paraId="482B8E8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（一）组织保障</w:t>
      </w:r>
    </w:p>
    <w:p w14:paraId="47FEDE1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（二）机制保障</w:t>
      </w:r>
    </w:p>
    <w:p w14:paraId="20DBC88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（三）资金保障</w:t>
      </w:r>
    </w:p>
    <w:p w14:paraId="02800CD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（四）其他保障</w:t>
      </w:r>
    </w:p>
    <w:p w14:paraId="12B1074B">
      <w:pPr>
        <w:spacing w:line="360" w:lineRule="auto"/>
        <w:rPr>
          <w:rFonts w:hint="eastAsia" w:ascii="宋体" w:hAnsi="宋体" w:eastAsia="宋体" w:cs="宋体"/>
          <w:b/>
          <w:bCs/>
          <w:i w:val="0"/>
          <w:iCs w:val="0"/>
          <w:color w:val="auto"/>
          <w:sz w:val="28"/>
          <w:szCs w:val="28"/>
          <w:highlight w:val="none"/>
          <w:lang w:val="en-US" w:eastAsia="zh-CN"/>
        </w:rPr>
      </w:pPr>
      <w:r>
        <w:rPr>
          <w:rFonts w:hint="eastAsia" w:ascii="宋体" w:hAnsi="宋体" w:eastAsia="宋体" w:cs="宋体"/>
          <w:b w:val="0"/>
          <w:bCs w:val="0"/>
          <w:i w:val="0"/>
          <w:iCs w:val="0"/>
          <w:color w:val="auto"/>
          <w:sz w:val="24"/>
          <w:szCs w:val="24"/>
          <w:highlight w:val="none"/>
          <w:lang w:val="en-US" w:eastAsia="zh-CN"/>
        </w:rPr>
        <w:t>八、为满足项目需求，须拟派1名项目负责人和不少于</w:t>
      </w:r>
      <w:r>
        <w:rPr>
          <w:rFonts w:hint="eastAsia" w:ascii="宋体" w:hAnsi="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lang w:val="en-US" w:eastAsia="zh-CN"/>
        </w:rPr>
        <w:t>名工作人员负责本项目日常工作。</w:t>
      </w:r>
      <w:r>
        <w:rPr>
          <w:rFonts w:hint="eastAsia" w:ascii="宋体" w:hAnsi="宋体" w:eastAsia="宋体" w:cs="宋体"/>
          <w:b/>
          <w:bCs/>
          <w:i w:val="0"/>
          <w:iCs w:val="0"/>
          <w:color w:val="auto"/>
          <w:sz w:val="28"/>
          <w:szCs w:val="28"/>
          <w:highlight w:val="none"/>
          <w:lang w:val="en-US" w:eastAsia="zh-CN"/>
        </w:rPr>
        <w:br w:type="page"/>
      </w:r>
    </w:p>
    <w:p w14:paraId="452A67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olor w:val="auto"/>
          <w:sz w:val="28"/>
          <w:szCs w:val="28"/>
          <w:highlight w:val="none"/>
        </w:rPr>
      </w:pPr>
      <w:r>
        <w:rPr>
          <w:rFonts w:hint="eastAsia" w:ascii="宋体" w:hAnsi="宋体" w:eastAsia="宋体" w:cs="宋体"/>
          <w:b/>
          <w:bCs/>
          <w:i w:val="0"/>
          <w:iCs w:val="0"/>
          <w:color w:val="auto"/>
          <w:sz w:val="28"/>
          <w:szCs w:val="28"/>
          <w:highlight w:val="none"/>
          <w:lang w:val="en-US" w:eastAsia="zh-CN"/>
        </w:rPr>
        <w:t>二、</w:t>
      </w:r>
      <w:r>
        <w:rPr>
          <w:rFonts w:hint="eastAsia" w:ascii="宋体" w:hAnsi="宋体" w:eastAsia="宋体" w:cs="宋体"/>
          <w:b/>
          <w:bCs/>
          <w:i w:val="0"/>
          <w:iCs w:val="0"/>
          <w:color w:val="auto"/>
          <w:sz w:val="28"/>
          <w:szCs w:val="28"/>
          <w:highlight w:val="none"/>
        </w:rPr>
        <w:t>商务要求</w:t>
      </w:r>
    </w:p>
    <w:tbl>
      <w:tblPr>
        <w:tblStyle w:val="19"/>
        <w:tblW w:w="9075" w:type="dxa"/>
        <w:tblInd w:w="-2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8"/>
        <w:gridCol w:w="6727"/>
      </w:tblGrid>
      <w:tr w14:paraId="525A4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48" w:type="dxa"/>
            <w:tcBorders>
              <w:top w:val="single" w:color="auto" w:sz="4" w:space="0"/>
              <w:left w:val="single" w:color="auto" w:sz="4" w:space="0"/>
              <w:bottom w:val="single" w:color="auto" w:sz="4" w:space="0"/>
              <w:right w:val="single" w:color="auto" w:sz="4" w:space="0"/>
            </w:tcBorders>
            <w:noWrap w:val="0"/>
            <w:vAlign w:val="center"/>
          </w:tcPr>
          <w:p w14:paraId="29089A85">
            <w:pPr>
              <w:widowControl/>
              <w:spacing w:line="270" w:lineRule="atLeast"/>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服务时间</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26A1CB20">
            <w:pPr>
              <w:widowControl/>
              <w:spacing w:line="270" w:lineRule="atLeast"/>
              <w:rPr>
                <w:rFonts w:hint="eastAsia"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lang w:val="en-US" w:eastAsia="zh-CN"/>
              </w:rPr>
              <w:t>30</w:t>
            </w:r>
            <w:r>
              <w:rPr>
                <w:rFonts w:hint="eastAsia" w:ascii="宋体" w:hAnsi="宋体" w:eastAsia="宋体" w:cs="宋体"/>
                <w:b w:val="0"/>
                <w:bCs w:val="0"/>
                <w:color w:val="auto"/>
                <w:kern w:val="0"/>
                <w:sz w:val="24"/>
                <w:szCs w:val="24"/>
                <w:highlight w:val="none"/>
              </w:rPr>
              <w:t>日历天</w:t>
            </w:r>
          </w:p>
        </w:tc>
      </w:tr>
      <w:tr w14:paraId="0CC06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48" w:type="dxa"/>
            <w:tcBorders>
              <w:top w:val="single" w:color="auto" w:sz="4" w:space="0"/>
              <w:left w:val="single" w:color="auto" w:sz="4" w:space="0"/>
              <w:bottom w:val="single" w:color="auto" w:sz="4" w:space="0"/>
              <w:right w:val="single" w:color="auto" w:sz="4" w:space="0"/>
            </w:tcBorders>
            <w:noWrap w:val="0"/>
            <w:vAlign w:val="center"/>
          </w:tcPr>
          <w:p w14:paraId="1343AC4D">
            <w:pPr>
              <w:widowControl/>
              <w:spacing w:line="270" w:lineRule="atLeas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服务地点</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16FC6D4C">
            <w:pPr>
              <w:widowControl/>
              <w:spacing w:line="270" w:lineRule="atLeas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驻马店市区</w:t>
            </w:r>
          </w:p>
        </w:tc>
      </w:tr>
      <w:tr w14:paraId="4B307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48" w:type="dxa"/>
            <w:tcBorders>
              <w:top w:val="single" w:color="auto" w:sz="4" w:space="0"/>
              <w:left w:val="single" w:color="auto" w:sz="4" w:space="0"/>
              <w:bottom w:val="single" w:color="auto" w:sz="4" w:space="0"/>
              <w:right w:val="single" w:color="auto" w:sz="4" w:space="0"/>
            </w:tcBorders>
            <w:noWrap w:val="0"/>
            <w:vAlign w:val="center"/>
          </w:tcPr>
          <w:p w14:paraId="763AF624">
            <w:pPr>
              <w:widowControl/>
              <w:spacing w:line="270" w:lineRule="atLeas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服务标准</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60155DF9">
            <w:pPr>
              <w:widowControl/>
              <w:spacing w:line="270" w:lineRule="atLeas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达到国家或行业相关规定要求，并通过相关部门审核</w:t>
            </w:r>
          </w:p>
        </w:tc>
      </w:tr>
      <w:tr w14:paraId="7A6CA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2348" w:type="dxa"/>
            <w:tcBorders>
              <w:top w:val="single" w:color="auto" w:sz="4" w:space="0"/>
              <w:left w:val="single" w:color="auto" w:sz="4" w:space="0"/>
              <w:bottom w:val="single" w:color="auto" w:sz="4" w:space="0"/>
              <w:right w:val="single" w:color="auto" w:sz="4" w:space="0"/>
            </w:tcBorders>
            <w:noWrap w:val="0"/>
            <w:vAlign w:val="center"/>
          </w:tcPr>
          <w:p w14:paraId="397EB1A1">
            <w:pPr>
              <w:widowControl/>
              <w:spacing w:line="270" w:lineRule="atLeas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合同签订</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5AFED84B">
            <w:pPr>
              <w:widowControl/>
              <w:spacing w:line="270" w:lineRule="atLeas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中标通知书发出之日起 2工作日内。</w:t>
            </w:r>
          </w:p>
        </w:tc>
      </w:tr>
      <w:tr w14:paraId="30EFD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2348" w:type="dxa"/>
            <w:tcBorders>
              <w:top w:val="single" w:color="auto" w:sz="4" w:space="0"/>
              <w:left w:val="single" w:color="auto" w:sz="4" w:space="0"/>
              <w:bottom w:val="single" w:color="auto" w:sz="4" w:space="0"/>
              <w:right w:val="single" w:color="auto" w:sz="4" w:space="0"/>
            </w:tcBorders>
            <w:noWrap w:val="0"/>
            <w:vAlign w:val="center"/>
          </w:tcPr>
          <w:p w14:paraId="3A2EEBBD">
            <w:pPr>
              <w:widowControl/>
              <w:spacing w:line="270" w:lineRule="atLeas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付款方式</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15D86EFC">
            <w:pPr>
              <w:widowControl/>
              <w:spacing w:line="270" w:lineRule="atLeas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shd w:val="clear" w:color="auto" w:fill="auto"/>
              </w:rPr>
              <w:t>提交初步成果后支付合同金额的50％，行业主管部门审查或专家技术审查通过后支付合同金额的50％</w:t>
            </w:r>
            <w:r>
              <w:rPr>
                <w:rFonts w:hint="eastAsia" w:ascii="宋体" w:hAnsi="宋体" w:eastAsia="宋体" w:cs="宋体"/>
                <w:b w:val="0"/>
                <w:bCs w:val="0"/>
                <w:color w:val="auto"/>
                <w:kern w:val="0"/>
                <w:sz w:val="24"/>
                <w:szCs w:val="24"/>
                <w:highlight w:val="none"/>
                <w:shd w:val="clear" w:color="auto" w:fill="auto"/>
                <w:lang w:eastAsia="zh-CN"/>
              </w:rPr>
              <w:t>。</w:t>
            </w:r>
          </w:p>
        </w:tc>
      </w:tr>
      <w:tr w14:paraId="52BF0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2348" w:type="dxa"/>
            <w:tcBorders>
              <w:top w:val="single" w:color="auto" w:sz="4" w:space="0"/>
              <w:left w:val="single" w:color="auto" w:sz="4" w:space="0"/>
              <w:bottom w:val="single" w:color="auto" w:sz="4" w:space="0"/>
              <w:right w:val="single" w:color="auto" w:sz="4" w:space="0"/>
            </w:tcBorders>
            <w:noWrap w:val="0"/>
            <w:vAlign w:val="center"/>
          </w:tcPr>
          <w:p w14:paraId="11A95BC8">
            <w:pPr>
              <w:widowControl/>
              <w:spacing w:line="270" w:lineRule="atLeas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xml:space="preserve">验收要求及标准 </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46933EF5">
            <w:pPr>
              <w:widowControl/>
              <w:spacing w:line="270" w:lineRule="atLeas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由采购人成立验收小组，验收活动中必须遵守采购人的有关规定。依照国家有关规定以及采购文件、投标文件和合同约定的标准等要求进行验收；</w:t>
            </w:r>
          </w:p>
        </w:tc>
      </w:tr>
    </w:tbl>
    <w:p w14:paraId="0129B65D">
      <w:pPr>
        <w:spacing w:line="56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三、采购人对项目的特殊要求及说明</w:t>
      </w:r>
    </w:p>
    <w:tbl>
      <w:tblPr>
        <w:tblStyle w:val="19"/>
        <w:tblW w:w="9128" w:type="dxa"/>
        <w:tblInd w:w="-247" w:type="dxa"/>
        <w:tblLayout w:type="fixed"/>
        <w:tblCellMar>
          <w:top w:w="0" w:type="dxa"/>
          <w:left w:w="0" w:type="dxa"/>
          <w:bottom w:w="0" w:type="dxa"/>
          <w:right w:w="0" w:type="dxa"/>
        </w:tblCellMar>
      </w:tblPr>
      <w:tblGrid>
        <w:gridCol w:w="1682"/>
        <w:gridCol w:w="7446"/>
      </w:tblGrid>
      <w:tr w14:paraId="5B93D67B">
        <w:tblPrEx>
          <w:tblCellMar>
            <w:top w:w="0" w:type="dxa"/>
            <w:left w:w="0" w:type="dxa"/>
            <w:bottom w:w="0" w:type="dxa"/>
            <w:right w:w="0" w:type="dxa"/>
          </w:tblCellMar>
        </w:tblPrEx>
        <w:trPr>
          <w:trHeight w:val="793" w:hRule="atLeast"/>
        </w:trPr>
        <w:tc>
          <w:tcPr>
            <w:tcW w:w="168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8923F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采购人的特殊要求及说明理由</w:t>
            </w:r>
          </w:p>
        </w:tc>
        <w:tc>
          <w:tcPr>
            <w:tcW w:w="744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EE025B7">
            <w:pPr>
              <w:widowControl/>
              <w:snapToGrid w:val="0"/>
              <w:spacing w:line="360" w:lineRule="auto"/>
              <w:jc w:val="left"/>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、是否收取履约保证金：否</w:t>
            </w:r>
          </w:p>
          <w:p w14:paraId="1C9F65B4">
            <w:pPr>
              <w:widowControl/>
              <w:snapToGrid w:val="0"/>
              <w:spacing w:line="360" w:lineRule="auto"/>
              <w:jc w:val="left"/>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、是否接受联合体参加投标：否</w:t>
            </w:r>
          </w:p>
          <w:p w14:paraId="21A988D1">
            <w:pPr>
              <w:widowControl/>
              <w:snapToGrid w:val="0"/>
              <w:spacing w:line="360" w:lineRule="auto"/>
              <w:jc w:val="left"/>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Cs/>
                <w:color w:val="auto"/>
                <w:sz w:val="24"/>
                <w:szCs w:val="24"/>
                <w:highlight w:val="none"/>
              </w:rPr>
              <w:t>评</w:t>
            </w:r>
            <w:r>
              <w:rPr>
                <w:rFonts w:hint="eastAsia" w:ascii="宋体" w:hAnsi="宋体" w:eastAsia="宋体" w:cs="宋体"/>
                <w:bCs/>
                <w:color w:val="auto"/>
                <w:sz w:val="24"/>
                <w:szCs w:val="24"/>
                <w:highlight w:val="none"/>
                <w:lang w:val="en-US" w:eastAsia="zh-CN"/>
              </w:rPr>
              <w:t>标</w:t>
            </w:r>
            <w:r>
              <w:rPr>
                <w:rFonts w:hint="eastAsia" w:ascii="宋体" w:hAnsi="宋体" w:eastAsia="宋体" w:cs="宋体"/>
                <w:bCs/>
                <w:color w:val="auto"/>
                <w:sz w:val="24"/>
                <w:szCs w:val="24"/>
                <w:highlight w:val="none"/>
              </w:rPr>
              <w:t>委员会根据全体</w:t>
            </w:r>
            <w:r>
              <w:rPr>
                <w:rFonts w:hint="eastAsia" w:ascii="宋体" w:hAnsi="宋体" w:eastAsia="宋体" w:cs="宋体"/>
                <w:bCs/>
                <w:color w:val="auto"/>
                <w:sz w:val="24"/>
                <w:szCs w:val="24"/>
                <w:highlight w:val="none"/>
                <w:lang w:val="en-US" w:eastAsia="zh-CN"/>
              </w:rPr>
              <w:t>评标</w:t>
            </w:r>
            <w:r>
              <w:rPr>
                <w:rFonts w:hint="eastAsia" w:ascii="宋体" w:hAnsi="宋体" w:eastAsia="宋体" w:cs="宋体"/>
                <w:bCs/>
                <w:color w:val="auto"/>
                <w:sz w:val="24"/>
                <w:szCs w:val="24"/>
                <w:highlight w:val="none"/>
              </w:rPr>
              <w:t>成员签字的原始评</w:t>
            </w:r>
            <w:r>
              <w:rPr>
                <w:rFonts w:hint="eastAsia" w:ascii="宋体" w:hAnsi="宋体" w:eastAsia="宋体" w:cs="宋体"/>
                <w:bCs/>
                <w:color w:val="auto"/>
                <w:sz w:val="24"/>
                <w:szCs w:val="24"/>
                <w:highlight w:val="none"/>
                <w:lang w:val="en-US" w:eastAsia="zh-CN"/>
              </w:rPr>
              <w:t>标</w:t>
            </w:r>
            <w:r>
              <w:rPr>
                <w:rFonts w:hint="eastAsia" w:ascii="宋体" w:hAnsi="宋体" w:eastAsia="宋体" w:cs="宋体"/>
                <w:bCs/>
                <w:color w:val="auto"/>
                <w:sz w:val="24"/>
                <w:szCs w:val="24"/>
                <w:highlight w:val="none"/>
              </w:rPr>
              <w:t>记录和评</w:t>
            </w:r>
            <w:r>
              <w:rPr>
                <w:rFonts w:hint="eastAsia" w:ascii="宋体" w:hAnsi="宋体" w:eastAsia="宋体" w:cs="宋体"/>
                <w:bCs/>
                <w:color w:val="auto"/>
                <w:sz w:val="24"/>
                <w:szCs w:val="24"/>
                <w:highlight w:val="none"/>
                <w:lang w:val="en-US" w:eastAsia="zh-CN"/>
              </w:rPr>
              <w:t>标</w:t>
            </w:r>
            <w:r>
              <w:rPr>
                <w:rFonts w:hint="eastAsia" w:ascii="宋体" w:hAnsi="宋体" w:eastAsia="宋体" w:cs="宋体"/>
                <w:bCs/>
                <w:color w:val="auto"/>
                <w:sz w:val="24"/>
                <w:szCs w:val="24"/>
                <w:highlight w:val="none"/>
              </w:rPr>
              <w:t>结果编写评</w:t>
            </w:r>
            <w:r>
              <w:rPr>
                <w:rFonts w:hint="eastAsia" w:ascii="宋体" w:hAnsi="宋体" w:eastAsia="宋体" w:cs="宋体"/>
                <w:bCs/>
                <w:color w:val="auto"/>
                <w:sz w:val="24"/>
                <w:szCs w:val="24"/>
                <w:highlight w:val="none"/>
                <w:lang w:val="en-US" w:eastAsia="zh-CN"/>
              </w:rPr>
              <w:t>标</w:t>
            </w:r>
            <w:r>
              <w:rPr>
                <w:rFonts w:hint="eastAsia" w:ascii="宋体" w:hAnsi="宋体" w:eastAsia="宋体" w:cs="宋体"/>
                <w:bCs/>
                <w:color w:val="auto"/>
                <w:sz w:val="24"/>
                <w:szCs w:val="24"/>
                <w:highlight w:val="none"/>
              </w:rPr>
              <w:t>报告并推荐</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名</w:t>
            </w:r>
            <w:r>
              <w:rPr>
                <w:rFonts w:hint="eastAsia" w:ascii="宋体" w:hAnsi="宋体" w:eastAsia="宋体" w:cs="宋体"/>
                <w:bCs/>
                <w:color w:val="auto"/>
                <w:sz w:val="24"/>
                <w:szCs w:val="24"/>
                <w:highlight w:val="none"/>
                <w:lang w:val="en-US" w:eastAsia="zh-CN"/>
              </w:rPr>
              <w:t>中标候选供应商。</w:t>
            </w:r>
            <w:r>
              <w:rPr>
                <w:rFonts w:hint="eastAsia" w:ascii="宋体" w:hAnsi="宋体" w:eastAsia="宋体" w:cs="宋体"/>
                <w:bCs/>
                <w:color w:val="auto"/>
                <w:sz w:val="24"/>
                <w:szCs w:val="24"/>
                <w:highlight w:val="none"/>
                <w:lang w:eastAsia="zh-CN"/>
              </w:rPr>
              <w:t>采购代理机构应当履行核对评标结果职责，并在评标结束后2个工作日内将评标报告通过公共资源电子交易系统提交采购人</w:t>
            </w:r>
            <w:r>
              <w:rPr>
                <w:rFonts w:hint="eastAsia" w:ascii="宋体" w:hAnsi="宋体" w:eastAsia="宋体" w:cs="宋体"/>
                <w:color w:val="auto"/>
                <w:kern w:val="0"/>
                <w:sz w:val="24"/>
                <w:szCs w:val="24"/>
                <w:highlight w:val="none"/>
                <w:lang w:eastAsia="zh-CN"/>
              </w:rPr>
              <w:t>，采购人应当在收到评</w:t>
            </w:r>
            <w:r>
              <w:rPr>
                <w:rFonts w:hint="eastAsia" w:ascii="宋体" w:hAnsi="宋体" w:eastAsia="宋体" w:cs="宋体"/>
                <w:color w:val="auto"/>
                <w:kern w:val="0"/>
                <w:sz w:val="24"/>
                <w:szCs w:val="24"/>
                <w:highlight w:val="none"/>
                <w:lang w:val="en-US" w:eastAsia="zh-CN"/>
              </w:rPr>
              <w:t>标</w:t>
            </w:r>
            <w:r>
              <w:rPr>
                <w:rFonts w:hint="eastAsia" w:ascii="宋体" w:hAnsi="宋体" w:eastAsia="宋体" w:cs="宋体"/>
                <w:color w:val="auto"/>
                <w:kern w:val="0"/>
                <w:sz w:val="24"/>
                <w:szCs w:val="24"/>
                <w:highlight w:val="none"/>
                <w:lang w:eastAsia="zh-CN"/>
              </w:rPr>
              <w:t>报告1个工作日内通过公共资源电子交易系统线上确定中标供应商。</w:t>
            </w:r>
          </w:p>
          <w:p w14:paraId="52444B94">
            <w:pPr>
              <w:widowControl/>
              <w:snapToGrid w:val="0"/>
              <w:spacing w:line="360" w:lineRule="auto"/>
              <w:jc w:val="left"/>
              <w:outlineLvl w:val="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、是否专门面向中小企业采购：</w:t>
            </w:r>
            <w:r>
              <w:rPr>
                <w:rFonts w:hint="eastAsia" w:ascii="宋体" w:hAnsi="宋体" w:eastAsia="宋体" w:cs="宋体"/>
                <w:color w:val="auto"/>
                <w:kern w:val="0"/>
                <w:sz w:val="24"/>
                <w:szCs w:val="24"/>
                <w:highlight w:val="none"/>
                <w:lang w:val="en-US" w:eastAsia="zh-CN"/>
              </w:rPr>
              <w:t>否</w:t>
            </w:r>
          </w:p>
          <w:p w14:paraId="72764C90">
            <w:pPr>
              <w:widowControl/>
              <w:snapToGrid w:val="0"/>
              <w:spacing w:line="360" w:lineRule="auto"/>
              <w:jc w:val="left"/>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、本项目是否要求以联合体形式参加或者合同分包：否。</w:t>
            </w:r>
          </w:p>
          <w:p w14:paraId="56ED1B7E">
            <w:pPr>
              <w:widowControl/>
              <w:snapToGrid w:val="0"/>
              <w:spacing w:line="360" w:lineRule="auto"/>
              <w:jc w:val="left"/>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、依据《政府采购促进中小企业发展管理办法》(财库〔2020〕46号)的规定享受扶持政策获得政府采购合同的，小微企业不得将合同分包给大中型企业，中型企业不得将合同分包给大型企业。</w:t>
            </w:r>
          </w:p>
          <w:p w14:paraId="405AEBDB">
            <w:pPr>
              <w:widowControl/>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、采购标的对应的中小企业划分标准所属行业为</w:t>
            </w:r>
            <w:r>
              <w:rPr>
                <w:rFonts w:hint="eastAsia" w:ascii="宋体" w:hAnsi="宋体" w:eastAsia="宋体" w:cs="宋体"/>
                <w:color w:val="auto"/>
                <w:kern w:val="0"/>
                <w:sz w:val="24"/>
                <w:szCs w:val="24"/>
                <w:highlight w:val="none"/>
                <w:u w:val="none"/>
              </w:rPr>
              <w:t>：</w:t>
            </w:r>
            <w:r>
              <w:rPr>
                <w:rFonts w:hint="eastAsia" w:ascii="宋体" w:hAnsi="宋体" w:eastAsia="宋体" w:cs="宋体"/>
                <w:color w:val="auto"/>
                <w:kern w:val="0"/>
                <w:sz w:val="24"/>
                <w:szCs w:val="24"/>
                <w:highlight w:val="none"/>
                <w:u w:val="single"/>
              </w:rPr>
              <w:t>其他未列明行业</w:t>
            </w:r>
            <w:r>
              <w:rPr>
                <w:rFonts w:hint="eastAsia" w:ascii="宋体" w:hAnsi="宋体" w:eastAsia="宋体" w:cs="宋体"/>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tc>
      </w:tr>
    </w:tbl>
    <w:p w14:paraId="6B3B7419">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69F8F53A">
      <w:pPr>
        <w:widowControl/>
        <w:numPr>
          <w:ilvl w:val="0"/>
          <w:numId w:val="0"/>
        </w:numPr>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第三章  投标人须知</w:t>
      </w:r>
    </w:p>
    <w:p w14:paraId="5F844598">
      <w:pPr>
        <w:widowControl/>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投标人须知前附表</w:t>
      </w:r>
    </w:p>
    <w:tbl>
      <w:tblPr>
        <w:tblStyle w:val="1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8305"/>
      </w:tblGrid>
      <w:tr w14:paraId="2010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875" w:type="dxa"/>
            <w:noWrap w:val="0"/>
            <w:vAlign w:val="center"/>
          </w:tcPr>
          <w:p w14:paraId="3CB4D65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8305" w:type="dxa"/>
            <w:noWrap w:val="0"/>
            <w:vAlign w:val="center"/>
          </w:tcPr>
          <w:p w14:paraId="61ABF59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内容、要求</w:t>
            </w:r>
          </w:p>
        </w:tc>
      </w:tr>
      <w:tr w14:paraId="0123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875" w:type="dxa"/>
            <w:noWrap w:val="0"/>
            <w:vAlign w:val="center"/>
          </w:tcPr>
          <w:p w14:paraId="5533550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305" w:type="dxa"/>
            <w:noWrap w:val="0"/>
            <w:vAlign w:val="center"/>
          </w:tcPr>
          <w:p w14:paraId="29809C0B">
            <w:pPr>
              <w:numPr>
                <w:ilvl w:val="1"/>
                <w:numId w:val="2"/>
              </w:numPr>
              <w:spacing w:line="360" w:lineRule="auto"/>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驻马店市地下管网管廊及设施建设改造实施方案编制项目</w:t>
            </w:r>
          </w:p>
          <w:p w14:paraId="7255C08D">
            <w:pPr>
              <w:numPr>
                <w:ilvl w:val="0"/>
                <w:numId w:val="0"/>
              </w:numPr>
              <w:spacing w:line="360" w:lineRule="auto"/>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1.2 采购人名称：</w:t>
            </w:r>
            <w:r>
              <w:rPr>
                <w:rFonts w:hint="eastAsia" w:ascii="宋体" w:hAnsi="宋体" w:eastAsia="宋体" w:cs="宋体"/>
                <w:color w:val="auto"/>
                <w:sz w:val="24"/>
                <w:highlight w:val="none"/>
                <w:lang w:eastAsia="zh-CN"/>
              </w:rPr>
              <w:t>驻马店市城市管理局（驻马店市城市综合执法局）</w:t>
            </w:r>
          </w:p>
          <w:p w14:paraId="631CB314">
            <w:pPr>
              <w:spacing w:line="360" w:lineRule="auto"/>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 xml:space="preserve">1.3 项目编号：驻政采购-2025-06-30  </w:t>
            </w:r>
          </w:p>
        </w:tc>
      </w:tr>
      <w:tr w14:paraId="21CD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75" w:type="dxa"/>
            <w:noWrap w:val="0"/>
            <w:vAlign w:val="center"/>
          </w:tcPr>
          <w:p w14:paraId="40A4A4B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305" w:type="dxa"/>
            <w:noWrap w:val="0"/>
            <w:vAlign w:val="center"/>
          </w:tcPr>
          <w:p w14:paraId="2F3F6AD1">
            <w:pPr>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合格投标人：</w:t>
            </w:r>
            <w:r>
              <w:rPr>
                <w:rFonts w:hint="eastAsia" w:ascii="宋体" w:hAnsi="宋体" w:eastAsia="宋体" w:cs="宋体"/>
                <w:color w:val="auto"/>
                <w:sz w:val="24"/>
                <w:highlight w:val="none"/>
              </w:rPr>
              <w:t>具备招标公告第二项规定的条件。</w:t>
            </w:r>
          </w:p>
        </w:tc>
      </w:tr>
      <w:tr w14:paraId="1FE1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75" w:type="dxa"/>
            <w:noWrap w:val="0"/>
            <w:vAlign w:val="center"/>
          </w:tcPr>
          <w:p w14:paraId="6063FC7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305" w:type="dxa"/>
            <w:noWrap w:val="0"/>
            <w:vAlign w:val="center"/>
          </w:tcPr>
          <w:p w14:paraId="794FDF88">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投标报价及费用：</w:t>
            </w:r>
          </w:p>
          <w:p w14:paraId="7139CD4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 本项目投标以人民币报价。</w:t>
            </w:r>
          </w:p>
          <w:p w14:paraId="1A5BFAB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 投标人的报价均超过</w:t>
            </w:r>
            <w:r>
              <w:rPr>
                <w:rFonts w:hint="eastAsia" w:ascii="宋体" w:hAnsi="宋体" w:eastAsia="宋体" w:cs="宋体"/>
                <w:color w:val="auto"/>
                <w:sz w:val="24"/>
                <w:highlight w:val="none"/>
                <w:lang w:val="en-US" w:eastAsia="zh-CN"/>
              </w:rPr>
              <w:t>了</w:t>
            </w:r>
            <w:r>
              <w:rPr>
                <w:rFonts w:hint="eastAsia" w:ascii="宋体" w:hAnsi="宋体" w:eastAsia="宋体" w:cs="宋体"/>
                <w:color w:val="auto"/>
                <w:sz w:val="24"/>
                <w:highlight w:val="none"/>
              </w:rPr>
              <w:t>采购预算或最高限价，采购人不能支付的，</w:t>
            </w:r>
            <w:r>
              <w:rPr>
                <w:rFonts w:hint="eastAsia" w:ascii="宋体" w:hAnsi="宋体" w:eastAsia="宋体" w:cs="宋体"/>
                <w:color w:val="auto"/>
                <w:sz w:val="24"/>
                <w:highlight w:val="none"/>
                <w:lang w:val="en-US" w:eastAsia="zh-CN"/>
              </w:rPr>
              <w:t>应予以</w:t>
            </w:r>
            <w:r>
              <w:rPr>
                <w:rFonts w:hint="eastAsia" w:ascii="宋体" w:hAnsi="宋体" w:eastAsia="宋体" w:cs="宋体"/>
                <w:color w:val="auto"/>
                <w:sz w:val="24"/>
                <w:highlight w:val="none"/>
              </w:rPr>
              <w:t>废标。</w:t>
            </w:r>
          </w:p>
          <w:p w14:paraId="28977233">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3.3 采购人按照驻马店政府采购电子商城合同支付代理服务费</w:t>
            </w:r>
            <w:r>
              <w:rPr>
                <w:rFonts w:hint="eastAsia" w:ascii="宋体" w:hAnsi="宋体" w:eastAsia="宋体" w:cs="宋体"/>
                <w:color w:val="auto"/>
                <w:sz w:val="24"/>
                <w:highlight w:val="none"/>
                <w:lang w:val="en-US" w:eastAsia="zh-CN"/>
              </w:rPr>
              <w:t>2000</w:t>
            </w:r>
            <w:r>
              <w:rPr>
                <w:rFonts w:hint="eastAsia" w:ascii="宋体" w:hAnsi="宋体" w:eastAsia="宋体" w:cs="宋体"/>
                <w:color w:val="auto"/>
                <w:sz w:val="24"/>
                <w:highlight w:val="none"/>
              </w:rPr>
              <w:t>.00元。</w:t>
            </w:r>
          </w:p>
        </w:tc>
      </w:tr>
      <w:tr w14:paraId="06A3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875" w:type="dxa"/>
            <w:noWrap w:val="0"/>
            <w:vAlign w:val="center"/>
          </w:tcPr>
          <w:p w14:paraId="1DDE160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305" w:type="dxa"/>
            <w:noWrap w:val="0"/>
            <w:vAlign w:val="center"/>
          </w:tcPr>
          <w:p w14:paraId="0A647CEC">
            <w:pPr>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现场踏勘或标前答疑：</w:t>
            </w:r>
            <w:r>
              <w:rPr>
                <w:rFonts w:hint="eastAsia" w:ascii="宋体" w:hAnsi="宋体" w:eastAsia="宋体" w:cs="宋体"/>
                <w:color w:val="auto"/>
                <w:sz w:val="24"/>
                <w:highlight w:val="none"/>
              </w:rPr>
              <w:t>本项目不组织现场踏勘或标前答疑会。</w:t>
            </w:r>
          </w:p>
        </w:tc>
      </w:tr>
      <w:tr w14:paraId="7C4F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875" w:type="dxa"/>
            <w:noWrap w:val="0"/>
            <w:vAlign w:val="center"/>
          </w:tcPr>
          <w:p w14:paraId="7D99027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305" w:type="dxa"/>
            <w:noWrap w:val="0"/>
            <w:vAlign w:val="center"/>
          </w:tcPr>
          <w:p w14:paraId="275A17A7">
            <w:pPr>
              <w:spacing w:line="360" w:lineRule="auto"/>
              <w:textAlignment w:val="bottom"/>
              <w:rPr>
                <w:rFonts w:hint="eastAsia" w:ascii="宋体" w:hAnsi="宋体" w:eastAsia="宋体" w:cs="宋体"/>
                <w:color w:val="auto"/>
                <w:sz w:val="24"/>
                <w:highlight w:val="none"/>
              </w:rPr>
            </w:pPr>
            <w:r>
              <w:rPr>
                <w:rFonts w:hint="eastAsia" w:ascii="宋体" w:hAnsi="宋体" w:eastAsia="宋体" w:cs="宋体"/>
                <w:b/>
                <w:color w:val="auto"/>
                <w:sz w:val="24"/>
                <w:highlight w:val="none"/>
              </w:rPr>
              <w:t>投标文件组成：</w:t>
            </w:r>
            <w:r>
              <w:rPr>
                <w:rFonts w:hint="eastAsia" w:ascii="宋体" w:hAnsi="宋体" w:eastAsia="宋体" w:cs="宋体"/>
                <w:bCs/>
                <w:color w:val="auto"/>
                <w:sz w:val="24"/>
                <w:highlight w:val="none"/>
              </w:rPr>
              <w:t>加密版电子投标文件。加密的电子投标文件壹份（*.zmdtf 格式，在会员系统指定位置上传）。</w:t>
            </w:r>
          </w:p>
        </w:tc>
      </w:tr>
      <w:tr w14:paraId="275B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75" w:type="dxa"/>
            <w:noWrap w:val="0"/>
            <w:vAlign w:val="center"/>
          </w:tcPr>
          <w:p w14:paraId="1AAD5BF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305" w:type="dxa"/>
            <w:noWrap w:val="0"/>
            <w:vAlign w:val="center"/>
          </w:tcPr>
          <w:p w14:paraId="3009C84C">
            <w:pPr>
              <w:spacing w:line="360" w:lineRule="auto"/>
              <w:textAlignment w:val="bottom"/>
              <w:rPr>
                <w:rFonts w:hint="eastAsia" w:ascii="宋体" w:hAnsi="宋体" w:eastAsia="宋体" w:cs="宋体"/>
                <w:color w:val="auto"/>
                <w:sz w:val="24"/>
                <w:highlight w:val="none"/>
              </w:rPr>
            </w:pPr>
            <w:r>
              <w:rPr>
                <w:rFonts w:hint="eastAsia" w:ascii="宋体" w:hAnsi="宋体" w:eastAsia="宋体" w:cs="宋体"/>
                <w:b/>
                <w:color w:val="auto"/>
                <w:sz w:val="24"/>
                <w:highlight w:val="none"/>
              </w:rPr>
              <w:t>纸质投标文件：</w:t>
            </w:r>
            <w:r>
              <w:rPr>
                <w:rFonts w:hint="eastAsia" w:ascii="宋体" w:hAnsi="宋体" w:eastAsia="宋体" w:cs="宋体"/>
                <w:bCs/>
                <w:color w:val="auto"/>
                <w:sz w:val="24"/>
                <w:highlight w:val="none"/>
              </w:rPr>
              <w:t>本项目不收取纸质投标文件。</w:t>
            </w:r>
          </w:p>
        </w:tc>
      </w:tr>
      <w:tr w14:paraId="3069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75" w:type="dxa"/>
            <w:noWrap w:val="0"/>
            <w:vAlign w:val="center"/>
          </w:tcPr>
          <w:p w14:paraId="66E690F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305" w:type="dxa"/>
            <w:noWrap w:val="0"/>
            <w:vAlign w:val="center"/>
          </w:tcPr>
          <w:p w14:paraId="5BE86C6D">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投标截止时间及地点：</w:t>
            </w:r>
          </w:p>
          <w:p w14:paraId="0DDF6B91">
            <w:pPr>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投标截止时间：</w:t>
            </w:r>
            <w:r>
              <w:rPr>
                <w:rFonts w:hint="eastAsia" w:ascii="宋体" w:hAnsi="宋体" w:eastAsia="宋体" w:cs="宋体"/>
                <w:bCs/>
                <w:color w:val="auto"/>
                <w:sz w:val="24"/>
                <w:highlight w:val="none"/>
                <w:lang w:val="en-US" w:eastAsia="zh-CN"/>
              </w:rPr>
              <w:t>详见招标文件</w:t>
            </w:r>
          </w:p>
          <w:p w14:paraId="79FF17E1">
            <w:pPr>
              <w:spacing w:line="360" w:lineRule="auto"/>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投标截止地点：</w:t>
            </w:r>
            <w:r>
              <w:rPr>
                <w:rFonts w:hint="eastAsia" w:ascii="宋体" w:hAnsi="宋体" w:eastAsia="宋体" w:cs="宋体"/>
                <w:bCs/>
                <w:color w:val="auto"/>
                <w:sz w:val="24"/>
                <w:highlight w:val="none"/>
                <w:lang w:val="en-US" w:eastAsia="zh-CN"/>
              </w:rPr>
              <w:t>详见招标文件</w:t>
            </w:r>
          </w:p>
        </w:tc>
      </w:tr>
      <w:tr w14:paraId="2348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75" w:type="dxa"/>
            <w:noWrap w:val="0"/>
            <w:vAlign w:val="center"/>
          </w:tcPr>
          <w:p w14:paraId="7918D9D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8305" w:type="dxa"/>
            <w:noWrap w:val="0"/>
            <w:vAlign w:val="center"/>
          </w:tcPr>
          <w:p w14:paraId="287AD299">
            <w:pPr>
              <w:spacing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开标时间及地点：</w:t>
            </w:r>
            <w:r>
              <w:rPr>
                <w:rFonts w:hint="eastAsia" w:ascii="宋体" w:hAnsi="宋体" w:eastAsia="宋体" w:cs="宋体"/>
                <w:bCs/>
                <w:color w:val="auto"/>
                <w:sz w:val="24"/>
                <w:highlight w:val="none"/>
              </w:rPr>
              <w:t>同投标截止时间及地点。（电子投标文件必须凭制作投标文件所用的CA密匙在5分钟内完成解密，最多不超过30分钟）。</w:t>
            </w:r>
          </w:p>
        </w:tc>
      </w:tr>
      <w:tr w14:paraId="07CE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75" w:type="dxa"/>
            <w:noWrap w:val="0"/>
            <w:vAlign w:val="center"/>
          </w:tcPr>
          <w:p w14:paraId="674C00F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8305" w:type="dxa"/>
            <w:noWrap w:val="0"/>
            <w:vAlign w:val="center"/>
          </w:tcPr>
          <w:p w14:paraId="2BAA5F31">
            <w:pPr>
              <w:spacing w:line="360" w:lineRule="auto"/>
              <w:jc w:val="left"/>
              <w:textAlignment w:val="bottom"/>
              <w:rPr>
                <w:rFonts w:hint="eastAsia" w:ascii="宋体" w:hAnsi="宋体" w:eastAsia="宋体" w:cs="宋体"/>
                <w:color w:val="auto"/>
                <w:sz w:val="24"/>
                <w:highlight w:val="none"/>
              </w:rPr>
            </w:pPr>
            <w:r>
              <w:rPr>
                <w:rFonts w:hint="eastAsia" w:ascii="宋体" w:hAnsi="宋体" w:eastAsia="宋体" w:cs="宋体"/>
                <w:b/>
                <w:color w:val="auto"/>
                <w:sz w:val="24"/>
                <w:highlight w:val="none"/>
              </w:rPr>
              <w:t>评标办法（含中标</w:t>
            </w:r>
            <w:r>
              <w:rPr>
                <w:rFonts w:hint="eastAsia" w:ascii="宋体" w:hAnsi="宋体" w:eastAsia="宋体" w:cs="宋体"/>
                <w:b/>
                <w:color w:val="auto"/>
                <w:sz w:val="24"/>
                <w:highlight w:val="none"/>
                <w:lang w:val="en-US" w:eastAsia="zh-CN"/>
              </w:rPr>
              <w:t>供应商</w:t>
            </w:r>
            <w:r>
              <w:rPr>
                <w:rFonts w:hint="eastAsia" w:ascii="宋体" w:hAnsi="宋体" w:eastAsia="宋体" w:cs="宋体"/>
                <w:b/>
                <w:color w:val="auto"/>
                <w:sz w:val="24"/>
                <w:highlight w:val="none"/>
              </w:rPr>
              <w:t>和中标候选</w:t>
            </w:r>
            <w:r>
              <w:rPr>
                <w:rFonts w:hint="eastAsia" w:ascii="宋体" w:hAnsi="宋体" w:eastAsia="宋体" w:cs="宋体"/>
                <w:b/>
                <w:color w:val="auto"/>
                <w:sz w:val="24"/>
                <w:highlight w:val="none"/>
                <w:lang w:val="en-US" w:eastAsia="zh-CN"/>
              </w:rPr>
              <w:t>供应商</w:t>
            </w:r>
            <w:r>
              <w:rPr>
                <w:rFonts w:hint="eastAsia" w:ascii="宋体" w:hAnsi="宋体" w:eastAsia="宋体" w:cs="宋体"/>
                <w:b/>
                <w:color w:val="auto"/>
                <w:sz w:val="24"/>
                <w:highlight w:val="none"/>
              </w:rPr>
              <w:t>数量，不超过3个）:</w:t>
            </w:r>
            <w:r>
              <w:rPr>
                <w:rFonts w:hint="eastAsia" w:ascii="宋体" w:hAnsi="宋体" w:eastAsia="宋体" w:cs="宋体"/>
                <w:color w:val="auto"/>
                <w:sz w:val="24"/>
                <w:highlight w:val="none"/>
              </w:rPr>
              <w:t>采用综合评分法。</w:t>
            </w:r>
          </w:p>
        </w:tc>
      </w:tr>
      <w:tr w14:paraId="3673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875" w:type="dxa"/>
            <w:noWrap w:val="0"/>
            <w:vAlign w:val="center"/>
          </w:tcPr>
          <w:p w14:paraId="7FA5950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8305" w:type="dxa"/>
            <w:noWrap w:val="0"/>
            <w:vAlign w:val="center"/>
          </w:tcPr>
          <w:p w14:paraId="38092BF8">
            <w:pPr>
              <w:spacing w:line="360" w:lineRule="auto"/>
              <w:jc w:val="left"/>
              <w:textAlignment w:val="bottom"/>
              <w:rPr>
                <w:rFonts w:hint="eastAsia" w:ascii="宋体" w:hAnsi="宋体" w:eastAsia="宋体" w:cs="宋体"/>
                <w:color w:val="auto"/>
                <w:sz w:val="24"/>
                <w:highlight w:val="none"/>
              </w:rPr>
            </w:pPr>
            <w:r>
              <w:rPr>
                <w:rFonts w:hint="eastAsia" w:ascii="宋体" w:hAnsi="宋体" w:eastAsia="宋体" w:cs="宋体"/>
                <w:b/>
                <w:color w:val="auto"/>
                <w:sz w:val="24"/>
                <w:highlight w:val="none"/>
              </w:rPr>
              <w:t>中标公告及中标通知书：</w:t>
            </w:r>
            <w:r>
              <w:rPr>
                <w:rFonts w:hint="eastAsia" w:ascii="宋体" w:hAnsi="宋体" w:eastAsia="宋体" w:cs="宋体"/>
                <w:color w:val="auto"/>
                <w:kern w:val="0"/>
                <w:sz w:val="24"/>
                <w:highlight w:val="none"/>
              </w:rPr>
              <w:t>采购代理机构在评</w:t>
            </w:r>
            <w:r>
              <w:rPr>
                <w:rFonts w:hint="eastAsia" w:ascii="宋体" w:hAnsi="宋体" w:eastAsia="宋体" w:cs="宋体"/>
                <w:color w:val="auto"/>
                <w:kern w:val="0"/>
                <w:sz w:val="24"/>
                <w:highlight w:val="none"/>
                <w:lang w:val="en-US" w:eastAsia="zh-CN"/>
              </w:rPr>
              <w:t>标</w:t>
            </w:r>
            <w:r>
              <w:rPr>
                <w:rFonts w:hint="eastAsia" w:ascii="宋体" w:hAnsi="宋体" w:eastAsia="宋体" w:cs="宋体"/>
                <w:color w:val="auto"/>
                <w:kern w:val="0"/>
                <w:sz w:val="24"/>
                <w:highlight w:val="none"/>
              </w:rPr>
              <w:t>结束后2个工作日内将评</w:t>
            </w:r>
            <w:r>
              <w:rPr>
                <w:rFonts w:hint="eastAsia" w:ascii="宋体" w:hAnsi="宋体" w:eastAsia="宋体" w:cs="宋体"/>
                <w:color w:val="auto"/>
                <w:kern w:val="0"/>
                <w:sz w:val="24"/>
                <w:highlight w:val="none"/>
                <w:lang w:val="en-US" w:eastAsia="zh-CN"/>
              </w:rPr>
              <w:t>标</w:t>
            </w:r>
            <w:r>
              <w:rPr>
                <w:rFonts w:hint="eastAsia" w:ascii="宋体" w:hAnsi="宋体" w:eastAsia="宋体" w:cs="宋体"/>
                <w:color w:val="auto"/>
                <w:kern w:val="0"/>
                <w:sz w:val="24"/>
                <w:highlight w:val="none"/>
              </w:rPr>
              <w:t>报告通过公共资源电子交易系统提交采购人，采购人应当在收到评</w:t>
            </w:r>
            <w:r>
              <w:rPr>
                <w:rFonts w:hint="eastAsia" w:ascii="宋体" w:hAnsi="宋体" w:eastAsia="宋体" w:cs="宋体"/>
                <w:color w:val="auto"/>
                <w:kern w:val="0"/>
                <w:sz w:val="24"/>
                <w:highlight w:val="none"/>
                <w:lang w:val="en-US" w:eastAsia="zh-CN"/>
              </w:rPr>
              <w:t>标</w:t>
            </w:r>
            <w:r>
              <w:rPr>
                <w:rFonts w:hint="eastAsia" w:ascii="宋体" w:hAnsi="宋体" w:eastAsia="宋体" w:cs="宋体"/>
                <w:color w:val="auto"/>
                <w:kern w:val="0"/>
                <w:sz w:val="24"/>
                <w:highlight w:val="none"/>
              </w:rPr>
              <w:t>报告1个工作日内通过公共资源电子交易系统线上确定</w:t>
            </w:r>
            <w:r>
              <w:rPr>
                <w:rFonts w:hint="eastAsia" w:ascii="宋体" w:hAnsi="宋体" w:eastAsia="宋体" w:cs="宋体"/>
                <w:color w:val="auto"/>
                <w:kern w:val="0"/>
                <w:sz w:val="24"/>
                <w:highlight w:val="none"/>
                <w:lang w:eastAsia="zh-CN"/>
              </w:rPr>
              <w:t>中标供应商，</w:t>
            </w:r>
            <w:r>
              <w:rPr>
                <w:rFonts w:hint="eastAsia" w:ascii="宋体" w:hAnsi="宋体" w:eastAsia="宋体" w:cs="宋体"/>
                <w:color w:val="auto"/>
                <w:kern w:val="0"/>
                <w:sz w:val="24"/>
                <w:highlight w:val="none"/>
                <w:lang w:val="en-US" w:eastAsia="zh-CN"/>
              </w:rPr>
              <w:t>在中标供应商确定后</w:t>
            </w:r>
            <w:r>
              <w:rPr>
                <w:rFonts w:hint="eastAsia" w:ascii="宋体" w:hAnsi="宋体" w:eastAsia="宋体" w:cs="宋体"/>
                <w:color w:val="auto"/>
                <w:kern w:val="0"/>
                <w:sz w:val="24"/>
                <w:highlight w:val="none"/>
              </w:rPr>
              <w:t>，采购代理机构</w:t>
            </w:r>
            <w:r>
              <w:rPr>
                <w:rFonts w:hint="eastAsia" w:ascii="宋体" w:hAnsi="宋体" w:eastAsia="宋体" w:cs="宋体"/>
                <w:color w:val="auto"/>
                <w:kern w:val="0"/>
                <w:sz w:val="24"/>
                <w:highlight w:val="none"/>
                <w:lang w:eastAsia="zh-CN"/>
              </w:rPr>
              <w:t>应</w:t>
            </w:r>
            <w:r>
              <w:rPr>
                <w:rFonts w:hint="eastAsia" w:ascii="宋体" w:hAnsi="宋体" w:eastAsia="宋体" w:cs="宋体"/>
                <w:color w:val="auto"/>
                <w:kern w:val="0"/>
                <w:sz w:val="24"/>
                <w:highlight w:val="none"/>
              </w:rPr>
              <w:t>及时在</w:t>
            </w:r>
            <w:r>
              <w:rPr>
                <w:rFonts w:hint="eastAsia" w:ascii="宋体" w:hAnsi="宋体" w:eastAsia="宋体" w:cs="宋体"/>
                <w:color w:val="auto"/>
                <w:sz w:val="24"/>
                <w:highlight w:val="none"/>
              </w:rPr>
              <w:t>《河南省政府采购网》、《驻马店市公共资源交易中心网》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等相关媒体上发布</w:t>
            </w:r>
            <w:r>
              <w:rPr>
                <w:rFonts w:hint="eastAsia" w:ascii="宋体" w:hAnsi="宋体" w:eastAsia="宋体" w:cs="宋体"/>
                <w:color w:val="auto"/>
                <w:kern w:val="0"/>
                <w:sz w:val="24"/>
                <w:highlight w:val="none"/>
                <w:lang w:val="en-US" w:eastAsia="zh-CN"/>
              </w:rPr>
              <w:t>中标</w:t>
            </w:r>
            <w:r>
              <w:rPr>
                <w:rFonts w:hint="eastAsia" w:ascii="宋体" w:hAnsi="宋体" w:eastAsia="宋体" w:cs="宋体"/>
                <w:color w:val="auto"/>
                <w:kern w:val="0"/>
                <w:sz w:val="24"/>
                <w:highlight w:val="none"/>
              </w:rPr>
              <w:t>公告，同时向</w:t>
            </w:r>
            <w:r>
              <w:rPr>
                <w:rFonts w:hint="eastAsia" w:ascii="宋体" w:hAnsi="宋体" w:eastAsia="宋体" w:cs="宋体"/>
                <w:color w:val="auto"/>
                <w:kern w:val="0"/>
                <w:sz w:val="24"/>
                <w:highlight w:val="none"/>
                <w:lang w:val="en-US" w:eastAsia="zh-CN"/>
              </w:rPr>
              <w:t>中标供应商</w:t>
            </w:r>
            <w:r>
              <w:rPr>
                <w:rFonts w:hint="eastAsia" w:ascii="宋体" w:hAnsi="宋体" w:eastAsia="宋体" w:cs="宋体"/>
                <w:color w:val="auto"/>
                <w:kern w:val="0"/>
                <w:sz w:val="24"/>
                <w:highlight w:val="none"/>
              </w:rPr>
              <w:t>发出</w:t>
            </w:r>
            <w:r>
              <w:rPr>
                <w:rFonts w:hint="eastAsia" w:ascii="宋体" w:hAnsi="宋体" w:eastAsia="宋体" w:cs="宋体"/>
                <w:color w:val="auto"/>
                <w:kern w:val="0"/>
                <w:sz w:val="24"/>
                <w:highlight w:val="none"/>
                <w:lang w:val="en-US" w:eastAsia="zh-CN"/>
              </w:rPr>
              <w:t>中标</w:t>
            </w:r>
            <w:r>
              <w:rPr>
                <w:rFonts w:hint="eastAsia" w:ascii="宋体" w:hAnsi="宋体" w:eastAsia="宋体" w:cs="宋体"/>
                <w:color w:val="auto"/>
                <w:kern w:val="0"/>
                <w:sz w:val="24"/>
                <w:highlight w:val="none"/>
              </w:rPr>
              <w:t>通知书。</w:t>
            </w:r>
          </w:p>
        </w:tc>
      </w:tr>
      <w:tr w14:paraId="79E7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875" w:type="dxa"/>
            <w:noWrap w:val="0"/>
            <w:vAlign w:val="bottom"/>
          </w:tcPr>
          <w:p w14:paraId="68657943">
            <w:pPr>
              <w:spacing w:line="360" w:lineRule="auto"/>
              <w:jc w:val="cente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11</w:t>
            </w:r>
          </w:p>
        </w:tc>
        <w:tc>
          <w:tcPr>
            <w:tcW w:w="8305" w:type="dxa"/>
            <w:noWrap w:val="0"/>
            <w:vAlign w:val="bottom"/>
          </w:tcPr>
          <w:p w14:paraId="190D2706">
            <w:pPr>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投标保证金交纳与退还：本项目不收取投标保证金。</w:t>
            </w:r>
          </w:p>
        </w:tc>
      </w:tr>
      <w:tr w14:paraId="6464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75" w:type="dxa"/>
            <w:noWrap w:val="0"/>
            <w:vAlign w:val="bottom"/>
          </w:tcPr>
          <w:p w14:paraId="069BE5F8">
            <w:pPr>
              <w:spacing w:line="360" w:lineRule="auto"/>
              <w:jc w:val="cente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12</w:t>
            </w:r>
          </w:p>
        </w:tc>
        <w:tc>
          <w:tcPr>
            <w:tcW w:w="8305" w:type="dxa"/>
            <w:noWrap w:val="0"/>
            <w:vAlign w:val="bottom"/>
          </w:tcPr>
          <w:p w14:paraId="64C96D38">
            <w:pPr>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签订合同：详见第二章招标需求第二项商务要求。</w:t>
            </w:r>
          </w:p>
        </w:tc>
      </w:tr>
      <w:tr w14:paraId="260A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5" w:type="dxa"/>
            <w:noWrap w:val="0"/>
            <w:vAlign w:val="bottom"/>
          </w:tcPr>
          <w:p w14:paraId="35FA50A5">
            <w:pPr>
              <w:spacing w:line="360" w:lineRule="auto"/>
              <w:jc w:val="cente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13</w:t>
            </w:r>
          </w:p>
        </w:tc>
        <w:tc>
          <w:tcPr>
            <w:tcW w:w="8305" w:type="dxa"/>
            <w:noWrap w:val="0"/>
            <w:vAlign w:val="bottom"/>
          </w:tcPr>
          <w:p w14:paraId="54EFE143">
            <w:pPr>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履约保证金的收取及退还: 本项目不收取履约保证金。</w:t>
            </w:r>
          </w:p>
        </w:tc>
      </w:tr>
      <w:tr w14:paraId="50E3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75" w:type="dxa"/>
            <w:noWrap w:val="0"/>
            <w:vAlign w:val="center"/>
          </w:tcPr>
          <w:p w14:paraId="3EDD4E9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8305" w:type="dxa"/>
            <w:noWrap w:val="0"/>
            <w:vAlign w:val="center"/>
          </w:tcPr>
          <w:p w14:paraId="254BD8D0">
            <w:pPr>
              <w:spacing w:line="360" w:lineRule="auto"/>
              <w:jc w:val="left"/>
              <w:textAlignment w:val="bottom"/>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采购资金来源：</w:t>
            </w:r>
            <w:r>
              <w:rPr>
                <w:rFonts w:hint="eastAsia" w:ascii="宋体" w:hAnsi="宋体" w:eastAsia="宋体" w:cs="宋体"/>
                <w:color w:val="auto"/>
                <w:sz w:val="24"/>
                <w:highlight w:val="none"/>
              </w:rPr>
              <w:t>财政资金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资金来源已落实。</w:t>
            </w:r>
          </w:p>
        </w:tc>
      </w:tr>
      <w:tr w14:paraId="4076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75" w:type="dxa"/>
            <w:noWrap w:val="0"/>
            <w:vAlign w:val="center"/>
          </w:tcPr>
          <w:p w14:paraId="08A8DD2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8305" w:type="dxa"/>
            <w:noWrap w:val="0"/>
            <w:vAlign w:val="center"/>
          </w:tcPr>
          <w:p w14:paraId="0AB84EDE">
            <w:pPr>
              <w:spacing w:line="360" w:lineRule="auto"/>
              <w:jc w:val="left"/>
              <w:textAlignment w:val="bottom"/>
              <w:rPr>
                <w:rFonts w:hint="eastAsia" w:ascii="宋体" w:hAnsi="宋体" w:eastAsia="宋体" w:cs="宋体"/>
                <w:color w:val="auto"/>
                <w:sz w:val="24"/>
                <w:highlight w:val="none"/>
              </w:rPr>
            </w:pPr>
            <w:r>
              <w:rPr>
                <w:rFonts w:hint="eastAsia" w:ascii="宋体" w:hAnsi="宋体" w:eastAsia="宋体" w:cs="宋体"/>
                <w:b/>
                <w:color w:val="auto"/>
                <w:sz w:val="24"/>
                <w:highlight w:val="none"/>
              </w:rPr>
              <w:t>付款方式：</w:t>
            </w:r>
            <w:r>
              <w:rPr>
                <w:rFonts w:hint="eastAsia" w:ascii="宋体" w:hAnsi="宋体" w:eastAsia="宋体" w:cs="宋体"/>
                <w:color w:val="auto"/>
                <w:sz w:val="24"/>
                <w:highlight w:val="none"/>
              </w:rPr>
              <w:t>详见第二章招标需求第二项商务要求。</w:t>
            </w:r>
          </w:p>
        </w:tc>
      </w:tr>
      <w:tr w14:paraId="4035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875" w:type="dxa"/>
            <w:noWrap w:val="0"/>
            <w:vAlign w:val="center"/>
          </w:tcPr>
          <w:p w14:paraId="527E519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p>
        </w:tc>
        <w:tc>
          <w:tcPr>
            <w:tcW w:w="8305" w:type="dxa"/>
            <w:noWrap w:val="0"/>
            <w:vAlign w:val="center"/>
          </w:tcPr>
          <w:p w14:paraId="214BF3F7">
            <w:pPr>
              <w:spacing w:line="360" w:lineRule="auto"/>
              <w:jc w:val="left"/>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中标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可以以政府采购合同为担保向金融机构进行贷款融资。</w:t>
            </w:r>
          </w:p>
        </w:tc>
      </w:tr>
      <w:tr w14:paraId="5DD2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875" w:type="dxa"/>
            <w:noWrap w:val="0"/>
            <w:vAlign w:val="center"/>
          </w:tcPr>
          <w:p w14:paraId="1D0D9CF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p>
        </w:tc>
        <w:tc>
          <w:tcPr>
            <w:tcW w:w="8305" w:type="dxa"/>
            <w:noWrap w:val="0"/>
            <w:vAlign w:val="center"/>
          </w:tcPr>
          <w:p w14:paraId="13317751">
            <w:pPr>
              <w:spacing w:line="360" w:lineRule="auto"/>
              <w:jc w:val="left"/>
              <w:textAlignment w:val="bottom"/>
              <w:rPr>
                <w:rFonts w:hint="eastAsia" w:ascii="宋体" w:hAnsi="宋体" w:eastAsia="宋体" w:cs="宋体"/>
                <w:color w:val="auto"/>
                <w:sz w:val="24"/>
                <w:highlight w:val="none"/>
              </w:rPr>
            </w:pPr>
            <w:r>
              <w:rPr>
                <w:rFonts w:hint="eastAsia" w:ascii="宋体" w:hAnsi="宋体" w:eastAsia="宋体" w:cs="宋体"/>
                <w:b/>
                <w:color w:val="auto"/>
                <w:sz w:val="24"/>
                <w:highlight w:val="none"/>
              </w:rPr>
              <w:t>投标文件有效期：</w:t>
            </w:r>
            <w:r>
              <w:rPr>
                <w:rFonts w:hint="eastAsia" w:ascii="宋体" w:hAnsi="宋体" w:eastAsia="宋体" w:cs="宋体"/>
                <w:color w:val="auto"/>
                <w:sz w:val="24"/>
                <w:highlight w:val="none"/>
              </w:rPr>
              <w:t>投标截止之日起90日。中标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的投标文件是合同的组成部分,有效期至合同完全履行止。</w:t>
            </w:r>
          </w:p>
        </w:tc>
      </w:tr>
      <w:tr w14:paraId="4EC0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875" w:type="dxa"/>
            <w:noWrap w:val="0"/>
            <w:vAlign w:val="center"/>
          </w:tcPr>
          <w:p w14:paraId="0197DB9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p>
        </w:tc>
        <w:tc>
          <w:tcPr>
            <w:tcW w:w="8305" w:type="dxa"/>
            <w:noWrap w:val="0"/>
            <w:vAlign w:val="center"/>
          </w:tcPr>
          <w:p w14:paraId="147C5F39">
            <w:pPr>
              <w:wordWrap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标结束后，采购人将通过“信用中国”网站（www.creditchina.gov.cn）、“中国政府采购网”（www.ccgp.gov.cn）查询投标人是否被列入失信被执行人、重大税收违法失信主体和政府采购严重违法失信行为记录名单，并将查询结果存档。采购人查询之后，网站信息发生的任何变化不再作为评审依据；投标人自行提供的与网站信息不一致的其他证明材料不作为评审依据。</w:t>
            </w:r>
          </w:p>
        </w:tc>
      </w:tr>
      <w:tr w14:paraId="055D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875" w:type="dxa"/>
            <w:noWrap w:val="0"/>
            <w:vAlign w:val="center"/>
          </w:tcPr>
          <w:p w14:paraId="1A19261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p>
        </w:tc>
        <w:tc>
          <w:tcPr>
            <w:tcW w:w="8305" w:type="dxa"/>
            <w:noWrap w:val="0"/>
            <w:vAlign w:val="center"/>
          </w:tcPr>
          <w:p w14:paraId="356D7B4F">
            <w:pPr>
              <w:spacing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质疑和投诉：</w:t>
            </w:r>
            <w:r>
              <w:rPr>
                <w:rFonts w:hint="eastAsia" w:ascii="宋体" w:hAnsi="宋体" w:eastAsia="宋体" w:cs="宋体"/>
                <w:color w:val="auto"/>
                <w:sz w:val="24"/>
                <w:highlight w:val="none"/>
              </w:rPr>
              <w:t>详见第三章投标人须知第10条。</w:t>
            </w:r>
          </w:p>
        </w:tc>
      </w:tr>
      <w:tr w14:paraId="27DB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875" w:type="dxa"/>
            <w:noWrap w:val="0"/>
            <w:vAlign w:val="center"/>
          </w:tcPr>
          <w:p w14:paraId="18CFC15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w:t>
            </w:r>
          </w:p>
        </w:tc>
        <w:tc>
          <w:tcPr>
            <w:tcW w:w="8305" w:type="dxa"/>
            <w:noWrap w:val="0"/>
            <w:vAlign w:val="center"/>
          </w:tcPr>
          <w:p w14:paraId="0959F698">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本项目使用远程不见面交易的模式。投标人应于投标截止时间前将加密电子投标文件(.zmdtf格式)在驻马店市公共资源交易中心电子交易平台加密上传，逾期上传其投标将被拒绝。</w:t>
            </w:r>
          </w:p>
        </w:tc>
      </w:tr>
      <w:tr w14:paraId="0E53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875" w:type="dxa"/>
            <w:noWrap w:val="0"/>
            <w:vAlign w:val="center"/>
          </w:tcPr>
          <w:p w14:paraId="13E8A60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8305" w:type="dxa"/>
            <w:noWrap w:val="0"/>
            <w:vAlign w:val="center"/>
          </w:tcPr>
          <w:p w14:paraId="263AA895">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投标人注册:</w:t>
            </w:r>
          </w:p>
          <w:p w14:paraId="2654E7E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投标人首先通过“驻马店市公共资源交易中心（https://ggzy.zhumadian.gov.cn ）”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07D0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875" w:type="dxa"/>
            <w:noWrap w:val="0"/>
            <w:vAlign w:val="center"/>
          </w:tcPr>
          <w:p w14:paraId="7457118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8305" w:type="dxa"/>
            <w:noWrap w:val="0"/>
            <w:vAlign w:val="center"/>
          </w:tcPr>
          <w:p w14:paraId="52ADA8A6">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招标文件下载: </w:t>
            </w:r>
          </w:p>
          <w:p w14:paraId="3B307BB1">
            <w:pPr>
              <w:wordWrap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凡有意参加投标者，登录“驻马店市公共资源交易中心（https://ggzy.zhumadian.gov.cn ）”网站，凭领取的企业身份认证锁（CA密钥）登录系统进行网上免费下载招标文件。投标人未按规定在网上下载招标文件的，其投标将被拒绝。</w:t>
            </w:r>
          </w:p>
        </w:tc>
      </w:tr>
      <w:tr w14:paraId="15C7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875" w:type="dxa"/>
            <w:noWrap w:val="0"/>
            <w:vAlign w:val="center"/>
          </w:tcPr>
          <w:p w14:paraId="0925234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p>
        </w:tc>
        <w:tc>
          <w:tcPr>
            <w:tcW w:w="8305" w:type="dxa"/>
            <w:noWrap w:val="0"/>
            <w:vAlign w:val="center"/>
          </w:tcPr>
          <w:p w14:paraId="2ED2D538">
            <w:pPr>
              <w:spacing w:line="5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投标文件制作: </w:t>
            </w:r>
          </w:p>
          <w:p w14:paraId="04F66390">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1、投标人通过“驻马店市公共资源交易中（https://ggzy.zhumadian.gov.cn）”网站下载中心（政府采购类）：下载“新点投标文件制作软件（驻马店）”。</w:t>
            </w:r>
          </w:p>
          <w:p w14:paraId="651EEFC0">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2、投标人凭 CA 密钥登陆交易系统下载招标文件(.zmdzf格式)。</w:t>
            </w:r>
          </w:p>
          <w:p w14:paraId="39B33E24">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3、投标人须在投标截止时间前制作并提交。加密的电子投标文件（.zmdtf格式）, 应在投标截止时间前通过“驻马店市公共资源交易中心（https://ggzy.zhumadian.gov.cn）”电子交易平台内上传。</w:t>
            </w:r>
          </w:p>
          <w:p w14:paraId="457B7E45">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4、加密的电子投标文件为“驻马店市公共资源交易中心（https://ggzy.zhumadian.gov.cn）”网站提供的“新点投标文件制作软件（驻马店）”制作生成的加密版投标文件。</w:t>
            </w:r>
          </w:p>
          <w:p w14:paraId="04B2654C">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人在编制电子投标文件时，生成后的电子投标文件须按招标文件的格式要求完成电子签字或盖章，无法直接完成电子签字或盖章的投标文件格式内容，投标人须将盖章签字后的扫描图片替换到相应格式中。</w:t>
            </w:r>
          </w:p>
          <w:p w14:paraId="7C3426E7">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6、招标文件格式所要求包含的全部资料应全部制作在投标文件内，严格按照本项目招标文件所有格式如实填写（不涉及的内容除外），不应存在漏项或缺项，否则将存在投标文件被拒绝的风险。</w:t>
            </w:r>
          </w:p>
          <w:p w14:paraId="6F98ED19">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7、投标文件以外的任何资料采购人和采购代理机构将拒收。</w:t>
            </w:r>
          </w:p>
          <w:p w14:paraId="13EC919D">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8、投标人编辑电子投标文件时，根据招标文件要求用法人 CA 密钥和企业CA 密钥进行签章制作；最后一步生成电子投标文件（.zmdtf 格式和.nzmdtf 格式）时，只能用本单位的企业 CA 密钥。</w:t>
            </w:r>
          </w:p>
          <w:p w14:paraId="306AD019">
            <w:pPr>
              <w:wordWrap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9、电子投标文件制作流程，可参考驻马店市公共资源交易中心官方网站的下载中心板块的视频（https://ggzy.zhumadian.gov.cn/TPFront/InfoDetail/?InfoID=844e0ea7-2b6c-425d-99f6-91bd5b500e5e&amp;CategoryNum=026002）</w:t>
            </w:r>
          </w:p>
        </w:tc>
      </w:tr>
      <w:tr w14:paraId="50BD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875" w:type="dxa"/>
            <w:noWrap w:val="0"/>
            <w:vAlign w:val="center"/>
          </w:tcPr>
          <w:p w14:paraId="04E78495">
            <w:pPr>
              <w:widowControl/>
              <w:snapToGrid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w:t>
            </w:r>
          </w:p>
        </w:tc>
        <w:tc>
          <w:tcPr>
            <w:tcW w:w="8305" w:type="dxa"/>
            <w:noWrap w:val="0"/>
            <w:vAlign w:val="center"/>
          </w:tcPr>
          <w:p w14:paraId="19C23215">
            <w:pPr>
              <w:spacing w:line="360" w:lineRule="auto"/>
              <w:contextualSpacing/>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投标文件上传:</w:t>
            </w:r>
            <w:r>
              <w:rPr>
                <w:rFonts w:hint="eastAsia" w:ascii="宋体" w:hAnsi="宋体" w:eastAsia="宋体" w:cs="宋体"/>
                <w:bCs/>
                <w:color w:val="auto"/>
                <w:kern w:val="0"/>
                <w:sz w:val="24"/>
                <w:highlight w:val="none"/>
              </w:rPr>
              <w:t>详见第三章投标人须知第21条</w:t>
            </w:r>
          </w:p>
        </w:tc>
      </w:tr>
      <w:tr w14:paraId="0A4C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875" w:type="dxa"/>
            <w:noWrap w:val="0"/>
            <w:vAlign w:val="center"/>
          </w:tcPr>
          <w:p w14:paraId="196F56FC">
            <w:pPr>
              <w:widowControl/>
              <w:snapToGrid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w:t>
            </w:r>
          </w:p>
        </w:tc>
        <w:tc>
          <w:tcPr>
            <w:tcW w:w="8305" w:type="dxa"/>
            <w:noWrap w:val="0"/>
            <w:vAlign w:val="center"/>
          </w:tcPr>
          <w:p w14:paraId="410C02DE">
            <w:pPr>
              <w:spacing w:line="360" w:lineRule="auto"/>
              <w:contextualSpacing/>
              <w:rPr>
                <w:rFonts w:hint="eastAsia" w:ascii="宋体" w:hAnsi="宋体" w:eastAsia="宋体" w:cs="宋体"/>
                <w:b/>
                <w:color w:val="auto"/>
                <w:sz w:val="24"/>
                <w:highlight w:val="none"/>
              </w:rPr>
            </w:pPr>
            <w:r>
              <w:rPr>
                <w:rFonts w:hint="eastAsia" w:ascii="宋体" w:hAnsi="宋体" w:eastAsia="宋体" w:cs="宋体"/>
                <w:b/>
                <w:bCs/>
                <w:color w:val="auto"/>
                <w:kern w:val="0"/>
                <w:sz w:val="24"/>
                <w:highlight w:val="none"/>
              </w:rPr>
              <w:t>招标文件的澄清与变更:</w:t>
            </w:r>
            <w:r>
              <w:rPr>
                <w:rFonts w:hint="eastAsia" w:ascii="宋体" w:hAnsi="宋体" w:eastAsia="宋体" w:cs="宋体"/>
                <w:b/>
                <w:color w:val="auto"/>
                <w:sz w:val="24"/>
                <w:highlight w:val="none"/>
              </w:rPr>
              <w:t xml:space="preserve"> </w:t>
            </w:r>
          </w:p>
          <w:p w14:paraId="6F45CAE1">
            <w:pPr>
              <w:spacing w:line="360" w:lineRule="auto"/>
              <w:contextualSpacing/>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1、</w:t>
            </w:r>
            <w:r>
              <w:rPr>
                <w:rFonts w:hint="eastAsia" w:ascii="宋体" w:hAnsi="宋体" w:eastAsia="宋体" w:cs="宋体"/>
                <w:bCs/>
                <w:color w:val="auto"/>
                <w:kern w:val="0"/>
                <w:sz w:val="24"/>
                <w:highlight w:val="none"/>
              </w:rPr>
              <w:t>采购人、采购代理机构对已发出的招标文件进行的澄清、更正或更改，澄清、更正或更改的内容将作为招标文件的组成部分。采购代理机构将通过网站“变更公告”和“答疑文件”告知投标人。各投标人须下载招标文件和最新的答疑文件，以此编制投标文件。</w:t>
            </w:r>
          </w:p>
          <w:p w14:paraId="27821A06">
            <w:pPr>
              <w:spacing w:line="360" w:lineRule="auto"/>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2、因驻马店市公共资源交易中心电子交易平台在开标前具有保密性，投标人在投标截止时间前须自行查看项目进展、变更通知、澄清及回复，因投标人未及时查看而造成的后果自负。</w:t>
            </w:r>
          </w:p>
        </w:tc>
      </w:tr>
      <w:tr w14:paraId="1FCB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875" w:type="dxa"/>
            <w:noWrap w:val="0"/>
            <w:vAlign w:val="center"/>
          </w:tcPr>
          <w:p w14:paraId="66749957">
            <w:pPr>
              <w:widowControl/>
              <w:snapToGrid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w:t>
            </w:r>
          </w:p>
        </w:tc>
        <w:tc>
          <w:tcPr>
            <w:tcW w:w="8305" w:type="dxa"/>
            <w:noWrap w:val="0"/>
            <w:vAlign w:val="center"/>
          </w:tcPr>
          <w:p w14:paraId="76A17587">
            <w:pPr>
              <w:spacing w:line="500" w:lineRule="exact"/>
              <w:contextualSpacing/>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开标：</w:t>
            </w:r>
          </w:p>
          <w:p w14:paraId="4B7EBA23">
            <w:pPr>
              <w:spacing w:line="500" w:lineRule="exact"/>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1、开标当日，投标人无需到达开标现场，仅需在任意地点使用企业CA 密钥登入驻马店市公共资源交易中心电子交易平台不见面开标大厅（</w:t>
            </w:r>
            <w:r>
              <w:rPr>
                <w:rFonts w:hint="eastAsia" w:ascii="宋体" w:hAnsi="宋体" w:eastAsia="宋体" w:cs="宋体"/>
                <w:color w:val="auto"/>
                <w:sz w:val="24"/>
                <w:highlight w:val="none"/>
              </w:rPr>
              <w:t>https://ggzy.zhumadian.gov.cn</w:t>
            </w:r>
            <w:r>
              <w:rPr>
                <w:rFonts w:hint="eastAsia" w:ascii="宋体" w:hAnsi="宋体" w:eastAsia="宋体" w:cs="宋体"/>
                <w:bCs/>
                <w:color w:val="auto"/>
                <w:kern w:val="0"/>
                <w:sz w:val="24"/>
                <w:highlight w:val="none"/>
              </w:rPr>
              <w:t>:9190/BidOpening/bidopeninghallaction/hall/login）及相应的配套硬件设备（摄像头、话筒、麦克风等）参加开标会议。</w:t>
            </w:r>
          </w:p>
          <w:p w14:paraId="50C214F6">
            <w:pPr>
              <w:spacing w:line="500" w:lineRule="exact"/>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2、开标时，投标人必须使用能正确解密投标文件的CA 密钥在规定的时间内完成远程解密，因投标人原因未能解密、解密失败或解密超时，视为投标人撤销其投标文件，系统内投标文件将被退回；因</w:t>
            </w:r>
            <w:r>
              <w:rPr>
                <w:rFonts w:hint="eastAsia" w:ascii="宋体" w:hAnsi="宋体" w:eastAsia="宋体" w:cs="宋体"/>
                <w:bCs/>
                <w:color w:val="auto"/>
                <w:kern w:val="0"/>
                <w:sz w:val="24"/>
                <w:highlight w:val="none"/>
                <w:lang w:val="en-US" w:eastAsia="zh-CN"/>
              </w:rPr>
              <w:t>采购</w:t>
            </w:r>
            <w:r>
              <w:rPr>
                <w:rFonts w:hint="eastAsia" w:ascii="宋体" w:hAnsi="宋体" w:eastAsia="宋体" w:cs="宋体"/>
                <w:bCs/>
                <w:color w:val="auto"/>
                <w:kern w:val="0"/>
                <w:sz w:val="24"/>
                <w:highlight w:val="none"/>
              </w:rPr>
              <w:t>人原因或网上招投标平台发生故障，导致投标人无法按时完成投标文件解密或开、评标工作无法进行的，可根据实际情况报请批准后相应延迟解密时间或调整开、评标时间（友情提示：若投标人已领取副锁（含多把副锁）请注意正副锁的使用差别）。</w:t>
            </w:r>
          </w:p>
          <w:p w14:paraId="2B279F71">
            <w:pPr>
              <w:spacing w:line="500" w:lineRule="exact"/>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3、远程开标前，投标人务必在驻马店市公共资源交易中心电子交易平台（</w:t>
            </w:r>
            <w:r>
              <w:rPr>
                <w:rFonts w:hint="eastAsia" w:ascii="宋体" w:hAnsi="宋体" w:eastAsia="宋体" w:cs="宋体"/>
                <w:color w:val="auto"/>
                <w:sz w:val="24"/>
                <w:highlight w:val="none"/>
              </w:rPr>
              <w:t>https://ggzy.zhumadian.gov.cn</w:t>
            </w:r>
            <w:r>
              <w:rPr>
                <w:rFonts w:hint="eastAsia" w:ascii="宋体" w:hAnsi="宋体" w:eastAsia="宋体" w:cs="宋体"/>
                <w:bCs/>
                <w:color w:val="auto"/>
                <w:kern w:val="0"/>
                <w:sz w:val="24"/>
                <w:highlight w:val="none"/>
              </w:rPr>
              <w:t>:8820/TPBidder）投标文件上传模块中使用“模拟解密”功能，验证本机远程自助解密环境。</w:t>
            </w:r>
          </w:p>
          <w:p w14:paraId="179D2D6A">
            <w:pPr>
              <w:spacing w:line="500" w:lineRule="exact"/>
              <w:contextualSpacing/>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4、特别提醒：</w:t>
            </w:r>
          </w:p>
          <w:p w14:paraId="096783AD">
            <w:pPr>
              <w:spacing w:line="500" w:lineRule="exact"/>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    因驻马店市公共资源交易中心电子交易平台不见面交易系统具备视频直播、语音通话等，对网络带宽及硬件要求相对较高的功能，故投标人在参与使用不见面交易系统开标的项目时，需确认是否满足如下要求：</w:t>
            </w:r>
          </w:p>
          <w:p w14:paraId="01E152EE">
            <w:pPr>
              <w:spacing w:line="500" w:lineRule="exact"/>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（1）网络要求：网络带宽4M以上。</w:t>
            </w:r>
          </w:p>
          <w:p w14:paraId="1C478F94">
            <w:pPr>
              <w:spacing w:line="500" w:lineRule="exact"/>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（2）硬件要求：电脑要求内存4G及以上，且需配套网络摄像头、麦克风、音箱等，并确保其均能正常运转。操作系统要求Windows7及以上，IE浏览器IE11及以上。</w:t>
            </w:r>
          </w:p>
          <w:p w14:paraId="6A67DD74">
            <w:pPr>
              <w:spacing w:line="500" w:lineRule="exact"/>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（3）人员要求：对于参与驻马店市公共资源交易中心电子交易平台不见面交易系统开标的投标人，要求能熟练掌握电脑基础操作。不见面开标操作手册下载地址：</w:t>
            </w:r>
          </w:p>
          <w:p w14:paraId="15B72173">
            <w:pPr>
              <w:spacing w:line="500" w:lineRule="exact"/>
              <w:ind w:left="210" w:leftChars="100"/>
              <w:contextualSpacing/>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（https://ggzy.zhumadian.gov.cn</w:t>
            </w:r>
            <w:r>
              <w:rPr>
                <w:rFonts w:hint="eastAsia" w:ascii="宋体" w:hAnsi="宋体" w:eastAsia="宋体" w:cs="宋体"/>
                <w:bCs/>
                <w:color w:val="auto"/>
                <w:kern w:val="0"/>
                <w:sz w:val="24"/>
                <w:highlight w:val="none"/>
              </w:rPr>
              <w:t>/TPFront/InfoDetail/?InfoID=6e085538-6be5-4d25-80b2-12f5fc669ba1&amp;CategoryNum=026005）</w:t>
            </w:r>
          </w:p>
        </w:tc>
      </w:tr>
      <w:tr w14:paraId="731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875" w:type="dxa"/>
            <w:noWrap w:val="0"/>
            <w:vAlign w:val="center"/>
          </w:tcPr>
          <w:p w14:paraId="0B034E53">
            <w:pPr>
              <w:widowControl/>
              <w:snapToGrid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27</w:t>
            </w:r>
          </w:p>
        </w:tc>
        <w:tc>
          <w:tcPr>
            <w:tcW w:w="8305" w:type="dxa"/>
            <w:noWrap w:val="0"/>
            <w:vAlign w:val="center"/>
          </w:tcPr>
          <w:p w14:paraId="71273601">
            <w:pPr>
              <w:spacing w:line="360" w:lineRule="auto"/>
              <w:contextualSpacing/>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评标：</w:t>
            </w:r>
          </w:p>
          <w:p w14:paraId="3486FAA6">
            <w:pPr>
              <w:spacing w:line="360" w:lineRule="auto"/>
              <w:contextualSpacing/>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eq \o\ac(</w:instrText>
            </w:r>
            <w:r>
              <w:rPr>
                <w:rFonts w:hint="eastAsia" w:ascii="宋体" w:hAnsi="宋体" w:eastAsia="宋体" w:cs="宋体"/>
                <w:b/>
                <w:bCs/>
                <w:color w:val="auto"/>
                <w:kern w:val="0"/>
                <w:position w:val="-4"/>
                <w:sz w:val="36"/>
                <w:highlight w:val="none"/>
              </w:rPr>
              <w:instrText xml:space="preserve">□</w:instrText>
            </w:r>
            <w:r>
              <w:rPr>
                <w:rFonts w:hint="eastAsia" w:ascii="宋体" w:hAnsi="宋体" w:eastAsia="宋体" w:cs="宋体"/>
                <w:b/>
                <w:bCs/>
                <w:color w:val="auto"/>
                <w:kern w:val="0"/>
                <w:sz w:val="24"/>
                <w:highlight w:val="none"/>
              </w:rPr>
              <w:instrText xml:space="preserve">)</w:instrTex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rPr>
              <w:t>网络电子评标（电子评标过程中当出现突发情况，导致系统无法正常运行且短时间内无法修复时，经监督部门同意，延迟评标），详见第三章投标人须知第25、26、27、28条。</w:t>
            </w:r>
          </w:p>
          <w:p w14:paraId="3B4361C4">
            <w:pPr>
              <w:spacing w:line="360" w:lineRule="auto"/>
              <w:contextualSpacing/>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☑远程网络电子评标</w:t>
            </w:r>
          </w:p>
        </w:tc>
      </w:tr>
      <w:tr w14:paraId="1DFD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75" w:type="dxa"/>
            <w:noWrap w:val="0"/>
            <w:vAlign w:val="center"/>
          </w:tcPr>
          <w:p w14:paraId="51D085A4">
            <w:pPr>
              <w:widowControl/>
              <w:snapToGrid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w:t>
            </w:r>
          </w:p>
        </w:tc>
        <w:tc>
          <w:tcPr>
            <w:tcW w:w="8305" w:type="dxa"/>
            <w:noWrap w:val="0"/>
            <w:vAlign w:val="center"/>
          </w:tcPr>
          <w:p w14:paraId="4D435647">
            <w:pPr>
              <w:widowControl/>
              <w:spacing w:line="360" w:lineRule="auto"/>
              <w:contextualSpacing/>
              <w:jc w:val="left"/>
              <w:textAlignment w:val="bottom"/>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解释：</w:t>
            </w:r>
            <w:r>
              <w:rPr>
                <w:rFonts w:hint="eastAsia" w:ascii="宋体" w:hAnsi="宋体" w:eastAsia="宋体" w:cs="宋体"/>
                <w:color w:val="auto"/>
                <w:kern w:val="0"/>
                <w:sz w:val="24"/>
                <w:highlight w:val="none"/>
              </w:rPr>
              <w:t>构成本招标文件的各个组成文件应互为解释，互为说明；如有不明确或不一致，构成合同文件组成内容的，以合同文件约定内容为准；除招标文件中有特殊规定外，仅适用于招标投标阶段的规定，按招标公告、投标人须知、评标办法、投标文件格式的先后顺序解释；同一组成文件中就同一事项的规定或约定不一致的，以编排顺序在后者为准；当招标文件与招标文件的澄清、修改或补充通知就同一内容的表述不一致时，以最后发出的书面文件为准。合同文件约定或后者明显错误的除外。</w:t>
            </w:r>
          </w:p>
          <w:p w14:paraId="2C756240">
            <w:pPr>
              <w:widowControl/>
              <w:snapToGrid w:val="0"/>
              <w:spacing w:line="360" w:lineRule="auto"/>
              <w:contextualSpacing/>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按本款前述规定仍不能形成结论的，由采购人（或采购代理机构）负责解释。</w:t>
            </w:r>
          </w:p>
        </w:tc>
      </w:tr>
    </w:tbl>
    <w:p w14:paraId="0CC6E913">
      <w:pPr>
        <w:adjustRightInd w:val="0"/>
        <w:snapToGrid w:val="0"/>
        <w:spacing w:line="360" w:lineRule="auto"/>
        <w:jc w:val="center"/>
        <w:outlineLvl w:val="1"/>
        <w:rPr>
          <w:rFonts w:hint="eastAsia" w:ascii="宋体" w:hAnsi="宋体" w:eastAsia="宋体" w:cs="宋体"/>
          <w:b/>
          <w:snapToGrid w:val="0"/>
          <w:color w:val="auto"/>
          <w:sz w:val="24"/>
          <w:highlight w:val="none"/>
          <w:lang w:bidi="ar"/>
        </w:rPr>
      </w:pPr>
      <w:bookmarkStart w:id="27" w:name="_Toc9222"/>
      <w:bookmarkStart w:id="28" w:name="_Toc20039"/>
      <w:bookmarkStart w:id="29" w:name="_Toc30400"/>
      <w:bookmarkStart w:id="30" w:name="_Toc19637"/>
    </w:p>
    <w:p w14:paraId="176AB2C3">
      <w:pPr>
        <w:adjustRightInd w:val="0"/>
        <w:snapToGrid w:val="0"/>
        <w:spacing w:line="360" w:lineRule="auto"/>
        <w:jc w:val="center"/>
        <w:outlineLvl w:val="1"/>
        <w:rPr>
          <w:rFonts w:hint="eastAsia" w:ascii="宋体" w:hAnsi="宋体" w:eastAsia="宋体" w:cs="宋体"/>
          <w:color w:val="auto"/>
          <w:sz w:val="36"/>
          <w:szCs w:val="36"/>
          <w:highlight w:val="none"/>
        </w:rPr>
      </w:pPr>
      <w:r>
        <w:rPr>
          <w:rFonts w:hint="eastAsia" w:ascii="宋体" w:hAnsi="宋体" w:eastAsia="宋体" w:cs="宋体"/>
          <w:b/>
          <w:snapToGrid w:val="0"/>
          <w:color w:val="auto"/>
          <w:sz w:val="36"/>
          <w:szCs w:val="36"/>
          <w:highlight w:val="none"/>
          <w:lang w:bidi="ar"/>
        </w:rPr>
        <w:t>一  说    明</w:t>
      </w:r>
      <w:bookmarkEnd w:id="27"/>
      <w:bookmarkEnd w:id="28"/>
      <w:bookmarkEnd w:id="29"/>
      <w:bookmarkEnd w:id="30"/>
    </w:p>
    <w:p w14:paraId="08DF9A5C">
      <w:pPr>
        <w:wordWrap w:val="0"/>
        <w:adjustRightInd w:val="0"/>
        <w:snapToGrid w:val="0"/>
        <w:spacing w:line="360" w:lineRule="auto"/>
        <w:ind w:firstLine="482" w:firstLineChars="200"/>
        <w:outlineLvl w:val="2"/>
        <w:rPr>
          <w:rFonts w:hint="eastAsia" w:ascii="宋体" w:hAnsi="宋体" w:eastAsia="宋体" w:cs="宋体"/>
          <w:color w:val="auto"/>
          <w:sz w:val="24"/>
          <w:highlight w:val="none"/>
        </w:rPr>
      </w:pPr>
      <w:bookmarkStart w:id="31" w:name="_Toc28274"/>
      <w:bookmarkStart w:id="32" w:name="_Toc17897"/>
      <w:bookmarkStart w:id="33" w:name="_Toc15296"/>
      <w:bookmarkStart w:id="34" w:name="_Toc14392"/>
      <w:r>
        <w:rPr>
          <w:rFonts w:hint="eastAsia" w:ascii="宋体" w:hAnsi="宋体" w:eastAsia="宋体" w:cs="宋体"/>
          <w:b/>
          <w:snapToGrid w:val="0"/>
          <w:color w:val="auto"/>
          <w:sz w:val="24"/>
          <w:highlight w:val="none"/>
          <w:lang w:bidi="ar"/>
        </w:rPr>
        <w:t>1.适用范围</w:t>
      </w:r>
      <w:bookmarkEnd w:id="31"/>
      <w:bookmarkEnd w:id="32"/>
      <w:bookmarkEnd w:id="33"/>
      <w:bookmarkEnd w:id="34"/>
    </w:p>
    <w:p w14:paraId="7D908130">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本招标文件仅适用于招标公告中所叙述项目的服务采购。</w:t>
      </w:r>
    </w:p>
    <w:p w14:paraId="23DCB3B3">
      <w:pPr>
        <w:wordWrap w:val="0"/>
        <w:adjustRightInd w:val="0"/>
        <w:snapToGrid w:val="0"/>
        <w:spacing w:line="360" w:lineRule="auto"/>
        <w:ind w:firstLine="482" w:firstLineChars="200"/>
        <w:outlineLvl w:val="2"/>
        <w:rPr>
          <w:rFonts w:hint="eastAsia" w:ascii="宋体" w:hAnsi="宋体" w:eastAsia="宋体" w:cs="宋体"/>
          <w:b/>
          <w:snapToGrid w:val="0"/>
          <w:color w:val="auto"/>
          <w:sz w:val="24"/>
          <w:highlight w:val="none"/>
          <w:lang w:bidi="ar"/>
        </w:rPr>
      </w:pPr>
      <w:bookmarkStart w:id="35" w:name="_Toc15669"/>
      <w:bookmarkStart w:id="36" w:name="_Toc31603"/>
      <w:bookmarkStart w:id="37" w:name="_Toc4275"/>
      <w:bookmarkStart w:id="38" w:name="_Toc10672"/>
      <w:r>
        <w:rPr>
          <w:rFonts w:hint="eastAsia" w:ascii="宋体" w:hAnsi="宋体" w:eastAsia="宋体" w:cs="宋体"/>
          <w:b/>
          <w:snapToGrid w:val="0"/>
          <w:color w:val="auto"/>
          <w:sz w:val="24"/>
          <w:highlight w:val="none"/>
          <w:lang w:bidi="ar"/>
        </w:rPr>
        <w:t>2.定义</w:t>
      </w:r>
      <w:bookmarkEnd w:id="35"/>
      <w:bookmarkEnd w:id="36"/>
      <w:bookmarkEnd w:id="37"/>
      <w:bookmarkEnd w:id="38"/>
    </w:p>
    <w:p w14:paraId="7890063E">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2.1 “采购人”系指</w:t>
      </w:r>
      <w:r>
        <w:rPr>
          <w:rFonts w:hint="eastAsia" w:ascii="宋体" w:hAnsi="宋体" w:eastAsia="宋体" w:cs="宋体"/>
          <w:snapToGrid w:val="0"/>
          <w:color w:val="auto"/>
          <w:sz w:val="24"/>
          <w:highlight w:val="none"/>
          <w:lang w:val="en-US" w:eastAsia="zh-CN" w:bidi="ar"/>
        </w:rPr>
        <w:t>驻马店市城市管理局（驻马店市城市综合执法局）</w:t>
      </w:r>
      <w:r>
        <w:rPr>
          <w:rFonts w:hint="eastAsia" w:ascii="宋体" w:hAnsi="宋体" w:eastAsia="宋体" w:cs="宋体"/>
          <w:snapToGrid w:val="0"/>
          <w:color w:val="auto"/>
          <w:sz w:val="24"/>
          <w:highlight w:val="none"/>
          <w:lang w:bidi="ar"/>
        </w:rPr>
        <w:t>。</w:t>
      </w:r>
    </w:p>
    <w:p w14:paraId="1D3627DF">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2.2 “采购代理机构”系指</w:t>
      </w:r>
      <w:r>
        <w:rPr>
          <w:rFonts w:hint="eastAsia" w:ascii="宋体" w:hAnsi="宋体" w:eastAsia="宋体" w:cs="宋体"/>
          <w:snapToGrid w:val="0"/>
          <w:color w:val="auto"/>
          <w:sz w:val="24"/>
          <w:highlight w:val="none"/>
          <w:lang w:eastAsia="zh-CN" w:bidi="ar"/>
        </w:rPr>
        <w:t xml:space="preserve">河南泽群工程咨询有限公司 </w:t>
      </w:r>
      <w:r>
        <w:rPr>
          <w:rFonts w:hint="eastAsia" w:ascii="宋体" w:hAnsi="宋体" w:eastAsia="宋体" w:cs="宋体"/>
          <w:snapToGrid w:val="0"/>
          <w:color w:val="auto"/>
          <w:sz w:val="24"/>
          <w:highlight w:val="none"/>
          <w:lang w:bidi="ar"/>
        </w:rPr>
        <w:t>。</w:t>
      </w:r>
    </w:p>
    <w:p w14:paraId="36FBB555">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2.3 “投标人”系指下载了本招标文件，且已经提交本次投标文件的投标人。</w:t>
      </w:r>
    </w:p>
    <w:p w14:paraId="78F78FBA">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2.4 “投标人代表”系指代表投标人参加本次招标活动的投标人的法定代表人或其委托代理人。</w:t>
      </w:r>
    </w:p>
    <w:p w14:paraId="5EEAC2F7">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2.5“服务”系指投标人按招标文件规定向采购人提供的一切服务及其它有关技术服务。</w:t>
      </w:r>
    </w:p>
    <w:p w14:paraId="58CD3117">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2.6“投标文件有效期”系指本次采购项目</w:t>
      </w:r>
      <w:r>
        <w:rPr>
          <w:rFonts w:hint="eastAsia" w:ascii="宋体" w:hAnsi="宋体" w:eastAsia="宋体" w:cs="宋体"/>
          <w:color w:val="auto"/>
          <w:sz w:val="24"/>
          <w:highlight w:val="none"/>
        </w:rPr>
        <w:t>投标截止之日起90日。中标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的投标文件是合同的组成部分,有效期至合同完全履行止。</w:t>
      </w:r>
    </w:p>
    <w:p w14:paraId="08EFB8BC">
      <w:pPr>
        <w:wordWrap w:val="0"/>
        <w:adjustRightInd w:val="0"/>
        <w:snapToGrid w:val="0"/>
        <w:spacing w:line="360" w:lineRule="auto"/>
        <w:ind w:firstLine="482" w:firstLineChars="200"/>
        <w:outlineLvl w:val="2"/>
        <w:rPr>
          <w:rFonts w:hint="eastAsia" w:ascii="宋体" w:hAnsi="宋体" w:eastAsia="宋体" w:cs="宋体"/>
          <w:b/>
          <w:snapToGrid w:val="0"/>
          <w:color w:val="auto"/>
          <w:sz w:val="24"/>
          <w:highlight w:val="none"/>
          <w:lang w:bidi="ar"/>
        </w:rPr>
      </w:pPr>
      <w:bookmarkStart w:id="39" w:name="_Toc21817"/>
      <w:bookmarkStart w:id="40" w:name="_Toc12018"/>
      <w:bookmarkStart w:id="41" w:name="_Toc6925"/>
      <w:bookmarkStart w:id="42" w:name="_Toc14668"/>
      <w:r>
        <w:rPr>
          <w:rFonts w:hint="eastAsia" w:ascii="宋体" w:hAnsi="宋体" w:eastAsia="宋体" w:cs="宋体"/>
          <w:b/>
          <w:snapToGrid w:val="0"/>
          <w:color w:val="auto"/>
          <w:sz w:val="24"/>
          <w:highlight w:val="none"/>
          <w:lang w:bidi="ar"/>
        </w:rPr>
        <w:t>3.采购</w:t>
      </w:r>
      <w:bookmarkEnd w:id="39"/>
      <w:bookmarkEnd w:id="40"/>
      <w:bookmarkEnd w:id="41"/>
      <w:bookmarkEnd w:id="42"/>
      <w:r>
        <w:rPr>
          <w:rFonts w:hint="eastAsia" w:ascii="宋体" w:hAnsi="宋体" w:eastAsia="宋体" w:cs="宋体"/>
          <w:b/>
          <w:snapToGrid w:val="0"/>
          <w:color w:val="auto"/>
          <w:sz w:val="24"/>
          <w:highlight w:val="none"/>
          <w:lang w:bidi="ar"/>
        </w:rPr>
        <w:t>预算（最高限价）</w:t>
      </w:r>
    </w:p>
    <w:p w14:paraId="61CBB549">
      <w:pPr>
        <w:widowControl/>
        <w:numPr>
          <w:ilvl w:val="0"/>
          <w:numId w:val="0"/>
        </w:numPr>
        <w:snapToGrid w:val="0"/>
        <w:spacing w:line="360" w:lineRule="auto"/>
        <w:ind w:firstLine="482" w:firstLineChars="200"/>
        <w:jc w:val="both"/>
        <w:rPr>
          <w:rFonts w:hint="eastAsia" w:ascii="宋体" w:hAnsi="宋体" w:eastAsia="宋体" w:cs="宋体"/>
          <w:b/>
          <w:bCs/>
          <w:snapToGrid w:val="0"/>
          <w:color w:val="auto"/>
          <w:sz w:val="24"/>
          <w:highlight w:val="none"/>
          <w:lang w:bidi="ar"/>
        </w:rPr>
      </w:pPr>
      <w:r>
        <w:rPr>
          <w:rFonts w:hint="eastAsia" w:ascii="宋体" w:hAnsi="宋体" w:eastAsia="宋体" w:cs="宋体"/>
          <w:b/>
          <w:bCs/>
          <w:snapToGrid w:val="0"/>
          <w:color w:val="auto"/>
          <w:sz w:val="24"/>
          <w:highlight w:val="none"/>
          <w:lang w:bidi="ar"/>
        </w:rPr>
        <w:t>本次采购</w:t>
      </w:r>
      <w:bookmarkStart w:id="43" w:name="_Toc16338"/>
      <w:bookmarkStart w:id="44" w:name="_Toc29831"/>
      <w:bookmarkStart w:id="45" w:name="_Toc18449"/>
      <w:r>
        <w:rPr>
          <w:rFonts w:hint="eastAsia" w:ascii="宋体" w:hAnsi="宋体" w:eastAsia="宋体" w:cs="宋体"/>
          <w:b/>
          <w:bCs/>
          <w:snapToGrid w:val="0"/>
          <w:color w:val="auto"/>
          <w:sz w:val="24"/>
          <w:highlight w:val="none"/>
          <w:lang w:bidi="ar"/>
        </w:rPr>
        <w:t xml:space="preserve">预算为 </w:t>
      </w:r>
      <w:r>
        <w:rPr>
          <w:rFonts w:hint="eastAsia" w:ascii="宋体" w:hAnsi="宋体" w:eastAsia="宋体" w:cs="宋体"/>
          <w:b/>
          <w:bCs/>
          <w:snapToGrid w:val="0"/>
          <w:color w:val="auto"/>
          <w:sz w:val="24"/>
          <w:highlight w:val="none"/>
          <w:u w:val="none"/>
          <w:lang w:val="en-US" w:eastAsia="zh-CN" w:bidi="ar"/>
        </w:rPr>
        <w:t>1145200.00</w:t>
      </w:r>
      <w:r>
        <w:rPr>
          <w:rFonts w:hint="eastAsia" w:ascii="宋体" w:hAnsi="宋体" w:eastAsia="宋体" w:cs="宋体"/>
          <w:b/>
          <w:bCs/>
          <w:snapToGrid w:val="0"/>
          <w:color w:val="auto"/>
          <w:sz w:val="24"/>
          <w:highlight w:val="none"/>
          <w:u w:val="none"/>
          <w:lang w:bidi="ar"/>
        </w:rPr>
        <w:t xml:space="preserve"> 元 ；最高限价为</w:t>
      </w:r>
      <w:r>
        <w:rPr>
          <w:rFonts w:hint="eastAsia" w:ascii="宋体" w:hAnsi="宋体" w:eastAsia="宋体" w:cs="宋体"/>
          <w:b/>
          <w:bCs/>
          <w:snapToGrid w:val="0"/>
          <w:color w:val="auto"/>
          <w:sz w:val="24"/>
          <w:highlight w:val="none"/>
          <w:u w:val="none"/>
          <w:lang w:val="en-US" w:eastAsia="zh-CN" w:bidi="ar"/>
        </w:rPr>
        <w:t>1145200.00</w:t>
      </w:r>
      <w:r>
        <w:rPr>
          <w:rFonts w:hint="eastAsia" w:ascii="宋体" w:hAnsi="宋体" w:eastAsia="宋体" w:cs="宋体"/>
          <w:b/>
          <w:bCs/>
          <w:snapToGrid w:val="0"/>
          <w:color w:val="auto"/>
          <w:sz w:val="24"/>
          <w:highlight w:val="none"/>
          <w:u w:val="none"/>
          <w:lang w:bidi="ar"/>
        </w:rPr>
        <w:t xml:space="preserve"> </w:t>
      </w:r>
      <w:r>
        <w:rPr>
          <w:rFonts w:hint="eastAsia" w:ascii="宋体" w:hAnsi="宋体" w:eastAsia="宋体" w:cs="宋体"/>
          <w:b/>
          <w:bCs/>
          <w:snapToGrid w:val="0"/>
          <w:color w:val="auto"/>
          <w:sz w:val="24"/>
          <w:highlight w:val="none"/>
          <w:lang w:bidi="ar"/>
        </w:rPr>
        <w:t>元。</w:t>
      </w:r>
    </w:p>
    <w:p w14:paraId="4CD91637">
      <w:pPr>
        <w:wordWrap w:val="0"/>
        <w:adjustRightInd w:val="0"/>
        <w:snapToGrid w:val="0"/>
        <w:spacing w:line="360" w:lineRule="auto"/>
        <w:ind w:firstLine="482" w:firstLineChars="200"/>
        <w:outlineLvl w:val="2"/>
        <w:rPr>
          <w:rFonts w:hint="eastAsia" w:ascii="宋体" w:hAnsi="宋体" w:eastAsia="宋体" w:cs="宋体"/>
          <w:b/>
          <w:snapToGrid w:val="0"/>
          <w:color w:val="auto"/>
          <w:sz w:val="24"/>
          <w:highlight w:val="none"/>
          <w:lang w:bidi="ar"/>
        </w:rPr>
      </w:pPr>
      <w:bookmarkStart w:id="46" w:name="_Toc23886"/>
      <w:r>
        <w:rPr>
          <w:rFonts w:hint="eastAsia" w:ascii="宋体" w:hAnsi="宋体" w:eastAsia="宋体" w:cs="宋体"/>
          <w:b/>
          <w:snapToGrid w:val="0"/>
          <w:color w:val="auto"/>
          <w:sz w:val="24"/>
          <w:highlight w:val="none"/>
          <w:lang w:bidi="ar"/>
        </w:rPr>
        <w:t>4.投标人应提交的证明文件</w:t>
      </w:r>
      <w:bookmarkEnd w:id="43"/>
      <w:bookmarkEnd w:id="44"/>
      <w:bookmarkEnd w:id="45"/>
      <w:bookmarkEnd w:id="46"/>
    </w:p>
    <w:p w14:paraId="56B7CA40">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 投标</w:t>
      </w:r>
      <w:r>
        <w:rPr>
          <w:rFonts w:hint="eastAsia" w:ascii="宋体" w:hAnsi="宋体" w:eastAsia="宋体" w:cs="宋体"/>
          <w:color w:val="auto"/>
          <w:kern w:val="0"/>
          <w:sz w:val="24"/>
          <w:highlight w:val="none"/>
          <w:lang w:val="en-US" w:eastAsia="zh-CN"/>
        </w:rPr>
        <w:t>人具有有效的企业营业执照、税务登记证、组织机构代码证或三证合一的新营业执照或事业单位法人证书</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提供有效的副本原件</w:t>
      </w:r>
      <w:r>
        <w:rPr>
          <w:rFonts w:hint="eastAsia" w:ascii="宋体" w:hAnsi="宋体" w:eastAsia="宋体" w:cs="宋体"/>
          <w:color w:val="auto"/>
          <w:kern w:val="0"/>
          <w:sz w:val="24"/>
          <w:highlight w:val="none"/>
        </w:rPr>
        <w:t>扫描件）</w:t>
      </w:r>
    </w:p>
    <w:p w14:paraId="744ADAA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4.2 法定代表人本人投标的，提供身份证原件的扫描件；法定代表人委托代理人投标的，提供法</w:t>
      </w:r>
      <w:r>
        <w:rPr>
          <w:rFonts w:hint="eastAsia" w:ascii="宋体" w:hAnsi="宋体" w:eastAsia="宋体" w:cs="宋体"/>
          <w:color w:val="auto"/>
          <w:kern w:val="0"/>
          <w:sz w:val="24"/>
          <w:highlight w:val="none"/>
          <w:lang w:val="en-US" w:eastAsia="zh-CN"/>
        </w:rPr>
        <w:t>定代表</w:t>
      </w:r>
      <w:r>
        <w:rPr>
          <w:rFonts w:hint="eastAsia" w:ascii="宋体" w:hAnsi="宋体" w:eastAsia="宋体" w:cs="宋体"/>
          <w:color w:val="auto"/>
          <w:kern w:val="0"/>
          <w:sz w:val="24"/>
          <w:highlight w:val="none"/>
        </w:rPr>
        <w:t>人授权委托书原件和委托代理人的身份证原件的扫描件。</w:t>
      </w:r>
    </w:p>
    <w:p w14:paraId="1DEF9D5A">
      <w:pPr>
        <w:pStyle w:val="16"/>
        <w:spacing w:after="0" w:line="360" w:lineRule="auto"/>
        <w:ind w:left="0" w:leftChars="0" w:right="63" w:firstLine="480" w:firstLineChars="200"/>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4.</w:t>
      </w:r>
      <w:r>
        <w:rPr>
          <w:rFonts w:hint="eastAsia" w:ascii="宋体" w:hAnsi="宋体" w:eastAsia="宋体" w:cs="宋体"/>
          <w:color w:val="auto"/>
          <w:kern w:val="0"/>
          <w:sz w:val="24"/>
          <w:highlight w:val="none"/>
          <w:shd w:val="clear" w:color="auto" w:fill="FFFFFF"/>
          <w:lang w:val="en-US" w:eastAsia="zh-CN" w:bidi="ar"/>
        </w:rPr>
        <w:t>3</w:t>
      </w:r>
      <w:r>
        <w:rPr>
          <w:rFonts w:hint="eastAsia" w:ascii="宋体" w:hAnsi="宋体" w:eastAsia="宋体" w:cs="宋体"/>
          <w:color w:val="auto"/>
          <w:kern w:val="0"/>
          <w:sz w:val="24"/>
          <w:highlight w:val="none"/>
          <w:shd w:val="clear" w:color="auto" w:fill="FFFFFF"/>
          <w:lang w:bidi="ar"/>
        </w:rPr>
        <w:t>符合《中华人民共和国政府采购法》第二十二条规定，按照《驻马店市财政局关于推行政府采购资格审查环节信用承诺制的通知》（驻财购〔2022〕15 号）文件规定提供驻马店市政府采购供应商信用承诺函</w:t>
      </w:r>
      <w:r>
        <w:rPr>
          <w:rFonts w:hint="eastAsia" w:ascii="宋体" w:hAnsi="宋体" w:eastAsia="宋体" w:cs="宋体"/>
          <w:color w:val="auto"/>
          <w:kern w:val="0"/>
          <w:sz w:val="24"/>
          <w:highlight w:val="none"/>
          <w:shd w:val="clear" w:color="auto" w:fill="FFFFFF"/>
          <w:lang w:eastAsia="zh-CN" w:bidi="ar"/>
        </w:rPr>
        <w:t>。</w:t>
      </w:r>
      <w:r>
        <w:rPr>
          <w:rFonts w:hint="eastAsia" w:ascii="宋体" w:hAnsi="宋体" w:eastAsia="宋体" w:cs="宋体"/>
          <w:color w:val="auto"/>
          <w:kern w:val="0"/>
          <w:sz w:val="24"/>
          <w:highlight w:val="none"/>
          <w:shd w:val="clear" w:color="auto" w:fill="FFFFFF"/>
          <w:lang w:bidi="ar"/>
        </w:rPr>
        <w:t>(格式见第六章投标文件格式内容)</w:t>
      </w:r>
    </w:p>
    <w:p w14:paraId="449DDB8F">
      <w:pPr>
        <w:pStyle w:val="16"/>
        <w:spacing w:after="0" w:line="360" w:lineRule="auto"/>
        <w:ind w:left="0" w:leftChars="0" w:right="63" w:firstLine="480" w:firstLineChars="200"/>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val="en-US" w:eastAsia="zh-CN" w:bidi="ar"/>
        </w:rPr>
        <w:t>4.4投标人须同时具有城</w:t>
      </w:r>
      <w:bookmarkStart w:id="149" w:name="_GoBack"/>
      <w:bookmarkEnd w:id="149"/>
      <w:r>
        <w:rPr>
          <w:rFonts w:hint="eastAsia" w:ascii="宋体" w:hAnsi="宋体" w:eastAsia="宋体" w:cs="宋体"/>
          <w:color w:val="auto"/>
          <w:kern w:val="0"/>
          <w:sz w:val="24"/>
          <w:highlight w:val="none"/>
          <w:shd w:val="clear" w:color="auto" w:fill="FFFFFF"/>
          <w:lang w:val="en-US" w:eastAsia="zh-CN" w:bidi="ar"/>
        </w:rPr>
        <w:t>乡规划编制乙级及以上资质和测绘乙级及以上资质。（提供有效资质证书原件扫描件）</w:t>
      </w:r>
      <w:r>
        <w:rPr>
          <w:rFonts w:hint="eastAsia" w:ascii="宋体" w:hAnsi="宋体" w:eastAsia="宋体" w:cs="宋体"/>
          <w:color w:val="auto"/>
          <w:kern w:val="0"/>
          <w:sz w:val="24"/>
          <w:highlight w:val="none"/>
          <w:shd w:val="clear" w:color="auto" w:fill="FFFFFF"/>
          <w:lang w:bidi="ar"/>
        </w:rPr>
        <w:t xml:space="preserve"> </w:t>
      </w:r>
    </w:p>
    <w:p w14:paraId="17C0F9C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开标结束后，采购人将通过信用中国网站（www.creditchina.gov.cn）、中国政府采购网网站（www.ccgp.gov.cn）查询投标人是否被列入失信被执行人、重大税收违法失信主体和政府采购严重违法失信行为记录名单，并将查询结果存档。采购人查询之后，网站信息发生的任何变化不再作为评审依据；投标人自行提供的与网站信息不一致的其他证明材料不作为评审依据。</w:t>
      </w:r>
    </w:p>
    <w:p w14:paraId="051ABD58">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注∶以上为必须提供的材料（4.</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项除外）。本项目采用不见面开评标，投标人在投标截止时间前应及时完善主体诚信库中企业信息及扫描件（4.1</w:t>
      </w:r>
      <w:r>
        <w:rPr>
          <w:rFonts w:hint="eastAsia" w:ascii="宋体" w:hAnsi="宋体" w:eastAsia="宋体" w:cs="宋体"/>
          <w:b/>
          <w:color w:val="auto"/>
          <w:sz w:val="24"/>
          <w:highlight w:val="none"/>
          <w:lang w:val="en-US" w:eastAsia="zh-CN"/>
        </w:rPr>
        <w:t>-</w:t>
      </w:r>
      <w:r>
        <w:rPr>
          <w:rFonts w:hint="eastAsia" w:ascii="宋体" w:hAnsi="宋体" w:eastAsia="宋体" w:cs="宋体"/>
          <w:b/>
          <w:color w:val="auto"/>
          <w:sz w:val="24"/>
          <w:highlight w:val="none"/>
        </w:rPr>
        <w:t>4.</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项所需材料），提交并自行核验通过。同时在"资格审查及评审材料"菜单下按分包挑选该包投标所用资格审查材料（4.1</w:t>
      </w:r>
      <w:r>
        <w:rPr>
          <w:rFonts w:hint="eastAsia" w:ascii="宋体" w:hAnsi="宋体" w:eastAsia="宋体" w:cs="宋体"/>
          <w:b/>
          <w:color w:val="auto"/>
          <w:sz w:val="24"/>
          <w:highlight w:val="none"/>
          <w:lang w:val="en-US" w:eastAsia="zh-CN"/>
        </w:rPr>
        <w:t>-</w:t>
      </w:r>
      <w:r>
        <w:rPr>
          <w:rFonts w:hint="eastAsia" w:ascii="宋体" w:hAnsi="宋体" w:eastAsia="宋体" w:cs="宋体"/>
          <w:b/>
          <w:color w:val="auto"/>
          <w:sz w:val="24"/>
          <w:highlight w:val="none"/>
        </w:rPr>
        <w:t>4.</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项所需材料），以供评标过程中采购人查阅。投标人应确保主体诚信库信息与电子投标文件信息一致，上传的资料要真实并清晰可辨。评标时以电子投标文件及</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资格审查及评审材料</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菜单中选取的企业信息为准。</w:t>
      </w:r>
    </w:p>
    <w:p w14:paraId="543DF26A">
      <w:pPr>
        <w:wordWrap w:val="0"/>
        <w:adjustRightInd w:val="0"/>
        <w:snapToGrid w:val="0"/>
        <w:spacing w:line="360" w:lineRule="auto"/>
        <w:ind w:firstLine="482" w:firstLineChars="200"/>
        <w:outlineLvl w:val="2"/>
        <w:rPr>
          <w:rFonts w:hint="eastAsia" w:ascii="宋体" w:hAnsi="宋体" w:eastAsia="宋体" w:cs="宋体"/>
          <w:b/>
          <w:snapToGrid w:val="0"/>
          <w:color w:val="auto"/>
          <w:sz w:val="24"/>
          <w:highlight w:val="none"/>
          <w:lang w:bidi="ar"/>
        </w:rPr>
      </w:pPr>
      <w:bookmarkStart w:id="47" w:name="_Toc26651"/>
      <w:bookmarkStart w:id="48" w:name="_Toc7694"/>
      <w:bookmarkStart w:id="49" w:name="_Toc27410"/>
      <w:bookmarkStart w:id="50" w:name="_Toc18550"/>
      <w:r>
        <w:rPr>
          <w:rFonts w:hint="eastAsia" w:ascii="宋体" w:hAnsi="宋体" w:eastAsia="宋体" w:cs="宋体"/>
          <w:b/>
          <w:snapToGrid w:val="0"/>
          <w:color w:val="auto"/>
          <w:sz w:val="24"/>
          <w:highlight w:val="none"/>
          <w:lang w:bidi="ar"/>
        </w:rPr>
        <w:t>5.投标费用</w:t>
      </w:r>
      <w:bookmarkEnd w:id="47"/>
      <w:bookmarkEnd w:id="48"/>
      <w:bookmarkEnd w:id="49"/>
      <w:bookmarkEnd w:id="50"/>
    </w:p>
    <w:p w14:paraId="0EA51C30">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不论投标结果如何，投标人均应自行承担所有与投标有关的全部费用。</w:t>
      </w:r>
    </w:p>
    <w:p w14:paraId="38885E62">
      <w:pPr>
        <w:wordWrap w:val="0"/>
        <w:adjustRightInd w:val="0"/>
        <w:snapToGrid w:val="0"/>
        <w:spacing w:line="360" w:lineRule="auto"/>
        <w:ind w:firstLine="482" w:firstLineChars="200"/>
        <w:outlineLvl w:val="2"/>
        <w:rPr>
          <w:rFonts w:hint="eastAsia" w:ascii="宋体" w:hAnsi="宋体" w:eastAsia="宋体" w:cs="宋体"/>
          <w:b/>
          <w:snapToGrid w:val="0"/>
          <w:color w:val="auto"/>
          <w:sz w:val="24"/>
          <w:highlight w:val="none"/>
          <w:lang w:bidi="ar"/>
        </w:rPr>
      </w:pPr>
      <w:bookmarkStart w:id="51" w:name="_Toc1188"/>
      <w:bookmarkStart w:id="52" w:name="_Toc7039"/>
      <w:bookmarkStart w:id="53" w:name="_Toc12932"/>
      <w:bookmarkStart w:id="54" w:name="_Toc13028"/>
      <w:r>
        <w:rPr>
          <w:rFonts w:hint="eastAsia" w:ascii="宋体" w:hAnsi="宋体" w:eastAsia="宋体" w:cs="宋体"/>
          <w:b/>
          <w:snapToGrid w:val="0"/>
          <w:color w:val="auto"/>
          <w:sz w:val="24"/>
          <w:highlight w:val="none"/>
          <w:lang w:bidi="ar"/>
        </w:rPr>
        <w:t>6.联合体投标</w:t>
      </w:r>
      <w:bookmarkEnd w:id="51"/>
      <w:bookmarkEnd w:id="52"/>
      <w:bookmarkEnd w:id="53"/>
      <w:bookmarkEnd w:id="54"/>
      <w:r>
        <w:rPr>
          <w:rFonts w:hint="eastAsia" w:ascii="宋体" w:hAnsi="宋体" w:eastAsia="宋体" w:cs="宋体"/>
          <w:b/>
          <w:snapToGrid w:val="0"/>
          <w:color w:val="auto"/>
          <w:sz w:val="24"/>
          <w:highlight w:val="none"/>
          <w:lang w:bidi="ar"/>
        </w:rPr>
        <w:t>（本项目不接受联合体）</w:t>
      </w:r>
    </w:p>
    <w:p w14:paraId="7C69FC87">
      <w:pPr>
        <w:wordWrap w:val="0"/>
        <w:adjustRightInd w:val="0"/>
        <w:snapToGrid w:val="0"/>
        <w:spacing w:line="360" w:lineRule="auto"/>
        <w:rPr>
          <w:rFonts w:hint="eastAsia" w:ascii="宋体" w:hAnsi="宋体" w:eastAsia="宋体" w:cs="宋体"/>
          <w:bCs/>
          <w:snapToGrid w:val="0"/>
          <w:color w:val="auto"/>
          <w:sz w:val="24"/>
          <w:highlight w:val="none"/>
          <w:lang w:bidi="ar"/>
        </w:rPr>
      </w:pPr>
      <w:r>
        <w:rPr>
          <w:rFonts w:hint="eastAsia" w:ascii="宋体" w:hAnsi="宋体" w:eastAsia="宋体" w:cs="宋体"/>
          <w:b/>
          <w:snapToGrid w:val="0"/>
          <w:color w:val="auto"/>
          <w:sz w:val="24"/>
          <w:highlight w:val="none"/>
          <w:lang w:bidi="ar"/>
        </w:rPr>
        <w:t xml:space="preserve">    </w:t>
      </w:r>
      <w:r>
        <w:rPr>
          <w:rFonts w:hint="eastAsia" w:ascii="宋体" w:hAnsi="宋体" w:eastAsia="宋体" w:cs="宋体"/>
          <w:bCs/>
          <w:snapToGrid w:val="0"/>
          <w:color w:val="auto"/>
          <w:sz w:val="24"/>
          <w:highlight w:val="none"/>
          <w:lang w:bidi="ar"/>
        </w:rPr>
        <w:t>6.1 投标人可以组成一个投标联合体，以一个投标人的身份投标，但联合体成员（含牵头单位）总数不得超过3家。</w:t>
      </w:r>
    </w:p>
    <w:p w14:paraId="569ADE55">
      <w:pPr>
        <w:wordWrap w:val="0"/>
        <w:adjustRightInd w:val="0"/>
        <w:snapToGrid w:val="0"/>
        <w:spacing w:line="360" w:lineRule="auto"/>
        <w:ind w:firstLine="480" w:firstLineChars="200"/>
        <w:rPr>
          <w:rFonts w:hint="eastAsia" w:ascii="宋体" w:hAnsi="宋体" w:eastAsia="宋体" w:cs="宋体"/>
          <w:bCs/>
          <w:snapToGrid w:val="0"/>
          <w:color w:val="auto"/>
          <w:sz w:val="24"/>
          <w:highlight w:val="none"/>
          <w:lang w:bidi="ar"/>
        </w:rPr>
      </w:pPr>
      <w:r>
        <w:rPr>
          <w:rFonts w:hint="eastAsia" w:ascii="宋体" w:hAnsi="宋体" w:eastAsia="宋体" w:cs="宋体"/>
          <w:bCs/>
          <w:snapToGrid w:val="0"/>
          <w:color w:val="auto"/>
          <w:sz w:val="24"/>
          <w:highlight w:val="none"/>
          <w:lang w:bidi="ar"/>
        </w:rPr>
        <w:t>6.2以联合体形式参加投标的，联合体各方均应当符合</w:t>
      </w:r>
      <w:r>
        <w:rPr>
          <w:rFonts w:hint="eastAsia" w:ascii="宋体" w:hAnsi="宋体" w:eastAsia="宋体" w:cs="宋体"/>
          <w:color w:val="auto"/>
          <w:sz w:val="24"/>
          <w:highlight w:val="none"/>
        </w:rPr>
        <w:t>《中华人民共和国政府采购法》</w:t>
      </w:r>
      <w:r>
        <w:rPr>
          <w:rFonts w:hint="eastAsia" w:ascii="宋体" w:hAnsi="宋体" w:eastAsia="宋体" w:cs="宋体"/>
          <w:bCs/>
          <w:snapToGrid w:val="0"/>
          <w:color w:val="auto"/>
          <w:sz w:val="24"/>
          <w:highlight w:val="none"/>
          <w:lang w:bidi="ar"/>
        </w:rPr>
        <w:t>第二十二条规定的条件。采购人根据采购项目的特殊要求规定投标人特定条件的，联合体各方中至少应当有一方符合采购人规定的特定条件。</w:t>
      </w:r>
    </w:p>
    <w:p w14:paraId="15DCE141">
      <w:pPr>
        <w:wordWrap w:val="0"/>
        <w:adjustRightInd w:val="0"/>
        <w:snapToGrid w:val="0"/>
        <w:spacing w:line="360" w:lineRule="auto"/>
        <w:ind w:firstLine="480" w:firstLineChars="200"/>
        <w:rPr>
          <w:rFonts w:hint="eastAsia" w:ascii="宋体" w:hAnsi="宋体" w:eastAsia="宋体" w:cs="宋体"/>
          <w:bCs/>
          <w:snapToGrid w:val="0"/>
          <w:color w:val="auto"/>
          <w:sz w:val="24"/>
          <w:highlight w:val="none"/>
          <w:lang w:bidi="ar"/>
        </w:rPr>
      </w:pPr>
      <w:r>
        <w:rPr>
          <w:rFonts w:hint="eastAsia" w:ascii="宋体" w:hAnsi="宋体" w:eastAsia="宋体" w:cs="宋体"/>
          <w:bCs/>
          <w:snapToGrid w:val="0"/>
          <w:color w:val="auto"/>
          <w:sz w:val="24"/>
          <w:highlight w:val="none"/>
          <w:lang w:bidi="ar"/>
        </w:rPr>
        <w:t>6.3联合体各方之间应当签订共同投标协议，明确约定联合体各方承担的工作、相应的责任、完成的合同金额及完成的合同金额所占总合同金额的比例，并将共同投标协议原件连同投标文件一并提交采购代理机构。联合体各方承担的工作和相应的责任应与其具备的资质条件相一致。联合体各方签订共同投标协议后，不得再以自己名义单独投标，也不得组成新的联合体参加投标。</w:t>
      </w:r>
    </w:p>
    <w:p w14:paraId="0DDE890B">
      <w:pPr>
        <w:wordWrap w:val="0"/>
        <w:adjustRightInd w:val="0"/>
        <w:snapToGrid w:val="0"/>
        <w:spacing w:line="360" w:lineRule="auto"/>
        <w:ind w:firstLine="482" w:firstLineChars="200"/>
        <w:outlineLvl w:val="2"/>
        <w:rPr>
          <w:rFonts w:hint="eastAsia" w:ascii="宋体" w:hAnsi="宋体" w:eastAsia="宋体" w:cs="宋体"/>
          <w:b/>
          <w:snapToGrid w:val="0"/>
          <w:color w:val="auto"/>
          <w:sz w:val="24"/>
          <w:highlight w:val="none"/>
          <w:lang w:bidi="ar"/>
        </w:rPr>
      </w:pPr>
      <w:bookmarkStart w:id="55" w:name="_Toc5867"/>
      <w:bookmarkStart w:id="56" w:name="_Toc23802"/>
      <w:bookmarkStart w:id="57" w:name="_Toc22971"/>
      <w:bookmarkStart w:id="58" w:name="_Toc19853"/>
      <w:r>
        <w:rPr>
          <w:rFonts w:hint="eastAsia" w:ascii="宋体" w:hAnsi="宋体" w:eastAsia="宋体" w:cs="宋体"/>
          <w:b/>
          <w:snapToGrid w:val="0"/>
          <w:color w:val="auto"/>
          <w:sz w:val="24"/>
          <w:highlight w:val="none"/>
          <w:lang w:bidi="ar"/>
        </w:rPr>
        <w:t>7.关联企业投标</w:t>
      </w:r>
      <w:bookmarkEnd w:id="55"/>
      <w:bookmarkEnd w:id="56"/>
      <w:bookmarkEnd w:id="57"/>
      <w:bookmarkEnd w:id="58"/>
      <w:r>
        <w:rPr>
          <w:rFonts w:hint="eastAsia" w:ascii="宋体" w:hAnsi="宋体" w:eastAsia="宋体" w:cs="宋体"/>
          <w:b/>
          <w:snapToGrid w:val="0"/>
          <w:color w:val="auto"/>
          <w:sz w:val="24"/>
          <w:highlight w:val="none"/>
          <w:lang w:bidi="ar"/>
        </w:rPr>
        <w:t>(本项目不接受关联企业投标)</w:t>
      </w:r>
    </w:p>
    <w:p w14:paraId="692DCB16">
      <w:pPr>
        <w:wordWrap w:val="0"/>
        <w:adjustRightInd w:val="0"/>
        <w:snapToGrid w:val="0"/>
        <w:spacing w:line="360" w:lineRule="auto"/>
        <w:ind w:firstLine="480" w:firstLineChars="200"/>
        <w:outlineLvl w:val="2"/>
        <w:rPr>
          <w:rFonts w:hint="eastAsia" w:ascii="宋体" w:hAnsi="宋体" w:eastAsia="宋体" w:cs="宋体"/>
          <w:snapToGrid w:val="0"/>
          <w:color w:val="auto"/>
          <w:sz w:val="24"/>
          <w:highlight w:val="none"/>
          <w:lang w:bidi="ar"/>
        </w:rPr>
      </w:pPr>
      <w:bookmarkStart w:id="59" w:name="_Toc19822"/>
      <w:bookmarkStart w:id="60" w:name="_Toc7577"/>
      <w:bookmarkStart w:id="61" w:name="_Toc16323"/>
      <w:bookmarkStart w:id="62" w:name="_Toc3692"/>
      <w:r>
        <w:rPr>
          <w:rFonts w:hint="eastAsia" w:ascii="宋体" w:hAnsi="宋体" w:eastAsia="宋体" w:cs="宋体"/>
          <w:snapToGrid w:val="0"/>
          <w:color w:val="auto"/>
          <w:sz w:val="24"/>
          <w:highlight w:val="none"/>
          <w:lang w:bidi="ar"/>
        </w:rPr>
        <w:t>7.1 本招标文件所称关联企业,是指存在关联关系的企业。“关联关系”的界定适用《中华人民共和国公司法》第二百一十七条、《中华人民共和国政府采购法实施条例》第十八条之规定。</w:t>
      </w:r>
    </w:p>
    <w:p w14:paraId="097D83F0">
      <w:pPr>
        <w:wordWrap w:val="0"/>
        <w:adjustRightInd w:val="0"/>
        <w:snapToGrid w:val="0"/>
        <w:spacing w:line="360" w:lineRule="auto"/>
        <w:ind w:firstLine="480" w:firstLineChars="200"/>
        <w:outlineLvl w:val="2"/>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7.2 关联企业中, 同一个法定代表人的两个及两个以上法人，母公司、全资子公司及其控股公司，都不得同时投标。单位负责人为同一人或者存在直接控股、管理关系的不同投标人，不得参加同一合同项下的投标。一经发现，将导致投标同时被拒绝。</w:t>
      </w:r>
    </w:p>
    <w:p w14:paraId="27412378">
      <w:pPr>
        <w:wordWrap w:val="0"/>
        <w:adjustRightInd w:val="0"/>
        <w:snapToGrid w:val="0"/>
        <w:spacing w:line="360" w:lineRule="auto"/>
        <w:ind w:firstLine="480" w:firstLineChars="200"/>
        <w:outlineLvl w:val="2"/>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7.3 为采购项目提供过前期咨询及其他服务的投标人，不得再参加该采购项目的投标活动。</w:t>
      </w:r>
    </w:p>
    <w:p w14:paraId="1A7D78EE">
      <w:pPr>
        <w:wordWrap w:val="0"/>
        <w:adjustRightInd w:val="0"/>
        <w:snapToGrid w:val="0"/>
        <w:spacing w:line="360" w:lineRule="auto"/>
        <w:ind w:firstLine="482" w:firstLineChars="200"/>
        <w:outlineLvl w:val="2"/>
        <w:rPr>
          <w:rFonts w:hint="eastAsia" w:ascii="宋体" w:hAnsi="宋体" w:eastAsia="宋体" w:cs="宋体"/>
          <w:b/>
          <w:snapToGrid w:val="0"/>
          <w:color w:val="auto"/>
          <w:sz w:val="24"/>
          <w:highlight w:val="none"/>
          <w:lang w:bidi="ar"/>
        </w:rPr>
      </w:pPr>
      <w:r>
        <w:rPr>
          <w:rFonts w:hint="eastAsia" w:ascii="宋体" w:hAnsi="宋体" w:eastAsia="宋体" w:cs="宋体"/>
          <w:b/>
          <w:snapToGrid w:val="0"/>
          <w:color w:val="auto"/>
          <w:sz w:val="24"/>
          <w:highlight w:val="none"/>
          <w:lang w:bidi="ar"/>
        </w:rPr>
        <w:t>8.转包与分包</w:t>
      </w:r>
      <w:bookmarkEnd w:id="59"/>
      <w:bookmarkEnd w:id="60"/>
      <w:bookmarkEnd w:id="61"/>
      <w:bookmarkEnd w:id="62"/>
    </w:p>
    <w:p w14:paraId="16050F2A">
      <w:pPr>
        <w:wordWrap w:val="0"/>
        <w:adjustRightInd w:val="0"/>
        <w:snapToGrid w:val="0"/>
        <w:spacing w:line="360" w:lineRule="auto"/>
        <w:ind w:firstLine="48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8.1本项目不允许采取转包方式履行合同。</w:t>
      </w:r>
    </w:p>
    <w:p w14:paraId="7659434B">
      <w:pPr>
        <w:wordWrap w:val="0"/>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8.2本项目不允许采取分包方式履行合同。</w:t>
      </w:r>
    </w:p>
    <w:p w14:paraId="053F334F">
      <w:pPr>
        <w:wordWrap w:val="0"/>
        <w:adjustRightInd w:val="0"/>
        <w:snapToGrid w:val="0"/>
        <w:spacing w:line="360" w:lineRule="auto"/>
        <w:ind w:firstLine="482" w:firstLineChars="200"/>
        <w:outlineLvl w:val="2"/>
        <w:rPr>
          <w:rFonts w:hint="eastAsia" w:ascii="宋体" w:hAnsi="宋体" w:eastAsia="宋体" w:cs="宋体"/>
          <w:b/>
          <w:snapToGrid w:val="0"/>
          <w:color w:val="auto"/>
          <w:sz w:val="24"/>
          <w:highlight w:val="none"/>
          <w:lang w:bidi="ar"/>
        </w:rPr>
      </w:pPr>
      <w:bookmarkStart w:id="63" w:name="_Toc20556"/>
      <w:bookmarkStart w:id="64" w:name="_Toc23452"/>
      <w:bookmarkStart w:id="65" w:name="_Toc23736"/>
      <w:bookmarkStart w:id="66" w:name="_Toc23089"/>
      <w:r>
        <w:rPr>
          <w:rFonts w:hint="eastAsia" w:ascii="宋体" w:hAnsi="宋体" w:eastAsia="宋体" w:cs="宋体"/>
          <w:b/>
          <w:snapToGrid w:val="0"/>
          <w:color w:val="auto"/>
          <w:sz w:val="24"/>
          <w:highlight w:val="none"/>
          <w:lang w:bidi="ar"/>
        </w:rPr>
        <w:t>9.特别说明：</w:t>
      </w:r>
      <w:bookmarkEnd w:id="63"/>
      <w:bookmarkEnd w:id="64"/>
      <w:bookmarkEnd w:id="65"/>
      <w:bookmarkEnd w:id="66"/>
    </w:p>
    <w:p w14:paraId="0C30593A">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9.1投标人投标所使用的资格、信誉、荣誉、业绩与企业认证必须为本法人所拥有。</w:t>
      </w:r>
    </w:p>
    <w:p w14:paraId="5CBC4C62">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9.2 投标人代表只能接受一个投标人的委托参加投标。</w:t>
      </w:r>
    </w:p>
    <w:p w14:paraId="181A1A09">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9.3 《中华人民共和国政府采购法》第二十二条第五款“参加政府采购活动前三年内，在经营活动中没有重大违法记录”，“重大违法记录”是指投标人因违法经营受到刑事处罚或者责令停产停业、吊销许可证或者执照、较大数额罚款等行政处罚。</w:t>
      </w:r>
    </w:p>
    <w:p w14:paraId="6CFDC61C">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9.4投标人在投标活动中提供虚假材料或从事其他违法活动的,其投标无效，由相关部门查处。</w:t>
      </w:r>
    </w:p>
    <w:p w14:paraId="5359FFA1">
      <w:pPr>
        <w:wordWrap w:val="0"/>
        <w:adjustRightInd w:val="0"/>
        <w:snapToGrid w:val="0"/>
        <w:spacing w:line="360" w:lineRule="auto"/>
        <w:ind w:firstLine="482" w:firstLineChars="200"/>
        <w:outlineLvl w:val="2"/>
        <w:rPr>
          <w:rFonts w:hint="eastAsia" w:ascii="宋体" w:hAnsi="宋体" w:eastAsia="宋体" w:cs="宋体"/>
          <w:b/>
          <w:snapToGrid w:val="0"/>
          <w:color w:val="auto"/>
          <w:sz w:val="24"/>
          <w:highlight w:val="none"/>
          <w:lang w:bidi="ar"/>
        </w:rPr>
      </w:pPr>
      <w:bookmarkStart w:id="67" w:name="_Toc23511"/>
      <w:bookmarkStart w:id="68" w:name="_Toc11682"/>
      <w:bookmarkStart w:id="69" w:name="_Toc12864"/>
      <w:bookmarkStart w:id="70" w:name="_Toc15784"/>
      <w:r>
        <w:rPr>
          <w:rFonts w:hint="eastAsia" w:ascii="宋体" w:hAnsi="宋体" w:eastAsia="宋体" w:cs="宋体"/>
          <w:b/>
          <w:snapToGrid w:val="0"/>
          <w:color w:val="auto"/>
          <w:sz w:val="24"/>
          <w:highlight w:val="none"/>
          <w:lang w:bidi="ar"/>
        </w:rPr>
        <w:t>10.质疑和投诉</w:t>
      </w:r>
      <w:bookmarkEnd w:id="67"/>
      <w:bookmarkEnd w:id="68"/>
      <w:bookmarkEnd w:id="69"/>
      <w:bookmarkEnd w:id="70"/>
    </w:p>
    <w:p w14:paraId="47439A44">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10.1投标人认为招标文件使自己的合法权益受到损害的，应当在招标公告期限届满之日(或收到招标文件之日)起7个工作日之内向采购人或采购代理机构提出质疑；投标人认为招标过程和中标结果使自己的合法权益受到损害的，应当在知道或者应知其权益受到损害之日起7个工作日内提出质疑,逾期不再受理,投标人在法定质疑期内应一次性提出针对同一采购环节的质疑。关于对招标程序、招标文件格式性条款、评审结果的询问和质疑,请向采购代理机构提出；关于对投标人特殊资质要求、技术参数和技术标准、商务要求、综合评分标准的询问和质疑，请向采购人提出。</w:t>
      </w:r>
    </w:p>
    <w:p w14:paraId="05F21D55">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投标人对采购人或采购代理机构的质疑答复不满意,或采购人或采购代理机构未在规定时间内作出答复的，可以在答复期满后15个工作日内向同级财政部门投诉。</w:t>
      </w:r>
    </w:p>
    <w:p w14:paraId="131CC2AF">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10.2质疑、投诉应当采用书面形式，质疑及答疑将通过驻马店市公共资源交易中心电子交易平台不见面交易系统进行。质疑书、投诉书均应明确阐述招标文件、招标过程和中标结果中使自己合法权益受到损害的实质性内容，提供相关事实、依据和证据及其来源或线索，便于有关单位调查、答复和处理。</w:t>
      </w:r>
    </w:p>
    <w:p w14:paraId="77507460">
      <w:pPr>
        <w:wordWrap w:val="0"/>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11.投标人的风险</w:t>
      </w:r>
    </w:p>
    <w:p w14:paraId="772E8A8D">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投标人没有按照招标文件要求提供全部资料，或者投标人没有对招标文件在各方面都作出实质性响应是投标人的风险，并可能导致其投标被拒绝。</w:t>
      </w:r>
    </w:p>
    <w:p w14:paraId="391C2632">
      <w:pPr>
        <w:wordWrap w:val="0"/>
        <w:adjustRightInd w:val="0"/>
        <w:snapToGrid w:val="0"/>
        <w:spacing w:line="360" w:lineRule="auto"/>
        <w:ind w:firstLine="2515" w:firstLineChars="1044"/>
        <w:outlineLvl w:val="1"/>
        <w:rPr>
          <w:rFonts w:hint="eastAsia" w:ascii="宋体" w:hAnsi="宋体" w:eastAsia="宋体" w:cs="宋体"/>
          <w:b/>
          <w:snapToGrid w:val="0"/>
          <w:color w:val="auto"/>
          <w:sz w:val="24"/>
          <w:highlight w:val="none"/>
          <w:lang w:bidi="ar"/>
        </w:rPr>
      </w:pPr>
      <w:bookmarkStart w:id="71" w:name="_Toc10929"/>
      <w:bookmarkStart w:id="72" w:name="_Toc32620"/>
      <w:bookmarkStart w:id="73" w:name="_Toc29203"/>
      <w:bookmarkStart w:id="74" w:name="_Toc10580"/>
    </w:p>
    <w:p w14:paraId="47FFF5D5">
      <w:pPr>
        <w:wordWrap w:val="0"/>
        <w:adjustRightInd w:val="0"/>
        <w:snapToGrid w:val="0"/>
        <w:spacing w:line="360" w:lineRule="auto"/>
        <w:jc w:val="center"/>
        <w:outlineLvl w:val="1"/>
        <w:rPr>
          <w:rFonts w:hint="eastAsia" w:ascii="宋体" w:hAnsi="宋体" w:eastAsia="宋体" w:cs="宋体"/>
          <w:b/>
          <w:snapToGrid w:val="0"/>
          <w:color w:val="auto"/>
          <w:sz w:val="24"/>
          <w:highlight w:val="none"/>
          <w:lang w:bidi="ar"/>
        </w:rPr>
      </w:pPr>
      <w:r>
        <w:rPr>
          <w:rFonts w:hint="eastAsia" w:ascii="宋体" w:hAnsi="宋体" w:eastAsia="宋体" w:cs="宋体"/>
          <w:b/>
          <w:snapToGrid w:val="0"/>
          <w:color w:val="auto"/>
          <w:sz w:val="36"/>
          <w:szCs w:val="36"/>
          <w:highlight w:val="none"/>
          <w:lang w:bidi="ar"/>
        </w:rPr>
        <w:t>二  招标文件</w:t>
      </w:r>
      <w:bookmarkEnd w:id="71"/>
      <w:bookmarkEnd w:id="72"/>
      <w:bookmarkEnd w:id="73"/>
      <w:bookmarkEnd w:id="74"/>
    </w:p>
    <w:p w14:paraId="4C7F767D">
      <w:pPr>
        <w:wordWrap w:val="0"/>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12.招标文件的构成。本招标文件由以下部分组成：</w:t>
      </w:r>
    </w:p>
    <w:p w14:paraId="01D26802">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12.1 招标公告</w:t>
      </w:r>
    </w:p>
    <w:p w14:paraId="0D634FCD">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12.2 采购需求</w:t>
      </w:r>
    </w:p>
    <w:p w14:paraId="50229647">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12.3 投标人须知</w:t>
      </w:r>
    </w:p>
    <w:p w14:paraId="34A496A5">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12.4 评标办法及评分标准</w:t>
      </w:r>
    </w:p>
    <w:p w14:paraId="7F9505F5">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12.5 政府采购合同（主要条款）</w:t>
      </w:r>
    </w:p>
    <w:p w14:paraId="75E01B37">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12.6 投标文件格式</w:t>
      </w:r>
    </w:p>
    <w:p w14:paraId="678A03CA">
      <w:pPr>
        <w:wordWrap w:val="0"/>
        <w:adjustRightInd w:val="0"/>
        <w:snapToGrid w:val="0"/>
        <w:spacing w:line="360" w:lineRule="auto"/>
        <w:ind w:left="420" w:leftChars="200"/>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 xml:space="preserve">13.招标文件的澄清与修改 </w:t>
      </w:r>
    </w:p>
    <w:p w14:paraId="047D6675">
      <w:pPr>
        <w:wordWrap w:val="0"/>
        <w:adjustRightInd w:val="0"/>
        <w:snapToGri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13.1 采购代理机构对已发出的招标文件进行必要澄清、修改或补充的，应当在招标文件要求提交投标文件截止时间15日（如至原定截止时间不足15日，则需延长开标时间，招标文件获取时间、截止时间等可以相应延长）前，在驻马店市公共资源交易中心网、</w:t>
      </w:r>
      <w:r>
        <w:rPr>
          <w:rFonts w:hint="eastAsia" w:ascii="宋体" w:hAnsi="宋体" w:eastAsia="宋体" w:cs="宋体"/>
          <w:color w:val="auto"/>
          <w:sz w:val="24"/>
          <w:highlight w:val="none"/>
        </w:rPr>
        <w:t>河南省政府采购网</w:t>
      </w:r>
      <w:r>
        <w:rPr>
          <w:rFonts w:hint="eastAsia" w:ascii="宋体" w:hAnsi="宋体" w:eastAsia="宋体" w:cs="宋体"/>
          <w:snapToGrid w:val="0"/>
          <w:color w:val="auto"/>
          <w:sz w:val="24"/>
          <w:highlight w:val="none"/>
          <w:lang w:bidi="ar"/>
        </w:rPr>
        <w:t>等相关媒体上发布更正公告或变更公告。</w:t>
      </w:r>
    </w:p>
    <w:p w14:paraId="4AB03E8A">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13.2 招标文件澄清、修改或补充的内容为招标文件的组成部分。</w:t>
      </w:r>
    </w:p>
    <w:p w14:paraId="28D9272E">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13.3 招标文件的澄清、修改或补充都应通过本代理机构以法定形式发布。采购人未通过本代理机构对招标文件进行的澄清、修改或补充无效，评标时不予认可。</w:t>
      </w:r>
    </w:p>
    <w:p w14:paraId="642C88F5">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13.4 采购代理机构可以视采购具体情况延长投标截止时间和开标时间，但至少应当在招标文件要求提交投标文件的截止时间3日前，将变更时间在驻马店市公共资源交易中心网、</w:t>
      </w:r>
      <w:r>
        <w:rPr>
          <w:rFonts w:hint="eastAsia" w:ascii="宋体" w:hAnsi="宋体" w:eastAsia="宋体" w:cs="宋体"/>
          <w:color w:val="auto"/>
          <w:sz w:val="24"/>
          <w:highlight w:val="none"/>
        </w:rPr>
        <w:t>河南省政府采购网</w:t>
      </w:r>
      <w:r>
        <w:rPr>
          <w:rFonts w:hint="eastAsia" w:ascii="宋体" w:hAnsi="宋体" w:eastAsia="宋体" w:cs="宋体"/>
          <w:snapToGrid w:val="0"/>
          <w:color w:val="auto"/>
          <w:sz w:val="24"/>
          <w:highlight w:val="none"/>
          <w:lang w:bidi="ar"/>
        </w:rPr>
        <w:t>等相关媒体上发布更正公告或变更公告。</w:t>
      </w:r>
    </w:p>
    <w:p w14:paraId="13E11757">
      <w:pPr>
        <w:adjustRightInd w:val="0"/>
        <w:snapToGrid w:val="0"/>
        <w:spacing w:line="360" w:lineRule="auto"/>
        <w:ind w:firstLine="562" w:firstLineChars="200"/>
        <w:jc w:val="center"/>
        <w:rPr>
          <w:rFonts w:hint="eastAsia" w:ascii="宋体" w:hAnsi="宋体" w:eastAsia="宋体" w:cs="宋体"/>
          <w:b/>
          <w:snapToGrid w:val="0"/>
          <w:color w:val="auto"/>
          <w:sz w:val="28"/>
          <w:szCs w:val="28"/>
          <w:highlight w:val="none"/>
          <w:lang w:bidi="ar"/>
        </w:rPr>
      </w:pPr>
      <w:bookmarkStart w:id="75" w:name="_Toc8684"/>
      <w:bookmarkStart w:id="76" w:name="_Toc12016"/>
      <w:bookmarkStart w:id="77" w:name="_Toc26300"/>
      <w:bookmarkStart w:id="78" w:name="_Toc24349"/>
    </w:p>
    <w:p w14:paraId="4A05A07F">
      <w:pPr>
        <w:adjustRightInd w:val="0"/>
        <w:snapToGrid w:val="0"/>
        <w:spacing w:line="360" w:lineRule="auto"/>
        <w:ind w:firstLine="723" w:firstLineChars="200"/>
        <w:jc w:val="center"/>
        <w:rPr>
          <w:rFonts w:hint="eastAsia" w:ascii="宋体" w:hAnsi="宋体" w:eastAsia="宋体" w:cs="宋体"/>
          <w:color w:val="auto"/>
          <w:sz w:val="36"/>
          <w:szCs w:val="36"/>
          <w:highlight w:val="none"/>
        </w:rPr>
      </w:pPr>
      <w:r>
        <w:rPr>
          <w:rFonts w:hint="eastAsia" w:ascii="宋体" w:hAnsi="宋体" w:eastAsia="宋体" w:cs="宋体"/>
          <w:b/>
          <w:snapToGrid w:val="0"/>
          <w:color w:val="auto"/>
          <w:sz w:val="36"/>
          <w:szCs w:val="36"/>
          <w:highlight w:val="none"/>
          <w:lang w:bidi="ar"/>
        </w:rPr>
        <w:t>三  投标文件的编制</w:t>
      </w:r>
      <w:bookmarkEnd w:id="75"/>
      <w:bookmarkEnd w:id="76"/>
      <w:bookmarkEnd w:id="77"/>
      <w:bookmarkEnd w:id="78"/>
    </w:p>
    <w:p w14:paraId="4BDC5DDB">
      <w:pPr>
        <w:wordWrap w:val="0"/>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14.要求</w:t>
      </w:r>
    </w:p>
    <w:p w14:paraId="6A8B80A1">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14.1 投标人应仔细阅读招标文件的所有内容，按照招标文件提供的格式编写投标文件，不得缺少或留空任何招标文件要求填写的表格或提交的资料。招标文件提供格式的按格式填列，未提供格式的可自行拟定。投标文件应对招标文件的要求作出实质性响应（包括投标人资格要求、技术要求、商务要求和投标文件格式中对投标的要求），投标人对所提供的全部资料的合法性、真实性负责。</w:t>
      </w:r>
    </w:p>
    <w:p w14:paraId="096A5416">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14.2 投标人应完整签署投标文件格式附件中《投标书》和《投标人自觉抵制政府采购领域商业贿赂行为承诺书》，不得增减或修改内容。否则视为对招标文件未作出实质性响应。</w:t>
      </w:r>
    </w:p>
    <w:p w14:paraId="7A4F4005">
      <w:pPr>
        <w:wordWrap w:val="0"/>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15.投标文件的语言和计量单位</w:t>
      </w:r>
    </w:p>
    <w:p w14:paraId="4D9DF562">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15.1投标文件以及投标人与采购人就有关投标事宜的所有来往函电均应使用简体中文书写。</w:t>
      </w:r>
    </w:p>
    <w:p w14:paraId="335AAE92">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15.2 关于投标计量单位，招标文件已有明确规定的，使用招标文件规定的计量单位；招标文件没有规定的，应采用中华人民共和国法定计量单位。否则视为对招标文件未作出实质性响应。</w:t>
      </w:r>
    </w:p>
    <w:p w14:paraId="0DCD0983">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 xml:space="preserve">15.3 </w:t>
      </w:r>
      <w:r>
        <w:rPr>
          <w:rFonts w:hint="eastAsia" w:ascii="宋体" w:hAnsi="宋体" w:eastAsia="宋体" w:cs="宋体"/>
          <w:snapToGrid w:val="0"/>
          <w:color w:val="auto"/>
          <w:spacing w:val="10"/>
          <w:sz w:val="24"/>
          <w:highlight w:val="none"/>
          <w:lang w:bidi="ar"/>
        </w:rPr>
        <w:t>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5FC066E9">
      <w:pPr>
        <w:wordWrap w:val="0"/>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16.投标文件的组成</w:t>
      </w:r>
      <w:r>
        <w:rPr>
          <w:rFonts w:hint="eastAsia" w:ascii="宋体" w:hAnsi="宋体" w:eastAsia="宋体" w:cs="宋体"/>
          <w:snapToGrid w:val="0"/>
          <w:color w:val="auto"/>
          <w:sz w:val="24"/>
          <w:highlight w:val="none"/>
          <w:lang w:bidi="ar"/>
        </w:rPr>
        <w:t>，</w:t>
      </w:r>
      <w:r>
        <w:rPr>
          <w:rFonts w:hint="eastAsia" w:ascii="宋体" w:hAnsi="宋体" w:eastAsia="宋体" w:cs="宋体"/>
          <w:b/>
          <w:snapToGrid w:val="0"/>
          <w:color w:val="auto"/>
          <w:sz w:val="24"/>
          <w:highlight w:val="none"/>
          <w:lang w:bidi="ar"/>
        </w:rPr>
        <w:t>投标文件应包括下列部分：</w:t>
      </w:r>
    </w:p>
    <w:p w14:paraId="2B800835">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16.1 投标文件封面（格式）</w:t>
      </w:r>
    </w:p>
    <w:p w14:paraId="136729FF">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16.2 投标书（格式）</w:t>
      </w:r>
    </w:p>
    <w:p w14:paraId="01033D45">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16.3 开标一览表（格式）</w:t>
      </w:r>
    </w:p>
    <w:p w14:paraId="0BED2AED">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16.4 服务技术响应表（格式）</w:t>
      </w:r>
    </w:p>
    <w:p w14:paraId="2F4B1320">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16.5 商务响应表（格式）</w:t>
      </w:r>
    </w:p>
    <w:p w14:paraId="758A1998">
      <w:pPr>
        <w:wordWrap w:val="0"/>
        <w:adjustRightInd w:val="0"/>
        <w:snapToGrid w:val="0"/>
        <w:spacing w:line="360" w:lineRule="auto"/>
        <w:ind w:left="482"/>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16.6 技术（服务）方案（格式自拟）</w:t>
      </w:r>
    </w:p>
    <w:p w14:paraId="5DE21E2C">
      <w:pPr>
        <w:wordWrap w:val="0"/>
        <w:adjustRightInd w:val="0"/>
        <w:snapToGrid w:val="0"/>
        <w:spacing w:line="360" w:lineRule="auto"/>
        <w:ind w:left="482"/>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16.7</w:t>
      </w:r>
      <w:r>
        <w:rPr>
          <w:rFonts w:hint="eastAsia" w:ascii="宋体" w:hAnsi="宋体" w:eastAsia="宋体" w:cs="宋体"/>
          <w:snapToGrid w:val="0"/>
          <w:color w:val="auto"/>
          <w:sz w:val="24"/>
          <w:highlight w:val="none"/>
          <w:lang w:val="en-US" w:eastAsia="zh-CN" w:bidi="ar"/>
        </w:rPr>
        <w:t xml:space="preserve"> </w:t>
      </w:r>
      <w:r>
        <w:rPr>
          <w:rFonts w:hint="eastAsia" w:ascii="宋体" w:hAnsi="宋体" w:eastAsia="宋体" w:cs="宋体"/>
          <w:snapToGrid w:val="0"/>
          <w:color w:val="auto"/>
          <w:sz w:val="24"/>
          <w:highlight w:val="none"/>
          <w:lang w:bidi="ar"/>
        </w:rPr>
        <w:t>法定代表人身份证明（格式）</w:t>
      </w:r>
    </w:p>
    <w:p w14:paraId="28F9446C">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16.8</w:t>
      </w:r>
      <w:r>
        <w:rPr>
          <w:rFonts w:hint="eastAsia" w:ascii="宋体" w:hAnsi="宋体" w:eastAsia="宋体" w:cs="宋体"/>
          <w:snapToGrid w:val="0"/>
          <w:color w:val="auto"/>
          <w:sz w:val="24"/>
          <w:highlight w:val="none"/>
          <w:lang w:val="en-US" w:eastAsia="zh-CN" w:bidi="ar"/>
        </w:rPr>
        <w:t xml:space="preserve"> </w:t>
      </w:r>
      <w:r>
        <w:rPr>
          <w:rFonts w:hint="eastAsia" w:ascii="宋体" w:hAnsi="宋体" w:eastAsia="宋体" w:cs="宋体"/>
          <w:snapToGrid w:val="0"/>
          <w:color w:val="auto"/>
          <w:sz w:val="24"/>
          <w:highlight w:val="none"/>
          <w:lang w:bidi="ar"/>
        </w:rPr>
        <w:t>法定代表人授权书（格式）</w:t>
      </w:r>
    </w:p>
    <w:p w14:paraId="54BC61FF">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16.9 证明文件</w:t>
      </w:r>
    </w:p>
    <w:p w14:paraId="5D686637">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16.10中小企业声明函（服务）</w:t>
      </w:r>
    </w:p>
    <w:p w14:paraId="5C9A76D6">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16.11残疾人福利性单位声明函（格式）</w:t>
      </w:r>
    </w:p>
    <w:p w14:paraId="7BF7F8ED">
      <w:pPr>
        <w:wordWrap w:val="0"/>
        <w:adjustRightInd w:val="0"/>
        <w:snapToGrid w:val="0"/>
        <w:spacing w:line="360" w:lineRule="auto"/>
        <w:ind w:firstLine="482" w:firstLineChars="200"/>
        <w:rPr>
          <w:rFonts w:hint="eastAsia" w:ascii="宋体" w:hAnsi="宋体" w:eastAsia="宋体" w:cs="宋体"/>
          <w:b/>
          <w:bCs/>
          <w:snapToGrid w:val="0"/>
          <w:color w:val="auto"/>
          <w:sz w:val="24"/>
          <w:highlight w:val="none"/>
          <w:lang w:bidi="ar"/>
        </w:rPr>
      </w:pPr>
      <w:r>
        <w:rPr>
          <w:rFonts w:hint="eastAsia" w:ascii="宋体" w:hAnsi="宋体" w:eastAsia="宋体" w:cs="宋体"/>
          <w:b/>
          <w:bCs/>
          <w:snapToGrid w:val="0"/>
          <w:color w:val="auto"/>
          <w:sz w:val="24"/>
          <w:highlight w:val="none"/>
          <w:lang w:bidi="ar"/>
        </w:rPr>
        <w:t>17.投标有效期</w:t>
      </w:r>
    </w:p>
    <w:p w14:paraId="28CF351A">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17.1 投标文件从招标公告所规定的投标截止之日起开始生效，在投标人须知前附表第17项所规定的期限内保持有效。有效期不足将导致其投标文件被拒绝。中标</w:t>
      </w:r>
      <w:r>
        <w:rPr>
          <w:rFonts w:hint="eastAsia" w:ascii="宋体" w:hAnsi="宋体" w:eastAsia="宋体" w:cs="宋体"/>
          <w:snapToGrid w:val="0"/>
          <w:color w:val="auto"/>
          <w:sz w:val="24"/>
          <w:highlight w:val="none"/>
          <w:lang w:val="en-US" w:eastAsia="zh-CN" w:bidi="ar"/>
        </w:rPr>
        <w:t>供应商</w:t>
      </w:r>
      <w:r>
        <w:rPr>
          <w:rFonts w:hint="eastAsia" w:ascii="宋体" w:hAnsi="宋体" w:eastAsia="宋体" w:cs="宋体"/>
          <w:snapToGrid w:val="0"/>
          <w:color w:val="auto"/>
          <w:sz w:val="24"/>
          <w:highlight w:val="none"/>
          <w:lang w:bidi="ar"/>
        </w:rPr>
        <w:t>的投标文件有效期至合同完全履行止。</w:t>
      </w:r>
    </w:p>
    <w:p w14:paraId="318BA56E">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17.2特殊情况下采购代理机构可于投标有效期满之前书面要求投标人同意延长有效期，投标人应在采购代理机构规定的期限内以书面形式予以答复。投标人可以拒绝上述要求。投标人答复不明确或者逾期未答复的，均视为拒绝上述要求。对于接受该要求的投标人，既不要求也不允许其修改投标文件。</w:t>
      </w:r>
    </w:p>
    <w:p w14:paraId="1F864EE8">
      <w:pPr>
        <w:wordWrap w:val="0"/>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18.投标报价</w:t>
      </w:r>
    </w:p>
    <w:p w14:paraId="60E4CB71">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bookmarkStart w:id="79" w:name="_Toc17584"/>
      <w:bookmarkStart w:id="80" w:name="_Toc19798"/>
      <w:bookmarkStart w:id="81" w:name="_Toc9956"/>
      <w:bookmarkStart w:id="82" w:name="_Toc28555"/>
      <w:r>
        <w:rPr>
          <w:rFonts w:hint="eastAsia" w:ascii="宋体" w:hAnsi="宋体" w:eastAsia="宋体" w:cs="宋体"/>
          <w:snapToGrid w:val="0"/>
          <w:color w:val="auto"/>
          <w:sz w:val="24"/>
          <w:highlight w:val="none"/>
          <w:lang w:bidi="ar"/>
        </w:rPr>
        <w:t>18.1 所有投标报价均以人民币元为计算单位。投标人的投标报价为完成本项目服务内容产生的所有费用。</w:t>
      </w:r>
    </w:p>
    <w:p w14:paraId="12BD364D">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18.2 投标人要按开标一览表的内容填写。</w:t>
      </w:r>
    </w:p>
    <w:p w14:paraId="4F35DE26">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18.3 投标人投报多标包的，应对每标包分别报价并分别填报开标一览表。</w:t>
      </w:r>
    </w:p>
    <w:p w14:paraId="3C5776FA">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18.4 开标一览表中标明的价格在政府采购合同执行过程中是固定不变的，投标人不得以任何理由予以变更。以可调整的价格提交的投标将被作为无效投标处理。</w:t>
      </w:r>
    </w:p>
    <w:p w14:paraId="745F0506">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18.5 采购代理机构不接受可选择的投标报价。</w:t>
      </w:r>
    </w:p>
    <w:p w14:paraId="1E6E3381">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18.6 对于投标人在开标一览表和投标文件中列出的赠送条款，在评审时不得作为价格评分因素或者调整评标价格的依据。</w:t>
      </w:r>
    </w:p>
    <w:p w14:paraId="178BAD66">
      <w:pPr>
        <w:wordWrap w:val="0"/>
        <w:adjustRightInd w:val="0"/>
        <w:snapToGrid w:val="0"/>
        <w:spacing w:line="360" w:lineRule="auto"/>
        <w:ind w:firstLine="482" w:firstLineChars="200"/>
        <w:rPr>
          <w:rFonts w:hint="eastAsia" w:ascii="宋体" w:hAnsi="宋体" w:eastAsia="宋体" w:cs="宋体"/>
          <w:bCs/>
          <w:snapToGrid w:val="0"/>
          <w:color w:val="auto"/>
          <w:sz w:val="24"/>
          <w:highlight w:val="none"/>
          <w:lang w:bidi="ar"/>
        </w:rPr>
      </w:pPr>
      <w:r>
        <w:rPr>
          <w:rFonts w:hint="eastAsia" w:ascii="宋体" w:hAnsi="宋体" w:eastAsia="宋体" w:cs="宋体"/>
          <w:b/>
          <w:snapToGrid w:val="0"/>
          <w:color w:val="auto"/>
          <w:sz w:val="24"/>
          <w:highlight w:val="none"/>
          <w:lang w:bidi="ar"/>
        </w:rPr>
        <w:t>19.投标保证金（</w:t>
      </w:r>
      <w:r>
        <w:rPr>
          <w:rFonts w:hint="eastAsia" w:ascii="宋体" w:hAnsi="宋体" w:eastAsia="宋体" w:cs="宋体"/>
          <w:b/>
          <w:color w:val="auto"/>
          <w:sz w:val="24"/>
          <w:highlight w:val="none"/>
        </w:rPr>
        <w:t>本项目不收取投标保证金</w:t>
      </w:r>
      <w:r>
        <w:rPr>
          <w:rFonts w:hint="eastAsia" w:ascii="宋体" w:hAnsi="宋体" w:eastAsia="宋体" w:cs="宋体"/>
          <w:b/>
          <w:snapToGrid w:val="0"/>
          <w:color w:val="auto"/>
          <w:sz w:val="24"/>
          <w:highlight w:val="none"/>
          <w:lang w:bidi="ar"/>
        </w:rPr>
        <w:t>）</w:t>
      </w:r>
    </w:p>
    <w:p w14:paraId="194C3D54">
      <w:pPr>
        <w:wordWrap w:val="0"/>
        <w:adjustRightInd w:val="0"/>
        <w:snapToGrid w:val="0"/>
        <w:spacing w:line="360" w:lineRule="auto"/>
        <w:ind w:firstLine="482" w:firstLineChars="200"/>
        <w:rPr>
          <w:rFonts w:hint="eastAsia" w:ascii="宋体" w:hAnsi="宋体" w:eastAsia="宋体" w:cs="宋体"/>
          <w:b/>
          <w:snapToGrid w:val="0"/>
          <w:color w:val="auto"/>
          <w:sz w:val="24"/>
          <w:highlight w:val="none"/>
          <w:lang w:bidi="ar"/>
        </w:rPr>
      </w:pPr>
      <w:r>
        <w:rPr>
          <w:rFonts w:hint="eastAsia" w:ascii="宋体" w:hAnsi="宋体" w:eastAsia="宋体" w:cs="宋体"/>
          <w:b/>
          <w:snapToGrid w:val="0"/>
          <w:color w:val="auto"/>
          <w:sz w:val="24"/>
          <w:highlight w:val="none"/>
          <w:lang w:bidi="ar"/>
        </w:rPr>
        <w:t>20.投标文件的式样和签署</w:t>
      </w:r>
    </w:p>
    <w:p w14:paraId="00E9D9AB">
      <w:pPr>
        <w:wordWrap w:val="0"/>
        <w:adjustRightInd w:val="0"/>
        <w:snapToGrid w:val="0"/>
        <w:spacing w:line="360" w:lineRule="auto"/>
        <w:ind w:firstLine="480" w:firstLineChars="200"/>
        <w:rPr>
          <w:rFonts w:hint="eastAsia" w:ascii="宋体" w:hAnsi="宋体" w:eastAsia="宋体" w:cs="宋体"/>
          <w:bCs/>
          <w:snapToGrid w:val="0"/>
          <w:color w:val="auto"/>
          <w:sz w:val="24"/>
          <w:highlight w:val="none"/>
          <w:lang w:bidi="ar"/>
        </w:rPr>
      </w:pPr>
      <w:bookmarkStart w:id="83" w:name="page38"/>
      <w:bookmarkEnd w:id="83"/>
      <w:r>
        <w:rPr>
          <w:rFonts w:hint="eastAsia" w:ascii="宋体" w:hAnsi="宋体" w:eastAsia="宋体" w:cs="宋体"/>
          <w:bCs/>
          <w:snapToGrid w:val="0"/>
          <w:color w:val="auto"/>
          <w:sz w:val="24"/>
          <w:highlight w:val="none"/>
          <w:lang w:bidi="ar"/>
        </w:rPr>
        <w:t xml:space="preserve">20.1投标人应按本招标文件规定的格式和顺序编制投标文件。除了投标文件封面以外，每个页面应在明显位置编制页码，按流水顺序填写，字迹必须清晰可认，投标文件的目录应编序。投标文件内容不完整、编排混乱导致投标文件被误读、漏读或者查找不到相关内容的，由投标人负责。 </w:t>
      </w:r>
    </w:p>
    <w:p w14:paraId="2AC31F23">
      <w:pPr>
        <w:wordWrap w:val="0"/>
        <w:adjustRightInd w:val="0"/>
        <w:snapToGrid w:val="0"/>
        <w:spacing w:line="360" w:lineRule="auto"/>
        <w:ind w:firstLine="480" w:firstLineChars="200"/>
        <w:rPr>
          <w:rFonts w:hint="eastAsia" w:ascii="宋体" w:hAnsi="宋体" w:eastAsia="宋体" w:cs="宋体"/>
          <w:bCs/>
          <w:snapToGrid w:val="0"/>
          <w:color w:val="auto"/>
          <w:sz w:val="24"/>
          <w:highlight w:val="none"/>
          <w:lang w:bidi="ar"/>
        </w:rPr>
      </w:pPr>
      <w:r>
        <w:rPr>
          <w:rFonts w:hint="eastAsia" w:ascii="宋体" w:hAnsi="宋体" w:eastAsia="宋体" w:cs="宋体"/>
          <w:bCs/>
          <w:snapToGrid w:val="0"/>
          <w:color w:val="auto"/>
          <w:sz w:val="24"/>
          <w:highlight w:val="none"/>
          <w:lang w:bidi="ar"/>
        </w:rPr>
        <w:t xml:space="preserve">20.2投标文件（.zmdtf 格式）是根据“驻马店市公共资源交易中心网”下载的电子招标文件，制作生成的加密版投标文件。 </w:t>
      </w:r>
    </w:p>
    <w:p w14:paraId="1C8D8C20">
      <w:pPr>
        <w:wordWrap w:val="0"/>
        <w:adjustRightInd w:val="0"/>
        <w:snapToGrid w:val="0"/>
        <w:spacing w:line="360" w:lineRule="auto"/>
        <w:ind w:firstLine="480" w:firstLineChars="200"/>
        <w:rPr>
          <w:rFonts w:hint="eastAsia" w:ascii="宋体" w:hAnsi="宋体" w:eastAsia="宋体" w:cs="宋体"/>
          <w:bCs/>
          <w:snapToGrid w:val="0"/>
          <w:color w:val="auto"/>
          <w:sz w:val="24"/>
          <w:highlight w:val="none"/>
          <w:lang w:bidi="ar"/>
        </w:rPr>
      </w:pPr>
      <w:r>
        <w:rPr>
          <w:rFonts w:hint="eastAsia" w:ascii="宋体" w:hAnsi="宋体" w:eastAsia="宋体" w:cs="宋体"/>
          <w:bCs/>
          <w:snapToGrid w:val="0"/>
          <w:color w:val="auto"/>
          <w:sz w:val="24"/>
          <w:highlight w:val="none"/>
          <w:lang w:bidi="ar"/>
        </w:rPr>
        <w:t>20.3投标人应提交证明其拟供服务符合招标文件要求的技术</w:t>
      </w:r>
      <w:r>
        <w:rPr>
          <w:rFonts w:hint="eastAsia" w:ascii="宋体" w:hAnsi="宋体" w:eastAsia="宋体" w:cs="宋体"/>
          <w:bCs/>
          <w:snapToGrid w:val="0"/>
          <w:color w:val="auto"/>
          <w:sz w:val="24"/>
          <w:highlight w:val="none"/>
          <w:lang w:val="en-US" w:eastAsia="zh-CN" w:bidi="ar"/>
        </w:rPr>
        <w:t>投标</w:t>
      </w:r>
      <w:r>
        <w:rPr>
          <w:rFonts w:hint="eastAsia" w:ascii="宋体" w:hAnsi="宋体" w:eastAsia="宋体" w:cs="宋体"/>
          <w:bCs/>
          <w:snapToGrid w:val="0"/>
          <w:color w:val="auto"/>
          <w:sz w:val="24"/>
          <w:highlight w:val="none"/>
          <w:lang w:bidi="ar"/>
        </w:rPr>
        <w:t xml:space="preserve">文件，该文件可以是文字资料、图片和数据相结合。 </w:t>
      </w:r>
    </w:p>
    <w:p w14:paraId="231F09A3">
      <w:pPr>
        <w:wordWrap w:val="0"/>
        <w:adjustRightInd w:val="0"/>
        <w:snapToGrid w:val="0"/>
        <w:spacing w:line="360" w:lineRule="auto"/>
        <w:ind w:firstLine="480" w:firstLineChars="200"/>
        <w:rPr>
          <w:rFonts w:hint="eastAsia" w:ascii="宋体" w:hAnsi="宋体" w:eastAsia="宋体" w:cs="宋体"/>
          <w:bCs/>
          <w:snapToGrid w:val="0"/>
          <w:color w:val="auto"/>
          <w:sz w:val="24"/>
          <w:highlight w:val="none"/>
          <w:lang w:bidi="ar"/>
        </w:rPr>
      </w:pPr>
      <w:r>
        <w:rPr>
          <w:rFonts w:hint="eastAsia" w:ascii="宋体" w:hAnsi="宋体" w:eastAsia="宋体" w:cs="宋体"/>
          <w:bCs/>
          <w:snapToGrid w:val="0"/>
          <w:color w:val="auto"/>
          <w:sz w:val="24"/>
          <w:highlight w:val="none"/>
          <w:lang w:bidi="ar"/>
        </w:rPr>
        <w:t xml:space="preserve">20.4 投标人在编制电子投标文件时，根据招标文件的要求用法人 CA 秘钥和企业 CA 秘钥进行签章制作。生成电子投标文件时，只能用本单位的企业 CA 秘钥。生成后的电子投标文件须按招标文件的格式要求完成电子签字或盖章。“开标一览表”报价将作为电子开标的唱标依据。 </w:t>
      </w:r>
    </w:p>
    <w:p w14:paraId="124EBB79">
      <w:pPr>
        <w:wordWrap w:val="0"/>
        <w:adjustRightInd w:val="0"/>
        <w:snapToGrid w:val="0"/>
        <w:spacing w:line="360" w:lineRule="auto"/>
        <w:ind w:firstLine="480" w:firstLineChars="200"/>
        <w:rPr>
          <w:rFonts w:hint="eastAsia" w:ascii="宋体" w:hAnsi="宋体" w:eastAsia="宋体" w:cs="宋体"/>
          <w:bCs/>
          <w:snapToGrid w:val="0"/>
          <w:color w:val="auto"/>
          <w:sz w:val="24"/>
          <w:highlight w:val="none"/>
          <w:lang w:bidi="ar"/>
        </w:rPr>
      </w:pPr>
      <w:r>
        <w:rPr>
          <w:rFonts w:hint="eastAsia" w:ascii="宋体" w:hAnsi="宋体" w:eastAsia="宋体" w:cs="宋体"/>
          <w:bCs/>
          <w:snapToGrid w:val="0"/>
          <w:color w:val="auto"/>
          <w:sz w:val="24"/>
          <w:highlight w:val="none"/>
          <w:lang w:bidi="ar"/>
        </w:rPr>
        <w:t xml:space="preserve">20.5不接受电报、电传和传真的投标文件。 </w:t>
      </w:r>
    </w:p>
    <w:p w14:paraId="1DDA1FDA">
      <w:pPr>
        <w:wordWrap w:val="0"/>
        <w:adjustRightInd w:val="0"/>
        <w:snapToGrid w:val="0"/>
        <w:spacing w:line="360" w:lineRule="auto"/>
        <w:ind w:firstLine="480" w:firstLineChars="200"/>
        <w:rPr>
          <w:rFonts w:hint="eastAsia" w:ascii="宋体" w:hAnsi="宋体" w:eastAsia="宋体" w:cs="宋体"/>
          <w:bCs/>
          <w:snapToGrid w:val="0"/>
          <w:color w:val="auto"/>
          <w:sz w:val="24"/>
          <w:highlight w:val="none"/>
          <w:lang w:bidi="ar"/>
        </w:rPr>
      </w:pPr>
      <w:r>
        <w:rPr>
          <w:rFonts w:hint="eastAsia" w:ascii="宋体" w:hAnsi="宋体" w:eastAsia="宋体" w:cs="宋体"/>
          <w:bCs/>
          <w:snapToGrid w:val="0"/>
          <w:color w:val="auto"/>
          <w:sz w:val="24"/>
          <w:highlight w:val="none"/>
          <w:lang w:bidi="ar"/>
        </w:rPr>
        <w:t xml:space="preserve">20.6全套投标文件应无涂改和行间插字，除非这些改动是为改正投标人造成的必须修改的错误而进行的。有改动时，修改处应由投标人代表签署证明或加盖公章，但非投标人出具的材料，投标人改动无效。未按本须知规定的格式填写投标文件或投标文件字迹模糊不清，导致评标委员无法认定是否实质性响应招标文件的,其投标将被作为无效投标。 </w:t>
      </w:r>
    </w:p>
    <w:p w14:paraId="35F1DF54">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20.7 电子投标文件制作流程。可参考驻马店市公共资源交易中心官方网站的下载中心板块的视频（</w:t>
      </w:r>
      <w:r>
        <w:rPr>
          <w:rFonts w:hint="eastAsia" w:ascii="宋体" w:hAnsi="宋体" w:eastAsia="宋体" w:cs="宋体"/>
          <w:color w:val="auto"/>
          <w:sz w:val="24"/>
          <w:highlight w:val="none"/>
        </w:rPr>
        <w:t>https://ggzy.zhumadian.gov.cn</w:t>
      </w:r>
      <w:r>
        <w:rPr>
          <w:rFonts w:hint="eastAsia" w:ascii="宋体" w:hAnsi="宋体" w:eastAsia="宋体" w:cs="宋体"/>
          <w:bCs/>
          <w:color w:val="auto"/>
          <w:kern w:val="0"/>
          <w:sz w:val="24"/>
          <w:highlight w:val="none"/>
        </w:rPr>
        <w:t>/TPFront/InfoDetail/?InfoID=6e085538-6be5-4d25-80b2-12f5fc669ba1&amp;CategoryNum=026005</w:t>
      </w:r>
      <w:r>
        <w:rPr>
          <w:rFonts w:hint="eastAsia" w:ascii="宋体" w:hAnsi="宋体" w:eastAsia="宋体" w:cs="宋体"/>
          <w:color w:val="auto"/>
          <w:kern w:val="0"/>
          <w:sz w:val="24"/>
          <w:highlight w:val="none"/>
        </w:rPr>
        <w:t>/TPFront/InfoDetail/?InfoID=844e0ea7-2b6c-425d-99f6-91bd5b500e5e&amp;CategoryNum=026002）</w:t>
      </w:r>
    </w:p>
    <w:p w14:paraId="4BCEEE7A">
      <w:pPr>
        <w:rPr>
          <w:rFonts w:hint="eastAsia" w:ascii="宋体" w:hAnsi="宋体" w:eastAsia="宋体" w:cs="宋体"/>
          <w:b/>
          <w:snapToGrid w:val="0"/>
          <w:color w:val="auto"/>
          <w:sz w:val="36"/>
          <w:szCs w:val="36"/>
          <w:highlight w:val="none"/>
          <w:lang w:bidi="ar"/>
        </w:rPr>
      </w:pPr>
    </w:p>
    <w:p w14:paraId="1A133D5B">
      <w:pPr>
        <w:jc w:val="center"/>
        <w:rPr>
          <w:rFonts w:hint="eastAsia" w:ascii="宋体" w:hAnsi="宋体" w:eastAsia="宋体" w:cs="宋体"/>
          <w:b/>
          <w:snapToGrid w:val="0"/>
          <w:color w:val="auto"/>
          <w:sz w:val="24"/>
          <w:highlight w:val="none"/>
          <w:lang w:bidi="ar"/>
        </w:rPr>
      </w:pPr>
      <w:r>
        <w:rPr>
          <w:rFonts w:hint="eastAsia" w:ascii="宋体" w:hAnsi="宋体" w:eastAsia="宋体" w:cs="宋体"/>
          <w:b/>
          <w:snapToGrid w:val="0"/>
          <w:color w:val="auto"/>
          <w:sz w:val="36"/>
          <w:szCs w:val="36"/>
          <w:highlight w:val="none"/>
          <w:lang w:bidi="ar"/>
        </w:rPr>
        <w:t>四  投标文件的上传、提交</w:t>
      </w:r>
    </w:p>
    <w:p w14:paraId="418CB1ED">
      <w:pPr>
        <w:wordWrap w:val="0"/>
        <w:adjustRightInd w:val="0"/>
        <w:snapToGrid w:val="0"/>
        <w:spacing w:line="360" w:lineRule="auto"/>
        <w:ind w:firstLine="723" w:firstLineChars="300"/>
        <w:rPr>
          <w:rFonts w:hint="eastAsia" w:ascii="宋体" w:hAnsi="宋体" w:eastAsia="宋体" w:cs="宋体"/>
          <w:b/>
          <w:snapToGrid w:val="0"/>
          <w:color w:val="auto"/>
          <w:sz w:val="24"/>
          <w:highlight w:val="none"/>
          <w:lang w:bidi="ar"/>
        </w:rPr>
      </w:pPr>
    </w:p>
    <w:p w14:paraId="231237F6">
      <w:pPr>
        <w:wordWrap w:val="0"/>
        <w:adjustRightInd w:val="0"/>
        <w:snapToGrid w:val="0"/>
        <w:spacing w:line="360" w:lineRule="auto"/>
        <w:ind w:firstLine="723" w:firstLineChars="300"/>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21.投标文件的加密、标记</w:t>
      </w:r>
    </w:p>
    <w:p w14:paraId="638F3026">
      <w:pPr>
        <w:wordWrap w:val="0"/>
        <w:adjustRightInd w:val="0"/>
        <w:snapToGrid w:val="0"/>
        <w:spacing w:line="360" w:lineRule="auto"/>
        <w:ind w:firstLine="480" w:firstLineChars="200"/>
        <w:rPr>
          <w:rFonts w:hint="eastAsia" w:ascii="宋体" w:hAnsi="宋体" w:eastAsia="宋体" w:cs="宋体"/>
          <w:bCs/>
          <w:snapToGrid w:val="0"/>
          <w:color w:val="auto"/>
          <w:sz w:val="24"/>
          <w:highlight w:val="none"/>
          <w:lang w:bidi="ar"/>
        </w:rPr>
      </w:pPr>
      <w:r>
        <w:rPr>
          <w:rFonts w:hint="eastAsia" w:ascii="宋体" w:hAnsi="宋体" w:eastAsia="宋体" w:cs="宋体"/>
          <w:bCs/>
          <w:snapToGrid w:val="0"/>
          <w:color w:val="auto"/>
          <w:sz w:val="24"/>
          <w:highlight w:val="none"/>
          <w:lang w:bidi="ar"/>
        </w:rPr>
        <w:t>21.1投标人应在投标文件截止时间前上传加密的电子投标文件（.zmdtf格式）。</w:t>
      </w:r>
    </w:p>
    <w:p w14:paraId="26DA9F60">
      <w:pPr>
        <w:wordWrap w:val="0"/>
        <w:adjustRightInd w:val="0"/>
        <w:snapToGrid w:val="0"/>
        <w:spacing w:line="360" w:lineRule="auto"/>
        <w:ind w:firstLine="480" w:firstLineChars="200"/>
        <w:rPr>
          <w:rFonts w:hint="eastAsia" w:ascii="宋体" w:hAnsi="宋体" w:eastAsia="宋体" w:cs="宋体"/>
          <w:bCs/>
          <w:snapToGrid w:val="0"/>
          <w:color w:val="auto"/>
          <w:sz w:val="24"/>
          <w:highlight w:val="none"/>
          <w:lang w:eastAsia="zh-CN" w:bidi="ar"/>
        </w:rPr>
      </w:pPr>
      <w:r>
        <w:rPr>
          <w:rFonts w:hint="eastAsia" w:ascii="宋体" w:hAnsi="宋体" w:eastAsia="宋体" w:cs="宋体"/>
          <w:bCs/>
          <w:snapToGrid w:val="0"/>
          <w:color w:val="auto"/>
          <w:sz w:val="24"/>
          <w:highlight w:val="none"/>
          <w:lang w:bidi="ar"/>
        </w:rPr>
        <w:t>21.2投标人因驻马店市公共资源交易平台投标系统出现问题无法上传电子投标文件时，请与江苏国泰新点软件有限公司联系，联系电话：0396-2613088</w:t>
      </w:r>
      <w:r>
        <w:rPr>
          <w:rFonts w:hint="eastAsia" w:ascii="宋体" w:hAnsi="宋体" w:eastAsia="宋体" w:cs="宋体"/>
          <w:bCs/>
          <w:snapToGrid w:val="0"/>
          <w:color w:val="auto"/>
          <w:sz w:val="24"/>
          <w:highlight w:val="none"/>
          <w:lang w:eastAsia="zh-CN" w:bidi="ar"/>
        </w:rPr>
        <w:t>。</w:t>
      </w:r>
    </w:p>
    <w:p w14:paraId="42CFB837">
      <w:pPr>
        <w:wordWrap w:val="0"/>
        <w:adjustRightInd w:val="0"/>
        <w:snapToGrid w:val="0"/>
        <w:spacing w:line="360" w:lineRule="auto"/>
        <w:ind w:firstLine="482" w:firstLineChars="200"/>
        <w:rPr>
          <w:rFonts w:hint="eastAsia" w:ascii="宋体" w:hAnsi="宋体" w:eastAsia="宋体" w:cs="宋体"/>
          <w:bCs/>
          <w:snapToGrid w:val="0"/>
          <w:color w:val="auto"/>
          <w:sz w:val="24"/>
          <w:highlight w:val="none"/>
          <w:lang w:bidi="ar"/>
        </w:rPr>
      </w:pPr>
      <w:r>
        <w:rPr>
          <w:rFonts w:hint="eastAsia" w:ascii="宋体" w:hAnsi="宋体" w:eastAsia="宋体" w:cs="宋体"/>
          <w:b/>
          <w:snapToGrid w:val="0"/>
          <w:color w:val="auto"/>
          <w:sz w:val="24"/>
          <w:highlight w:val="none"/>
          <w:lang w:bidi="ar"/>
        </w:rPr>
        <w:t>22.投标文件的上传、提交</w:t>
      </w:r>
    </w:p>
    <w:p w14:paraId="3C112C86">
      <w:pPr>
        <w:wordWrap w:val="0"/>
        <w:adjustRightInd w:val="0"/>
        <w:snapToGrid w:val="0"/>
        <w:spacing w:line="360" w:lineRule="auto"/>
        <w:ind w:firstLine="480" w:firstLineChars="200"/>
        <w:rPr>
          <w:rFonts w:hint="eastAsia" w:ascii="宋体" w:hAnsi="宋体" w:eastAsia="宋体" w:cs="宋体"/>
          <w:bCs/>
          <w:snapToGrid w:val="0"/>
          <w:color w:val="auto"/>
          <w:sz w:val="24"/>
          <w:highlight w:val="none"/>
          <w:lang w:bidi="ar"/>
        </w:rPr>
      </w:pPr>
      <w:r>
        <w:rPr>
          <w:rFonts w:hint="eastAsia" w:ascii="宋体" w:hAnsi="宋体" w:eastAsia="宋体" w:cs="宋体"/>
          <w:bCs/>
          <w:snapToGrid w:val="0"/>
          <w:color w:val="auto"/>
          <w:sz w:val="24"/>
          <w:highlight w:val="none"/>
          <w:lang w:bidi="ar"/>
        </w:rPr>
        <w:t>22.1投标人应在招标公告中规定的递交投标文件截止日期和时间前将制作好的电子投标文件加密上传至驻马店市公共资源交易中心电子交易平台，逾期上传其投标将被拒绝。</w:t>
      </w:r>
    </w:p>
    <w:p w14:paraId="11489785">
      <w:pPr>
        <w:wordWrap w:val="0"/>
        <w:adjustRightInd w:val="0"/>
        <w:snapToGrid w:val="0"/>
        <w:spacing w:line="360" w:lineRule="auto"/>
        <w:ind w:firstLine="482" w:firstLineChars="200"/>
        <w:rPr>
          <w:rFonts w:hint="eastAsia" w:ascii="宋体" w:hAnsi="宋体" w:eastAsia="宋体" w:cs="宋体"/>
          <w:b/>
          <w:snapToGrid w:val="0"/>
          <w:color w:val="auto"/>
          <w:sz w:val="24"/>
          <w:highlight w:val="none"/>
          <w:lang w:bidi="ar"/>
        </w:rPr>
      </w:pPr>
      <w:r>
        <w:rPr>
          <w:rFonts w:hint="eastAsia" w:ascii="宋体" w:hAnsi="宋体" w:eastAsia="宋体" w:cs="宋体"/>
          <w:b/>
          <w:snapToGrid w:val="0"/>
          <w:color w:val="auto"/>
          <w:sz w:val="24"/>
          <w:highlight w:val="none"/>
          <w:lang w:bidi="ar"/>
        </w:rPr>
        <w:t>23.投标文件的修改和撤回</w:t>
      </w:r>
    </w:p>
    <w:p w14:paraId="438721E5">
      <w:pPr>
        <w:wordWrap w:val="0"/>
        <w:adjustRightInd w:val="0"/>
        <w:snapToGrid w:val="0"/>
        <w:spacing w:line="360" w:lineRule="auto"/>
        <w:ind w:firstLine="480" w:firstLineChars="200"/>
        <w:rPr>
          <w:rFonts w:hint="eastAsia" w:ascii="宋体" w:hAnsi="宋体" w:eastAsia="宋体" w:cs="宋体"/>
          <w:bCs/>
          <w:snapToGrid w:val="0"/>
          <w:color w:val="auto"/>
          <w:sz w:val="24"/>
          <w:highlight w:val="none"/>
          <w:lang w:bidi="ar"/>
        </w:rPr>
      </w:pPr>
      <w:r>
        <w:rPr>
          <w:rFonts w:hint="eastAsia" w:ascii="宋体" w:hAnsi="宋体" w:eastAsia="宋体" w:cs="宋体"/>
          <w:bCs/>
          <w:snapToGrid w:val="0"/>
          <w:color w:val="auto"/>
          <w:sz w:val="24"/>
          <w:highlight w:val="none"/>
          <w:lang w:bidi="ar"/>
        </w:rPr>
        <w:t>23.1 投标人在投标截止时间前，可以对所提交的投标文件进行补充、修改或者撤回，并上传至驻马店市公共资源交易中心电子开评标系统内。补充、修改的内容和撤回通知应当按本须知要求签署、盖章、密封，并作为投标文件的组成部分。</w:t>
      </w:r>
    </w:p>
    <w:p w14:paraId="6C9A7886">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snapToGrid w:val="0"/>
          <w:color w:val="auto"/>
          <w:sz w:val="24"/>
          <w:highlight w:val="none"/>
          <w:lang w:bidi="ar"/>
        </w:rPr>
        <w:t>23.2 投标人在投标截止期后不得修改、撤回投标文件。投标人在投标截止期后修改投标文件的，其投标将被拒绝。</w:t>
      </w:r>
    </w:p>
    <w:p w14:paraId="139B77E7">
      <w:pPr>
        <w:wordWrap w:val="0"/>
        <w:adjustRightInd w:val="0"/>
        <w:snapToGrid w:val="0"/>
        <w:spacing w:line="360" w:lineRule="auto"/>
        <w:jc w:val="center"/>
        <w:outlineLvl w:val="1"/>
        <w:rPr>
          <w:rFonts w:hint="eastAsia" w:ascii="宋体" w:hAnsi="宋体" w:eastAsia="宋体" w:cs="宋体"/>
          <w:b/>
          <w:snapToGrid w:val="0"/>
          <w:color w:val="auto"/>
          <w:sz w:val="28"/>
          <w:szCs w:val="28"/>
          <w:highlight w:val="none"/>
          <w:lang w:bidi="ar"/>
        </w:rPr>
      </w:pPr>
    </w:p>
    <w:p w14:paraId="57BA09AE">
      <w:pPr>
        <w:wordWrap w:val="0"/>
        <w:adjustRightInd w:val="0"/>
        <w:snapToGrid w:val="0"/>
        <w:spacing w:line="360" w:lineRule="auto"/>
        <w:jc w:val="center"/>
        <w:outlineLvl w:val="1"/>
        <w:rPr>
          <w:rFonts w:hint="eastAsia" w:ascii="宋体" w:hAnsi="宋体" w:eastAsia="宋体" w:cs="宋体"/>
          <w:b/>
          <w:bCs/>
          <w:color w:val="auto"/>
          <w:sz w:val="24"/>
          <w:highlight w:val="none"/>
        </w:rPr>
      </w:pPr>
      <w:r>
        <w:rPr>
          <w:rFonts w:hint="eastAsia" w:ascii="宋体" w:hAnsi="宋体" w:eastAsia="宋体" w:cs="宋体"/>
          <w:b/>
          <w:snapToGrid w:val="0"/>
          <w:color w:val="auto"/>
          <w:sz w:val="36"/>
          <w:szCs w:val="36"/>
          <w:highlight w:val="none"/>
          <w:lang w:bidi="ar"/>
        </w:rPr>
        <w:t>五  开标</w:t>
      </w:r>
    </w:p>
    <w:p w14:paraId="437DAF99">
      <w:pPr>
        <w:wordWrap w:val="0"/>
        <w:adjustRightInd w:val="0"/>
        <w:snapToGrid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24.开标会议程序</w:t>
      </w:r>
    </w:p>
    <w:p w14:paraId="27005E2A">
      <w:pPr>
        <w:wordWrap w:val="0"/>
        <w:adjustRightInd w:val="0"/>
        <w:snapToGrid w:val="0"/>
        <w:spacing w:line="360" w:lineRule="auto"/>
        <w:ind w:firstLine="360" w:firstLineChars="150"/>
        <w:outlineLvl w:val="1"/>
        <w:rPr>
          <w:rFonts w:hint="eastAsia" w:ascii="宋体" w:hAnsi="宋体" w:eastAsia="宋体" w:cs="宋体"/>
          <w:snapToGrid w:val="0"/>
          <w:color w:val="auto"/>
          <w:sz w:val="24"/>
          <w:highlight w:val="none"/>
          <w:lang w:bidi="ar"/>
        </w:rPr>
      </w:pPr>
      <w:bookmarkStart w:id="84" w:name="_Toc5846"/>
      <w:bookmarkStart w:id="85" w:name="_Toc18175"/>
      <w:bookmarkStart w:id="86" w:name="_Toc21270"/>
      <w:bookmarkStart w:id="87" w:name="_Toc29367"/>
      <w:r>
        <w:rPr>
          <w:rFonts w:hint="eastAsia" w:ascii="宋体" w:hAnsi="宋体" w:eastAsia="宋体" w:cs="宋体"/>
          <w:snapToGrid w:val="0"/>
          <w:color w:val="auto"/>
          <w:sz w:val="24"/>
          <w:highlight w:val="none"/>
          <w:lang w:bidi="ar"/>
        </w:rPr>
        <w:t>24.1 在招标公告中规定的时间、地点开标。</w:t>
      </w:r>
    </w:p>
    <w:p w14:paraId="18CEB751">
      <w:pPr>
        <w:wordWrap w:val="0"/>
        <w:adjustRightInd w:val="0"/>
        <w:snapToGrid w:val="0"/>
        <w:spacing w:line="360" w:lineRule="auto"/>
        <w:ind w:firstLine="360" w:firstLineChars="150"/>
        <w:outlineLvl w:val="1"/>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24.2 开标由采购代理机构主持，采购人、投标人和有关方面代表参加。</w:t>
      </w:r>
    </w:p>
    <w:p w14:paraId="5EC3488B">
      <w:pPr>
        <w:wordWrap w:val="0"/>
        <w:adjustRightInd w:val="0"/>
        <w:snapToGrid w:val="0"/>
        <w:spacing w:line="360" w:lineRule="auto"/>
        <w:ind w:firstLine="360" w:firstLineChars="150"/>
        <w:outlineLvl w:val="1"/>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24.3开标时，首先，各投标人应在规定时间内对本单位的加密投标文件进行解密，然后代理机构工作人员对所有投标文件进行解密。如投标人自身原因解密失败，其投标将被拒绝。</w:t>
      </w:r>
    </w:p>
    <w:p w14:paraId="0679CC48">
      <w:pPr>
        <w:wordWrap w:val="0"/>
        <w:adjustRightInd w:val="0"/>
        <w:snapToGrid w:val="0"/>
        <w:spacing w:line="360" w:lineRule="auto"/>
        <w:ind w:firstLine="360" w:firstLineChars="150"/>
        <w:outlineLvl w:val="1"/>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24.4 解密完成后，系统将自动唱标，公布各投标人开标一览表的内容。</w:t>
      </w:r>
    </w:p>
    <w:p w14:paraId="501BAC9B">
      <w:pPr>
        <w:wordWrap w:val="0"/>
        <w:adjustRightInd w:val="0"/>
        <w:snapToGrid w:val="0"/>
        <w:spacing w:line="360" w:lineRule="auto"/>
        <w:ind w:firstLine="360" w:firstLineChars="150"/>
        <w:outlineLvl w:val="1"/>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24.5 采购代理机构对唱标内容做开标记录，由采购人、采购代理机构共同签字确认。</w:t>
      </w:r>
    </w:p>
    <w:p w14:paraId="174D4DC8">
      <w:pPr>
        <w:wordWrap w:val="0"/>
        <w:adjustRightInd w:val="0"/>
        <w:snapToGrid w:val="0"/>
        <w:spacing w:line="360" w:lineRule="auto"/>
        <w:ind w:firstLine="360" w:firstLineChars="150"/>
        <w:outlineLvl w:val="1"/>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24.6投标人在投标时有下列情形之一的，采购代理机构将拒绝接受其投标文件：</w:t>
      </w:r>
    </w:p>
    <w:p w14:paraId="74DE2EB4">
      <w:pPr>
        <w:wordWrap w:val="0"/>
        <w:adjustRightInd w:val="0"/>
        <w:snapToGrid w:val="0"/>
        <w:spacing w:line="360" w:lineRule="auto"/>
        <w:ind w:firstLine="360" w:firstLineChars="150"/>
        <w:outlineLvl w:val="1"/>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24.6.1 在招标文件规定的投标截止时间之后投标的。</w:t>
      </w:r>
    </w:p>
    <w:p w14:paraId="6E93C412">
      <w:pPr>
        <w:wordWrap w:val="0"/>
        <w:adjustRightInd w:val="0"/>
        <w:snapToGrid w:val="0"/>
        <w:spacing w:line="360" w:lineRule="auto"/>
        <w:ind w:firstLine="360" w:firstLineChars="150"/>
        <w:outlineLvl w:val="1"/>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24.6.2 投标文件未按招标文件规定加密的。</w:t>
      </w:r>
    </w:p>
    <w:p w14:paraId="763CB24E">
      <w:pPr>
        <w:wordWrap w:val="0"/>
        <w:adjustRightInd w:val="0"/>
        <w:snapToGrid w:val="0"/>
        <w:spacing w:line="360" w:lineRule="auto"/>
        <w:ind w:firstLine="360" w:firstLineChars="150"/>
        <w:outlineLvl w:val="1"/>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24.6.3 未进行网上下载领取招标文件参加投标的。</w:t>
      </w:r>
    </w:p>
    <w:p w14:paraId="575E328C">
      <w:pPr>
        <w:wordWrap w:val="0"/>
        <w:adjustRightInd w:val="0"/>
        <w:snapToGrid w:val="0"/>
        <w:spacing w:line="360" w:lineRule="auto"/>
        <w:ind w:firstLine="360" w:firstLineChars="150"/>
        <w:outlineLvl w:val="1"/>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24.6.4一个投标人不止递交一套投标文件的。</w:t>
      </w:r>
    </w:p>
    <w:p w14:paraId="21886630">
      <w:pPr>
        <w:wordWrap w:val="0"/>
        <w:adjustRightInd w:val="0"/>
        <w:snapToGrid w:val="0"/>
        <w:spacing w:line="360" w:lineRule="auto"/>
        <w:jc w:val="center"/>
        <w:outlineLvl w:val="1"/>
        <w:rPr>
          <w:rFonts w:hint="eastAsia" w:ascii="宋体" w:hAnsi="宋体" w:eastAsia="宋体" w:cs="宋体"/>
          <w:b/>
          <w:snapToGrid w:val="0"/>
          <w:color w:val="auto"/>
          <w:sz w:val="32"/>
          <w:szCs w:val="32"/>
          <w:highlight w:val="none"/>
          <w:lang w:bidi="ar"/>
        </w:rPr>
      </w:pPr>
    </w:p>
    <w:p w14:paraId="1DA13CEE">
      <w:pPr>
        <w:wordWrap w:val="0"/>
        <w:adjustRightInd w:val="0"/>
        <w:snapToGrid w:val="0"/>
        <w:spacing w:line="360" w:lineRule="auto"/>
        <w:jc w:val="center"/>
        <w:outlineLvl w:val="1"/>
        <w:rPr>
          <w:rFonts w:hint="eastAsia" w:ascii="宋体" w:hAnsi="宋体" w:eastAsia="宋体" w:cs="宋体"/>
          <w:color w:val="auto"/>
          <w:sz w:val="36"/>
          <w:szCs w:val="36"/>
          <w:highlight w:val="none"/>
        </w:rPr>
      </w:pPr>
      <w:r>
        <w:rPr>
          <w:rFonts w:hint="eastAsia" w:ascii="宋体" w:hAnsi="宋体" w:eastAsia="宋体" w:cs="宋体"/>
          <w:b/>
          <w:snapToGrid w:val="0"/>
          <w:color w:val="auto"/>
          <w:sz w:val="36"/>
          <w:szCs w:val="36"/>
          <w:highlight w:val="none"/>
          <w:lang w:bidi="ar"/>
        </w:rPr>
        <w:t>六   评标</w:t>
      </w:r>
      <w:bookmarkEnd w:id="84"/>
      <w:bookmarkEnd w:id="85"/>
      <w:bookmarkEnd w:id="86"/>
      <w:bookmarkEnd w:id="87"/>
    </w:p>
    <w:p w14:paraId="7F53D8F9">
      <w:pPr>
        <w:wordWrap w:val="0"/>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25.组建评标委员会</w:t>
      </w:r>
    </w:p>
    <w:p w14:paraId="3FA4304A">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25.1采购代理机构根据采购项目的特点依法组建评标委员会。评标委员会由采购人代表和评审专家组成，成员人数应当</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u w:val="single"/>
          <w:lang w:val="en-US" w:eastAsia="zh-CN" w:bidi="ar"/>
        </w:rPr>
        <w:t>5</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人，其中评审专家不得少于成员总数的三分之二。（采购项目符合下列情形之一的，评标委员会成员人数应当为7人以上单数：（一）采购预算金额在1000万元以上；（二）技术复杂；（三）社会影响较大。）采购人可委派一名代表进入评标委员会，但不得担任组长。评审专家对本单位的采购项目只能作为采购人代表参与评标。在开标后由评标委员会对投标文件进行审查、澄清、评估和比较，并做合理的建议。</w:t>
      </w:r>
    </w:p>
    <w:p w14:paraId="0EE440B7">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25.2评标委员会成员要依法独立评审，并对评审意见承担个人责任。评审委员会成员对需要共同认定的事项存在争议的，按照少数服从多数的原则做出结论。持不同意见的评审委员会成员应当在评审报告上签署不同意见并说明理由，否则视为同意。</w:t>
      </w:r>
    </w:p>
    <w:p w14:paraId="02AF4BC9">
      <w:pPr>
        <w:wordWrap w:val="0"/>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26.投标文件的初审</w:t>
      </w:r>
    </w:p>
    <w:p w14:paraId="46A2F574">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26.1对所有投标人的评估，都采用相同的程序和标准。评标过程将严格按照招标文件的要求和条件进行。</w:t>
      </w:r>
    </w:p>
    <w:p w14:paraId="0FE4FEFC">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26.2 评标委员会将对投标文件进行检查，以确定投标文件是否完整、有无计算上的错误、文件是否已正确签署等。</w:t>
      </w:r>
    </w:p>
    <w:p w14:paraId="5854306B">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26.3 投标文件如果出现计算或表达上的错误，修正错误的原则如下：</w:t>
      </w:r>
    </w:p>
    <w:p w14:paraId="071C38ED">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26.3.1 投标文件开标一览表的内容与投标文件中相应内容不一致的，以开标一览表为准。</w:t>
      </w:r>
    </w:p>
    <w:p w14:paraId="3EAABB38">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26.3.2 大写金额与小写金额不一致的，以大写金额为准。</w:t>
      </w:r>
    </w:p>
    <w:p w14:paraId="3C5280B2">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26.3.</w:t>
      </w:r>
      <w:r>
        <w:rPr>
          <w:rFonts w:hint="eastAsia" w:ascii="宋体" w:hAnsi="宋体" w:eastAsia="宋体" w:cs="宋体"/>
          <w:snapToGrid w:val="0"/>
          <w:color w:val="auto"/>
          <w:sz w:val="24"/>
          <w:highlight w:val="none"/>
          <w:lang w:val="en-US" w:eastAsia="zh-CN" w:bidi="ar"/>
        </w:rPr>
        <w:t>3</w:t>
      </w:r>
      <w:r>
        <w:rPr>
          <w:rFonts w:hint="eastAsia" w:ascii="宋体" w:hAnsi="宋体" w:eastAsia="宋体" w:cs="宋体"/>
          <w:snapToGrid w:val="0"/>
          <w:color w:val="auto"/>
          <w:sz w:val="24"/>
          <w:highlight w:val="none"/>
          <w:lang w:bidi="ar"/>
        </w:rPr>
        <w:t xml:space="preserve"> 对不同文字文本投标文件的解释发生异议的，以中文文本为准。</w:t>
      </w:r>
    </w:p>
    <w:p w14:paraId="61F7EC6A">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同时出现两种以上不一致的，按照前款规定的顺序修正。修正后的报价按照财政部87号令第五十一条第二款的规定经投标人确认后产生约束力，投标人不确认的，其投标无效。</w:t>
      </w:r>
    </w:p>
    <w:p w14:paraId="35398BA4">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26.4 资格性检查和符合性检查。</w:t>
      </w:r>
    </w:p>
    <w:p w14:paraId="2790F85B">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26.4.1资格性检查。依据法规政策和招标文件的规定，在对投标文件详细评估之前，采购人将依据投标人提交的投标文件按招标文件第一章招标公告第二项和招标文件第三章（一）说明4.投标人应提交的证明文件所述的资格标准对投标人进行资格审查,以确定其是否具备投标资格。如果投标人不具备投标资格、不满足招标文件所规定的资格标准或提供资格证明文件不全,其投标将被作为无效投标。</w:t>
      </w:r>
    </w:p>
    <w:p w14:paraId="4C852AFD">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26.4.2 资格审查后合格的投标人不足3家的，不得评标。</w:t>
      </w:r>
    </w:p>
    <w:p w14:paraId="0428473C">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26.4.3符合性检查。依据招标文件的规定，评标委员会还将从投标文件的有效性、完整性和对招标文件的响应程度进行审查，以确定是否符合对招标文件的实质性要求作出响应（采购人可根据具体项目的情况对实质性要求作特别的具体规定）。实质性偏离是指：（1）实质性影响合同的范围、质量和履行。（2）实质性违背招标文件，限制了采购人的权利。（3）不公正地影响了其它作出实质性响应的投标人的竞争地位。对没有实质性响应的投标文件将不进行评估，其投标被作为无效投标。凡有下列情况之一者，投标文件也将被视为未实质性响应招标文件要求：</w:t>
      </w:r>
    </w:p>
    <w:p w14:paraId="18F616F6">
      <w:pPr>
        <w:widowControl/>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文件未按规定签字、盖章的。</w:t>
      </w:r>
    </w:p>
    <w:p w14:paraId="4E6E85FC">
      <w:pPr>
        <w:widowControl/>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代表未能出具有效身份证明，或与身份不符的。</w:t>
      </w:r>
    </w:p>
    <w:p w14:paraId="68566BD8">
      <w:pPr>
        <w:widowControl/>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(3)资格证明文件不全的，或不符合</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文件标明的资格要求的。</w:t>
      </w:r>
    </w:p>
    <w:p w14:paraId="7A93DE01">
      <w:pPr>
        <w:widowControl/>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文件有效期、</w:t>
      </w:r>
      <w:r>
        <w:rPr>
          <w:rFonts w:hint="eastAsia" w:ascii="宋体" w:hAnsi="宋体" w:eastAsia="宋体" w:cs="宋体"/>
          <w:color w:val="auto"/>
          <w:kern w:val="0"/>
          <w:sz w:val="24"/>
          <w:szCs w:val="24"/>
          <w:highlight w:val="none"/>
          <w:lang w:val="en-US" w:eastAsia="zh-CN"/>
        </w:rPr>
        <w:t>合同履行期限</w:t>
      </w:r>
      <w:r>
        <w:rPr>
          <w:rFonts w:hint="eastAsia" w:ascii="宋体" w:hAnsi="宋体" w:eastAsia="宋体" w:cs="宋体"/>
          <w:color w:val="auto"/>
          <w:kern w:val="0"/>
          <w:sz w:val="24"/>
          <w:szCs w:val="24"/>
          <w:highlight w:val="none"/>
        </w:rPr>
        <w:t>等不满足</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文件要求的。</w:t>
      </w:r>
    </w:p>
    <w:p w14:paraId="52D8A91E">
      <w:pPr>
        <w:widowControl/>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)未按</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文件提供的格式填列、项目不齐全或内容虚假的。</w:t>
      </w:r>
    </w:p>
    <w:p w14:paraId="1E8DE3E3">
      <w:pPr>
        <w:widowControl/>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文件的实质性内容未使用中文表述，或意思表述不明确，或前后矛盾，或使用计量单位不符合</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文件要求的。</w:t>
      </w:r>
    </w:p>
    <w:p w14:paraId="4398B7D6">
      <w:pPr>
        <w:widowControl/>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文件的关键内容字迹模糊、无法辨认,或</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文件中经修正的内容字迹模糊无法辩认，或修改处未按规定签名盖章的。</w:t>
      </w:r>
    </w:p>
    <w:p w14:paraId="2D821EDD">
      <w:pPr>
        <w:widowControl/>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)不符合</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文件中规定的其它实质性条款。</w:t>
      </w:r>
    </w:p>
    <w:p w14:paraId="1903EF3F">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评标委员会决定投标的响应性只根据投标文件本身的内容，而不寻求其他的外部证据。</w:t>
      </w:r>
    </w:p>
    <w:p w14:paraId="6A1FF766">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26.4.4对资格性检查和符合性检查不合格的投标人，将通过驻马店市公共资源交易不见面开评标系统网上实时告知其理由。</w:t>
      </w:r>
    </w:p>
    <w:p w14:paraId="512A54A1">
      <w:pPr>
        <w:wordWrap w:val="0"/>
        <w:adjustRightInd w:val="0"/>
        <w:snapToGrid w:val="0"/>
        <w:spacing w:line="360" w:lineRule="auto"/>
        <w:ind w:firstLine="477" w:firstLineChars="199"/>
        <w:textAlignment w:val="baseline"/>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26.5 在评审过程中，评标委员会发现投标人有下列情形之一的，视为投标人相互串通投标：</w:t>
      </w:r>
    </w:p>
    <w:p w14:paraId="29BFFB01">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26.5.1不同投标人的投标文件异常一致或者投标报价呈规律性差异的;</w:t>
      </w:r>
    </w:p>
    <w:p w14:paraId="2EAD78AF">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26.5.2不同投标人的投标文件由同一单位或者个人编制；</w:t>
      </w:r>
    </w:p>
    <w:p w14:paraId="13172035">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26.5.3不同投标人委托同一单位或者个人办理投标事宜；</w:t>
      </w:r>
    </w:p>
    <w:p w14:paraId="78DC2F59">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26.5.4不同投标人的投标文件载明的项目管理成员或者联系人员为同一人；</w:t>
      </w:r>
    </w:p>
    <w:p w14:paraId="31FCF9D6">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26.5.5不同投标人的投标文件相互混装；</w:t>
      </w:r>
    </w:p>
    <w:p w14:paraId="5FFF6A59">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26.5.6 有证据证明投标人串通投标的其他情形的。</w:t>
      </w:r>
    </w:p>
    <w:p w14:paraId="6004A978">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26.5.7 评标委员会认定的其他串通投标情形。</w:t>
      </w:r>
    </w:p>
    <w:p w14:paraId="5279B4F2">
      <w:pPr>
        <w:wordWrap w:val="0"/>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27.投标文件的澄清</w:t>
      </w:r>
    </w:p>
    <w:p w14:paraId="12659B43">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对投标文件中含义不明确、同类问题表述不一致或者有明显文字和计算错误的内容，评标委员会可以书面形式通过驻马店市公共资源交易中心电子交易平台不见面交易系统远程要求投标人作出必要的澄清。投标人的澄清应当在评标委员会规定的时间内通过驻马店市公共资源交易中心电子交易平台不见面交易系统远程以书面形式作出，由其投标人代表签字。但澄清事项不得超出投标文件的范围，不得实质性改变投标文件的内容，不得通过澄清等方式对投标人实行差别对待。评标委员会不得接受投标人主动提出的澄清和解释。</w:t>
      </w:r>
    </w:p>
    <w:p w14:paraId="7CF79583">
      <w:pPr>
        <w:wordWrap w:val="0"/>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28.比较与评价</w:t>
      </w:r>
    </w:p>
    <w:p w14:paraId="391B03BC">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28.1 评标委员会将按本招标文件规定的评标方法与标准，对资格性检查和符合性检查合格的投标文件进行商务和技术评估，综合比较与评价。</w:t>
      </w:r>
    </w:p>
    <w:p w14:paraId="73987C92">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28.2 对漏（缺）报项的处理：招标文件中要求列入报价的费用（含配置、功能），漏（缺）报的视同已含在投标总价中。但在评标时取有效投标人该项最高报价加入评标价进行评标。对多报项及赠送项的价格评标时不予核减，全部进入评标价评议。</w:t>
      </w:r>
    </w:p>
    <w:p w14:paraId="51C5F04F">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28.3评标委员会认为投标人的报价明显低于其他通过符合性审查投标人的报价，有可能影响产品质量或者不能诚信履约的，应当要求其通过驻马店市公共资源交易中心电子交易平台不见面交易系统在合理的时间内提供书面说明，必要时提交相关证明材料；投标人不能证明其报价合理性的，评标委员会应当将其作为无效投标处理。</w:t>
      </w:r>
    </w:p>
    <w:p w14:paraId="3B9A950A">
      <w:pPr>
        <w:wordWrap w:val="0"/>
        <w:adjustRightInd w:val="0"/>
        <w:snapToGrid w:val="0"/>
        <w:spacing w:line="360" w:lineRule="auto"/>
        <w:ind w:firstLine="479" w:firstLineChars="199"/>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29.评标过程及保密原则</w:t>
      </w:r>
    </w:p>
    <w:p w14:paraId="41934FFF">
      <w:pPr>
        <w:wordWrap w:val="0"/>
        <w:adjustRightInd w:val="0"/>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 xml:space="preserve"> 29.1 凡与本次招标有关人员对属于审查、澄清、评价和比较投标的有关资料以及定标意向等，均不得向投标人或其他人员透露。否则,将按有关规定追究相关人员的责任。</w:t>
      </w:r>
    </w:p>
    <w:p w14:paraId="014440B7">
      <w:pPr>
        <w:wordWrap w:val="0"/>
        <w:adjustRightInd w:val="0"/>
        <w:snapToGrid w:val="0"/>
        <w:spacing w:line="360" w:lineRule="auto"/>
        <w:ind w:firstLine="360" w:firstLineChars="15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 xml:space="preserve"> 29.2 在评标期间，投标人试图影响或干预评审的任何行为，将导致其投标被作为无效投标，并承担相应的法律责任。</w:t>
      </w:r>
    </w:p>
    <w:p w14:paraId="23D590CA">
      <w:pPr>
        <w:wordWrap w:val="0"/>
        <w:adjustRightInd w:val="0"/>
        <w:snapToGrid w:val="0"/>
        <w:spacing w:line="360" w:lineRule="auto"/>
        <w:ind w:firstLine="479" w:firstLineChars="199"/>
        <w:rPr>
          <w:rFonts w:hint="eastAsia" w:ascii="宋体" w:hAnsi="宋体" w:eastAsia="宋体" w:cs="宋体"/>
          <w:b/>
          <w:snapToGrid w:val="0"/>
          <w:color w:val="auto"/>
          <w:sz w:val="24"/>
          <w:highlight w:val="none"/>
          <w:lang w:bidi="ar"/>
        </w:rPr>
      </w:pPr>
      <w:r>
        <w:rPr>
          <w:rFonts w:hint="eastAsia" w:ascii="宋体" w:hAnsi="宋体" w:eastAsia="宋体" w:cs="宋体"/>
          <w:b/>
          <w:snapToGrid w:val="0"/>
          <w:color w:val="auto"/>
          <w:sz w:val="24"/>
          <w:highlight w:val="none"/>
          <w:lang w:bidi="ar"/>
        </w:rPr>
        <w:t>30.评标异议登记</w:t>
      </w:r>
    </w:p>
    <w:p w14:paraId="059AB967">
      <w:pPr>
        <w:wordWrap w:val="0"/>
        <w:adjustRightInd w:val="0"/>
        <w:snapToGrid w:val="0"/>
        <w:spacing w:line="360" w:lineRule="auto"/>
        <w:ind w:firstLine="360" w:firstLineChars="150"/>
        <w:rPr>
          <w:rFonts w:hint="eastAsia" w:ascii="宋体" w:hAnsi="宋体" w:eastAsia="宋体" w:cs="宋体"/>
          <w:b/>
          <w:snapToGrid w:val="0"/>
          <w:color w:val="auto"/>
          <w:sz w:val="24"/>
          <w:highlight w:val="none"/>
          <w:lang w:bidi="ar"/>
        </w:rPr>
      </w:pPr>
      <w:r>
        <w:rPr>
          <w:rFonts w:hint="eastAsia" w:ascii="宋体" w:hAnsi="宋体" w:eastAsia="宋体" w:cs="宋体"/>
          <w:snapToGrid w:val="0"/>
          <w:color w:val="auto"/>
          <w:sz w:val="24"/>
          <w:highlight w:val="none"/>
          <w:lang w:bidi="ar"/>
        </w:rPr>
        <w:t>采购代理机构工作人员对评审专家等相关人员在评审过程中发现、提出的异议进行逐项登记。</w:t>
      </w:r>
      <w:r>
        <w:rPr>
          <w:rFonts w:hint="eastAsia" w:ascii="宋体" w:hAnsi="宋体" w:eastAsia="宋体" w:cs="宋体"/>
          <w:b/>
          <w:snapToGrid w:val="0"/>
          <w:color w:val="auto"/>
          <w:sz w:val="24"/>
          <w:highlight w:val="none"/>
          <w:lang w:bidi="ar"/>
        </w:rPr>
        <w:t xml:space="preserve"> </w:t>
      </w:r>
    </w:p>
    <w:p w14:paraId="256F80E5">
      <w:pPr>
        <w:wordWrap w:val="0"/>
        <w:adjustRightInd w:val="0"/>
        <w:snapToGrid w:val="0"/>
        <w:spacing w:line="360" w:lineRule="auto"/>
        <w:ind w:firstLine="562" w:firstLineChars="200"/>
        <w:jc w:val="center"/>
        <w:rPr>
          <w:rFonts w:hint="eastAsia" w:ascii="宋体" w:hAnsi="宋体" w:eastAsia="宋体" w:cs="宋体"/>
          <w:b/>
          <w:bCs/>
          <w:snapToGrid w:val="0"/>
          <w:color w:val="auto"/>
          <w:sz w:val="28"/>
          <w:szCs w:val="28"/>
          <w:highlight w:val="none"/>
          <w:lang w:bidi="ar"/>
        </w:rPr>
      </w:pPr>
      <w:bookmarkStart w:id="88" w:name="_Toc18625"/>
      <w:bookmarkStart w:id="89" w:name="_Toc24984"/>
      <w:bookmarkStart w:id="90" w:name="_Toc8198"/>
      <w:bookmarkStart w:id="91" w:name="_Toc9568"/>
    </w:p>
    <w:p w14:paraId="126D5D95">
      <w:pPr>
        <w:wordWrap w:val="0"/>
        <w:adjustRightInd w:val="0"/>
        <w:snapToGrid w:val="0"/>
        <w:spacing w:line="360" w:lineRule="auto"/>
        <w:ind w:firstLine="723" w:firstLineChars="200"/>
        <w:jc w:val="center"/>
        <w:rPr>
          <w:rFonts w:hint="eastAsia" w:ascii="宋体" w:hAnsi="宋体" w:eastAsia="宋体" w:cs="宋体"/>
          <w:b/>
          <w:bCs/>
          <w:snapToGrid w:val="0"/>
          <w:color w:val="auto"/>
          <w:sz w:val="36"/>
          <w:szCs w:val="36"/>
          <w:highlight w:val="none"/>
          <w:lang w:bidi="ar"/>
        </w:rPr>
      </w:pPr>
      <w:r>
        <w:rPr>
          <w:rFonts w:hint="eastAsia" w:ascii="宋体" w:hAnsi="宋体" w:eastAsia="宋体" w:cs="宋体"/>
          <w:b/>
          <w:bCs/>
          <w:snapToGrid w:val="0"/>
          <w:color w:val="auto"/>
          <w:sz w:val="36"/>
          <w:szCs w:val="36"/>
          <w:highlight w:val="none"/>
          <w:lang w:bidi="ar"/>
        </w:rPr>
        <w:t>七   定标</w:t>
      </w:r>
      <w:bookmarkEnd w:id="88"/>
      <w:bookmarkEnd w:id="89"/>
      <w:bookmarkEnd w:id="90"/>
      <w:bookmarkEnd w:id="91"/>
    </w:p>
    <w:p w14:paraId="6ABCA4B3">
      <w:pPr>
        <w:wordWrap w:val="0"/>
        <w:adjustRightInd w:val="0"/>
        <w:snapToGrid w:val="0"/>
        <w:spacing w:line="360" w:lineRule="auto"/>
        <w:ind w:firstLine="482" w:firstLineChars="200"/>
        <w:rPr>
          <w:rFonts w:hint="eastAsia" w:ascii="宋体" w:hAnsi="宋体" w:eastAsia="宋体" w:cs="宋体"/>
          <w:b/>
          <w:bCs/>
          <w:snapToGrid w:val="0"/>
          <w:color w:val="auto"/>
          <w:sz w:val="24"/>
          <w:highlight w:val="none"/>
          <w:lang w:bidi="ar"/>
        </w:rPr>
      </w:pPr>
      <w:r>
        <w:rPr>
          <w:rFonts w:hint="eastAsia" w:ascii="宋体" w:hAnsi="宋体" w:eastAsia="宋体" w:cs="宋体"/>
          <w:b/>
          <w:bCs/>
          <w:snapToGrid w:val="0"/>
          <w:color w:val="auto"/>
          <w:sz w:val="24"/>
          <w:highlight w:val="none"/>
          <w:lang w:bidi="ar"/>
        </w:rPr>
        <w:t>31.定标原则</w:t>
      </w:r>
    </w:p>
    <w:p w14:paraId="169099A6">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31.1 最低投标价不作为中标的保证。</w:t>
      </w:r>
    </w:p>
    <w:p w14:paraId="6068FA90">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31.2 确定实质上响应招标文件且满足下列条件的为中标候选</w:t>
      </w:r>
      <w:r>
        <w:rPr>
          <w:rFonts w:hint="eastAsia" w:ascii="宋体" w:hAnsi="宋体" w:eastAsia="宋体" w:cs="宋体"/>
          <w:snapToGrid w:val="0"/>
          <w:color w:val="auto"/>
          <w:sz w:val="24"/>
          <w:highlight w:val="none"/>
          <w:lang w:val="en-US" w:eastAsia="zh-CN" w:bidi="ar"/>
        </w:rPr>
        <w:t>供应商</w:t>
      </w:r>
      <w:r>
        <w:rPr>
          <w:rFonts w:hint="eastAsia" w:ascii="宋体" w:hAnsi="宋体" w:eastAsia="宋体" w:cs="宋体"/>
          <w:snapToGrid w:val="0"/>
          <w:color w:val="auto"/>
          <w:sz w:val="24"/>
          <w:highlight w:val="none"/>
          <w:lang w:bidi="ar"/>
        </w:rPr>
        <w:t>（或中标</w:t>
      </w:r>
      <w:r>
        <w:rPr>
          <w:rFonts w:hint="eastAsia" w:ascii="宋体" w:hAnsi="宋体" w:eastAsia="宋体" w:cs="宋体"/>
          <w:snapToGrid w:val="0"/>
          <w:color w:val="auto"/>
          <w:sz w:val="24"/>
          <w:highlight w:val="none"/>
          <w:lang w:val="en-US" w:eastAsia="zh-CN" w:bidi="ar"/>
        </w:rPr>
        <w:t>供应商</w:t>
      </w:r>
      <w:r>
        <w:rPr>
          <w:rFonts w:hint="eastAsia" w:ascii="宋体" w:hAnsi="宋体" w:eastAsia="宋体" w:cs="宋体"/>
          <w:snapToGrid w:val="0"/>
          <w:color w:val="auto"/>
          <w:sz w:val="24"/>
          <w:highlight w:val="none"/>
          <w:lang w:bidi="ar"/>
        </w:rPr>
        <w:t>）：</w:t>
      </w:r>
    </w:p>
    <w:p w14:paraId="2BD8843E">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31.2.1 最低评标价法，是指投标文件满足招标文件全部实质性要求，且投标报价最低的投标人为中标候选</w:t>
      </w:r>
      <w:r>
        <w:rPr>
          <w:rFonts w:hint="eastAsia" w:ascii="宋体" w:hAnsi="宋体" w:eastAsia="宋体" w:cs="宋体"/>
          <w:snapToGrid w:val="0"/>
          <w:color w:val="auto"/>
          <w:sz w:val="24"/>
          <w:highlight w:val="none"/>
          <w:lang w:val="en-US" w:eastAsia="zh-CN" w:bidi="ar"/>
        </w:rPr>
        <w:t>供应商</w:t>
      </w:r>
      <w:r>
        <w:rPr>
          <w:rFonts w:hint="eastAsia" w:ascii="宋体" w:hAnsi="宋体" w:eastAsia="宋体" w:cs="宋体"/>
          <w:snapToGrid w:val="0"/>
          <w:color w:val="auto"/>
          <w:sz w:val="24"/>
          <w:highlight w:val="none"/>
          <w:lang w:bidi="ar"/>
        </w:rPr>
        <w:t>（或中标</w:t>
      </w:r>
      <w:r>
        <w:rPr>
          <w:rFonts w:hint="eastAsia" w:ascii="宋体" w:hAnsi="宋体" w:eastAsia="宋体" w:cs="宋体"/>
          <w:snapToGrid w:val="0"/>
          <w:color w:val="auto"/>
          <w:sz w:val="24"/>
          <w:highlight w:val="none"/>
          <w:lang w:val="en-US" w:eastAsia="zh-CN" w:bidi="ar"/>
        </w:rPr>
        <w:t>供应商</w:t>
      </w:r>
      <w:r>
        <w:rPr>
          <w:rFonts w:hint="eastAsia" w:ascii="宋体" w:hAnsi="宋体" w:eastAsia="宋体" w:cs="宋体"/>
          <w:snapToGrid w:val="0"/>
          <w:color w:val="auto"/>
          <w:sz w:val="24"/>
          <w:highlight w:val="none"/>
          <w:lang w:bidi="ar"/>
        </w:rPr>
        <w:t>）的评标方法。</w:t>
      </w:r>
    </w:p>
    <w:p w14:paraId="731F9CDB">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采用最低评标价法的，评标结果按投标报价由低到高顺序排列。投标报价相同的并列。投标文件满足招标文件全部实质性要求且投标报价最低的投标人为排名第一的中标候选人。最低报价相同的，按技术指标优劣顺序排列。以上全部相同的，通过随机抽取产生。</w:t>
      </w:r>
    </w:p>
    <w:p w14:paraId="7EEDAB1C">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对有效投标的投标服务符合价格折扣条件的，评标委员会根据政府采购相关规定，按照“价格调整要素及价格折扣幅度列表”进行报价调整，调整后的评标总价作为投标人的评标价，按评标价由低到高排列。评标价相同的，按投标报价由低到高排列。评标价与投标报价均相同的，按技术指标优劣排列。以上全部相同的，通过随机抽取产生。</w:t>
      </w:r>
    </w:p>
    <w:p w14:paraId="648094DF">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31.2.2 综合评分法，是指投标文件满足招标文件全部实质性要求，且按照评审因素的量化指标评审得分最高的投标人为中标候选</w:t>
      </w:r>
      <w:r>
        <w:rPr>
          <w:rFonts w:hint="eastAsia" w:ascii="宋体" w:hAnsi="宋体" w:eastAsia="宋体" w:cs="宋体"/>
          <w:snapToGrid w:val="0"/>
          <w:color w:val="auto"/>
          <w:sz w:val="24"/>
          <w:highlight w:val="none"/>
          <w:lang w:val="en-US" w:eastAsia="zh-CN" w:bidi="ar"/>
        </w:rPr>
        <w:t>供应商</w:t>
      </w:r>
      <w:r>
        <w:rPr>
          <w:rFonts w:hint="eastAsia" w:ascii="宋体" w:hAnsi="宋体" w:eastAsia="宋体" w:cs="宋体"/>
          <w:snapToGrid w:val="0"/>
          <w:color w:val="auto"/>
          <w:sz w:val="24"/>
          <w:highlight w:val="none"/>
          <w:lang w:bidi="ar"/>
        </w:rPr>
        <w:t>（或中标</w:t>
      </w:r>
      <w:r>
        <w:rPr>
          <w:rFonts w:hint="eastAsia" w:ascii="宋体" w:hAnsi="宋体" w:eastAsia="宋体" w:cs="宋体"/>
          <w:snapToGrid w:val="0"/>
          <w:color w:val="auto"/>
          <w:sz w:val="24"/>
          <w:highlight w:val="none"/>
          <w:lang w:val="en-US" w:eastAsia="zh-CN" w:bidi="ar"/>
        </w:rPr>
        <w:t>供应商</w:t>
      </w:r>
      <w:r>
        <w:rPr>
          <w:rFonts w:hint="eastAsia" w:ascii="宋体" w:hAnsi="宋体" w:eastAsia="宋体" w:cs="宋体"/>
          <w:snapToGrid w:val="0"/>
          <w:color w:val="auto"/>
          <w:sz w:val="24"/>
          <w:highlight w:val="none"/>
          <w:lang w:bidi="ar"/>
        </w:rPr>
        <w:t>）的评标方法。</w:t>
      </w:r>
    </w:p>
    <w:p w14:paraId="66960BCE">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44DA254">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采用综合评分法，按评标总得分由高到低顺序排列。得分相同的，按投标报价由低到高顺序排列。得分与投标报价均相同的，按技术指标优劣排列。得分、投标报价与技术指标优劣均相同的，通过随机抽取产生。</w:t>
      </w:r>
    </w:p>
    <w:p w14:paraId="36F261BE">
      <w:pPr>
        <w:wordWrap w:val="0"/>
        <w:adjustRightInd w:val="0"/>
        <w:snapToGrid w:val="0"/>
        <w:spacing w:line="360" w:lineRule="auto"/>
        <w:ind w:firstLine="482" w:firstLineChars="200"/>
        <w:rPr>
          <w:rFonts w:hint="eastAsia" w:ascii="宋体" w:hAnsi="宋体" w:eastAsia="宋体" w:cs="宋体"/>
          <w:b/>
          <w:bCs/>
          <w:snapToGrid w:val="0"/>
          <w:color w:val="auto"/>
          <w:sz w:val="24"/>
          <w:highlight w:val="none"/>
          <w:lang w:val="en-US" w:eastAsia="zh-CN" w:bidi="ar"/>
        </w:rPr>
      </w:pPr>
      <w:r>
        <w:rPr>
          <w:rFonts w:hint="eastAsia" w:ascii="宋体" w:hAnsi="宋体" w:eastAsia="宋体" w:cs="宋体"/>
          <w:b/>
          <w:bCs/>
          <w:snapToGrid w:val="0"/>
          <w:color w:val="auto"/>
          <w:sz w:val="24"/>
          <w:highlight w:val="none"/>
          <w:lang w:bidi="ar"/>
        </w:rPr>
        <w:t>32.确定中标</w:t>
      </w:r>
      <w:r>
        <w:rPr>
          <w:rFonts w:hint="eastAsia" w:ascii="宋体" w:hAnsi="宋体" w:eastAsia="宋体" w:cs="宋体"/>
          <w:b/>
          <w:bCs/>
          <w:snapToGrid w:val="0"/>
          <w:color w:val="auto"/>
          <w:sz w:val="24"/>
          <w:highlight w:val="none"/>
          <w:lang w:val="en-US" w:eastAsia="zh-CN" w:bidi="ar"/>
        </w:rPr>
        <w:t>供应商</w:t>
      </w:r>
      <w:r>
        <w:rPr>
          <w:rFonts w:hint="eastAsia" w:ascii="宋体" w:hAnsi="宋体" w:eastAsia="宋体" w:cs="宋体"/>
          <w:b/>
          <w:bCs/>
          <w:snapToGrid w:val="0"/>
          <w:color w:val="auto"/>
          <w:sz w:val="24"/>
          <w:highlight w:val="none"/>
          <w:lang w:bidi="ar"/>
        </w:rPr>
        <w:t>和中标候选</w:t>
      </w:r>
      <w:r>
        <w:rPr>
          <w:rFonts w:hint="eastAsia" w:ascii="宋体" w:hAnsi="宋体" w:eastAsia="宋体" w:cs="宋体"/>
          <w:b/>
          <w:bCs/>
          <w:snapToGrid w:val="0"/>
          <w:color w:val="auto"/>
          <w:sz w:val="24"/>
          <w:highlight w:val="none"/>
          <w:lang w:val="en-US" w:eastAsia="zh-CN" w:bidi="ar"/>
        </w:rPr>
        <w:t>供应商</w:t>
      </w:r>
    </w:p>
    <w:p w14:paraId="557EC840">
      <w:pPr>
        <w:wordWrap w:val="0"/>
        <w:adjustRightInd w:val="0"/>
        <w:snapToGrid w:val="0"/>
        <w:spacing w:line="360" w:lineRule="auto"/>
        <w:ind w:firstLine="480" w:firstLineChars="200"/>
        <w:rPr>
          <w:rFonts w:hint="eastAsia" w:ascii="宋体" w:hAnsi="宋体" w:eastAsia="宋体" w:cs="宋体"/>
          <w:b w:val="0"/>
          <w:bCs/>
          <w:snapToGrid w:val="0"/>
          <w:color w:val="auto"/>
          <w:sz w:val="24"/>
          <w:highlight w:val="none"/>
          <w:lang w:bidi="ar"/>
        </w:rPr>
      </w:pPr>
      <w:r>
        <w:rPr>
          <w:rFonts w:hint="eastAsia" w:ascii="宋体" w:hAnsi="宋体" w:eastAsia="宋体" w:cs="宋体"/>
          <w:b w:val="0"/>
          <w:bCs/>
          <w:snapToGrid w:val="0"/>
          <w:color w:val="auto"/>
          <w:sz w:val="24"/>
          <w:highlight w:val="none"/>
          <w:lang w:bidi="ar"/>
        </w:rPr>
        <w:t>评</w:t>
      </w:r>
      <w:r>
        <w:rPr>
          <w:rFonts w:hint="eastAsia" w:ascii="宋体" w:hAnsi="宋体" w:eastAsia="宋体" w:cs="宋体"/>
          <w:b w:val="0"/>
          <w:bCs/>
          <w:snapToGrid w:val="0"/>
          <w:color w:val="auto"/>
          <w:sz w:val="24"/>
          <w:highlight w:val="none"/>
          <w:lang w:val="en-US" w:eastAsia="zh-CN" w:bidi="ar"/>
        </w:rPr>
        <w:t>标</w:t>
      </w:r>
      <w:r>
        <w:rPr>
          <w:rFonts w:hint="eastAsia" w:ascii="宋体" w:hAnsi="宋体" w:eastAsia="宋体" w:cs="宋体"/>
          <w:b w:val="0"/>
          <w:bCs/>
          <w:snapToGrid w:val="0"/>
          <w:color w:val="auto"/>
          <w:sz w:val="24"/>
          <w:highlight w:val="none"/>
          <w:lang w:bidi="ar"/>
        </w:rPr>
        <w:t>委员会根据全体</w:t>
      </w:r>
      <w:r>
        <w:rPr>
          <w:rFonts w:hint="eastAsia" w:ascii="宋体" w:hAnsi="宋体" w:eastAsia="宋体" w:cs="宋体"/>
          <w:b w:val="0"/>
          <w:bCs/>
          <w:snapToGrid w:val="0"/>
          <w:color w:val="auto"/>
          <w:sz w:val="24"/>
          <w:highlight w:val="none"/>
          <w:lang w:val="en-US" w:eastAsia="zh-CN" w:bidi="ar"/>
        </w:rPr>
        <w:t>评标</w:t>
      </w:r>
      <w:r>
        <w:rPr>
          <w:rFonts w:hint="eastAsia" w:ascii="宋体" w:hAnsi="宋体" w:eastAsia="宋体" w:cs="宋体"/>
          <w:b w:val="0"/>
          <w:bCs/>
          <w:snapToGrid w:val="0"/>
          <w:color w:val="auto"/>
          <w:sz w:val="24"/>
          <w:highlight w:val="none"/>
          <w:lang w:bidi="ar"/>
        </w:rPr>
        <w:t>成员签字的原始</w:t>
      </w:r>
      <w:r>
        <w:rPr>
          <w:rFonts w:hint="eastAsia" w:ascii="宋体" w:hAnsi="宋体" w:eastAsia="宋体" w:cs="宋体"/>
          <w:b w:val="0"/>
          <w:bCs/>
          <w:snapToGrid w:val="0"/>
          <w:color w:val="auto"/>
          <w:sz w:val="24"/>
          <w:highlight w:val="none"/>
          <w:lang w:val="en-US" w:eastAsia="zh-CN" w:bidi="ar"/>
        </w:rPr>
        <w:t>评标</w:t>
      </w:r>
      <w:r>
        <w:rPr>
          <w:rFonts w:hint="eastAsia" w:ascii="宋体" w:hAnsi="宋体" w:eastAsia="宋体" w:cs="宋体"/>
          <w:b w:val="0"/>
          <w:bCs/>
          <w:snapToGrid w:val="0"/>
          <w:color w:val="auto"/>
          <w:sz w:val="24"/>
          <w:highlight w:val="none"/>
          <w:lang w:bidi="ar"/>
        </w:rPr>
        <w:t>记录和</w:t>
      </w:r>
      <w:r>
        <w:rPr>
          <w:rFonts w:hint="eastAsia" w:ascii="宋体" w:hAnsi="宋体" w:eastAsia="宋体" w:cs="宋体"/>
          <w:b w:val="0"/>
          <w:bCs/>
          <w:snapToGrid w:val="0"/>
          <w:color w:val="auto"/>
          <w:sz w:val="24"/>
          <w:highlight w:val="none"/>
          <w:lang w:val="en-US" w:eastAsia="zh-CN" w:bidi="ar"/>
        </w:rPr>
        <w:t>评标</w:t>
      </w:r>
      <w:r>
        <w:rPr>
          <w:rFonts w:hint="eastAsia" w:ascii="宋体" w:hAnsi="宋体" w:eastAsia="宋体" w:cs="宋体"/>
          <w:b w:val="0"/>
          <w:bCs/>
          <w:snapToGrid w:val="0"/>
          <w:color w:val="auto"/>
          <w:sz w:val="24"/>
          <w:highlight w:val="none"/>
          <w:lang w:bidi="ar"/>
        </w:rPr>
        <w:t>结果编写</w:t>
      </w:r>
      <w:r>
        <w:rPr>
          <w:rFonts w:hint="eastAsia" w:ascii="宋体" w:hAnsi="宋体" w:eastAsia="宋体" w:cs="宋体"/>
          <w:b w:val="0"/>
          <w:bCs/>
          <w:snapToGrid w:val="0"/>
          <w:color w:val="auto"/>
          <w:sz w:val="24"/>
          <w:highlight w:val="none"/>
          <w:lang w:val="en-US" w:eastAsia="zh-CN" w:bidi="ar"/>
        </w:rPr>
        <w:t>评标</w:t>
      </w:r>
      <w:r>
        <w:rPr>
          <w:rFonts w:hint="eastAsia" w:ascii="宋体" w:hAnsi="宋体" w:eastAsia="宋体" w:cs="宋体"/>
          <w:b w:val="0"/>
          <w:bCs/>
          <w:snapToGrid w:val="0"/>
          <w:color w:val="auto"/>
          <w:sz w:val="24"/>
          <w:highlight w:val="none"/>
          <w:lang w:bidi="ar"/>
        </w:rPr>
        <w:t>报告并推荐3名</w:t>
      </w:r>
      <w:r>
        <w:rPr>
          <w:rFonts w:hint="eastAsia" w:ascii="宋体" w:hAnsi="宋体" w:eastAsia="宋体" w:cs="宋体"/>
          <w:b w:val="0"/>
          <w:bCs/>
          <w:snapToGrid w:val="0"/>
          <w:color w:val="auto"/>
          <w:sz w:val="24"/>
          <w:highlight w:val="none"/>
          <w:lang w:val="en-US" w:eastAsia="zh-CN" w:bidi="ar"/>
        </w:rPr>
        <w:t>中标候选供应商</w:t>
      </w:r>
      <w:r>
        <w:rPr>
          <w:rFonts w:hint="eastAsia" w:ascii="宋体" w:hAnsi="宋体" w:eastAsia="宋体" w:cs="宋体"/>
          <w:b w:val="0"/>
          <w:bCs/>
          <w:snapToGrid w:val="0"/>
          <w:color w:val="auto"/>
          <w:sz w:val="24"/>
          <w:highlight w:val="none"/>
          <w:lang w:eastAsia="zh-CN" w:bidi="ar"/>
        </w:rPr>
        <w:t>，</w:t>
      </w:r>
      <w:r>
        <w:rPr>
          <w:rFonts w:hint="eastAsia" w:ascii="宋体" w:hAnsi="宋体" w:eastAsia="宋体" w:cs="宋体"/>
          <w:b w:val="0"/>
          <w:bCs/>
          <w:snapToGrid w:val="0"/>
          <w:color w:val="auto"/>
          <w:sz w:val="24"/>
          <w:highlight w:val="none"/>
          <w:lang w:bidi="ar"/>
        </w:rPr>
        <w:t>采购代理机构应当履行核对</w:t>
      </w:r>
      <w:r>
        <w:rPr>
          <w:rFonts w:hint="eastAsia" w:ascii="宋体" w:hAnsi="宋体" w:eastAsia="宋体" w:cs="宋体"/>
          <w:b w:val="0"/>
          <w:bCs/>
          <w:snapToGrid w:val="0"/>
          <w:color w:val="auto"/>
          <w:sz w:val="24"/>
          <w:highlight w:val="none"/>
          <w:lang w:val="en-US" w:eastAsia="zh-CN" w:bidi="ar"/>
        </w:rPr>
        <w:t>评标</w:t>
      </w:r>
      <w:r>
        <w:rPr>
          <w:rFonts w:hint="eastAsia" w:ascii="宋体" w:hAnsi="宋体" w:eastAsia="宋体" w:cs="宋体"/>
          <w:b w:val="0"/>
          <w:bCs/>
          <w:snapToGrid w:val="0"/>
          <w:color w:val="auto"/>
          <w:sz w:val="24"/>
          <w:highlight w:val="none"/>
          <w:lang w:bidi="ar"/>
        </w:rPr>
        <w:t>结果职责</w:t>
      </w:r>
      <w:r>
        <w:rPr>
          <w:rFonts w:hint="eastAsia" w:ascii="宋体" w:hAnsi="宋体" w:eastAsia="宋体" w:cs="宋体"/>
          <w:b w:val="0"/>
          <w:bCs/>
          <w:snapToGrid w:val="0"/>
          <w:color w:val="auto"/>
          <w:sz w:val="24"/>
          <w:highlight w:val="none"/>
          <w:lang w:eastAsia="zh-CN" w:bidi="ar"/>
        </w:rPr>
        <w:t>，</w:t>
      </w:r>
      <w:r>
        <w:rPr>
          <w:rFonts w:hint="eastAsia" w:ascii="宋体" w:hAnsi="宋体" w:eastAsia="宋体" w:cs="宋体"/>
          <w:b w:val="0"/>
          <w:bCs/>
          <w:snapToGrid w:val="0"/>
          <w:color w:val="auto"/>
          <w:sz w:val="24"/>
          <w:highlight w:val="none"/>
          <w:lang w:bidi="ar"/>
        </w:rPr>
        <w:t>并在</w:t>
      </w:r>
      <w:r>
        <w:rPr>
          <w:rFonts w:hint="eastAsia" w:ascii="宋体" w:hAnsi="宋体" w:eastAsia="宋体" w:cs="宋体"/>
          <w:b w:val="0"/>
          <w:bCs/>
          <w:snapToGrid w:val="0"/>
          <w:color w:val="auto"/>
          <w:sz w:val="24"/>
          <w:highlight w:val="none"/>
          <w:lang w:val="en-US" w:eastAsia="zh-CN" w:bidi="ar"/>
        </w:rPr>
        <w:t>评标</w:t>
      </w:r>
      <w:r>
        <w:rPr>
          <w:rFonts w:hint="eastAsia" w:ascii="宋体" w:hAnsi="宋体" w:eastAsia="宋体" w:cs="宋体"/>
          <w:b w:val="0"/>
          <w:bCs/>
          <w:snapToGrid w:val="0"/>
          <w:color w:val="auto"/>
          <w:sz w:val="24"/>
          <w:highlight w:val="none"/>
          <w:lang w:bidi="ar"/>
        </w:rPr>
        <w:t>结束后2个工作日内将</w:t>
      </w:r>
      <w:r>
        <w:rPr>
          <w:rFonts w:hint="eastAsia" w:ascii="宋体" w:hAnsi="宋体" w:eastAsia="宋体" w:cs="宋体"/>
          <w:b w:val="0"/>
          <w:bCs/>
          <w:snapToGrid w:val="0"/>
          <w:color w:val="auto"/>
          <w:sz w:val="24"/>
          <w:highlight w:val="none"/>
          <w:lang w:val="en-US" w:eastAsia="zh-CN" w:bidi="ar"/>
        </w:rPr>
        <w:t>评标</w:t>
      </w:r>
      <w:r>
        <w:rPr>
          <w:rFonts w:hint="eastAsia" w:ascii="宋体" w:hAnsi="宋体" w:eastAsia="宋体" w:cs="宋体"/>
          <w:b w:val="0"/>
          <w:bCs/>
          <w:snapToGrid w:val="0"/>
          <w:color w:val="auto"/>
          <w:sz w:val="24"/>
          <w:highlight w:val="none"/>
          <w:lang w:bidi="ar"/>
        </w:rPr>
        <w:t>报告通过公共资源电子交易系统提交采购人，采购人应当在收到</w:t>
      </w:r>
      <w:r>
        <w:rPr>
          <w:rFonts w:hint="eastAsia" w:ascii="宋体" w:hAnsi="宋体" w:eastAsia="宋体" w:cs="宋体"/>
          <w:b w:val="0"/>
          <w:bCs/>
          <w:snapToGrid w:val="0"/>
          <w:color w:val="auto"/>
          <w:sz w:val="24"/>
          <w:highlight w:val="none"/>
          <w:lang w:val="en-US" w:eastAsia="zh-CN" w:bidi="ar"/>
        </w:rPr>
        <w:t>评标</w:t>
      </w:r>
      <w:r>
        <w:rPr>
          <w:rFonts w:hint="eastAsia" w:ascii="宋体" w:hAnsi="宋体" w:eastAsia="宋体" w:cs="宋体"/>
          <w:b w:val="0"/>
          <w:bCs/>
          <w:snapToGrid w:val="0"/>
          <w:color w:val="auto"/>
          <w:sz w:val="24"/>
          <w:highlight w:val="none"/>
          <w:lang w:bidi="ar"/>
        </w:rPr>
        <w:t>报告 1个工作日内通过公共资源电子交易系统线上确定</w:t>
      </w:r>
      <w:r>
        <w:rPr>
          <w:rFonts w:hint="eastAsia" w:ascii="宋体" w:hAnsi="宋体" w:eastAsia="宋体" w:cs="宋体"/>
          <w:b w:val="0"/>
          <w:bCs/>
          <w:snapToGrid w:val="0"/>
          <w:color w:val="auto"/>
          <w:sz w:val="24"/>
          <w:highlight w:val="none"/>
          <w:lang w:val="en-US" w:eastAsia="zh-CN" w:bidi="ar"/>
        </w:rPr>
        <w:t>中标供应商</w:t>
      </w:r>
      <w:r>
        <w:rPr>
          <w:rFonts w:hint="eastAsia" w:ascii="宋体" w:hAnsi="宋体" w:eastAsia="宋体" w:cs="宋体"/>
          <w:b w:val="0"/>
          <w:bCs/>
          <w:snapToGrid w:val="0"/>
          <w:color w:val="auto"/>
          <w:sz w:val="24"/>
          <w:highlight w:val="none"/>
          <w:lang w:bidi="ar"/>
        </w:rPr>
        <w:t>。</w:t>
      </w:r>
    </w:p>
    <w:p w14:paraId="27091FEF">
      <w:pPr>
        <w:wordWrap w:val="0"/>
        <w:adjustRightInd w:val="0"/>
        <w:snapToGrid w:val="0"/>
        <w:spacing w:line="360" w:lineRule="auto"/>
        <w:ind w:firstLine="482" w:firstLineChars="200"/>
        <w:rPr>
          <w:rFonts w:hint="eastAsia" w:ascii="宋体" w:hAnsi="宋体" w:eastAsia="宋体" w:cs="宋体"/>
          <w:b/>
          <w:snapToGrid w:val="0"/>
          <w:color w:val="auto"/>
          <w:sz w:val="24"/>
          <w:highlight w:val="none"/>
          <w:lang w:bidi="ar"/>
        </w:rPr>
      </w:pPr>
      <w:r>
        <w:rPr>
          <w:rFonts w:hint="eastAsia" w:ascii="宋体" w:hAnsi="宋体" w:eastAsia="宋体" w:cs="宋体"/>
          <w:b/>
          <w:snapToGrid w:val="0"/>
          <w:color w:val="auto"/>
          <w:sz w:val="24"/>
          <w:highlight w:val="none"/>
          <w:lang w:bidi="ar"/>
        </w:rPr>
        <w:t>33.中标通知书及中标公告</w:t>
      </w:r>
    </w:p>
    <w:p w14:paraId="294F647A">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33.1 </w:t>
      </w:r>
      <w:r>
        <w:rPr>
          <w:rFonts w:hint="eastAsia" w:ascii="宋体" w:hAnsi="宋体" w:eastAsia="宋体" w:cs="宋体"/>
          <w:color w:val="auto"/>
          <w:sz w:val="24"/>
          <w:highlight w:val="none"/>
        </w:rPr>
        <w:t>采购代理机构在评</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rPr>
        <w:t>结束后2个工作日内将评</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rPr>
        <w:t>报告通过公共资源电子交易系统提交采购人，采购人应当在收到评</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rPr>
        <w:t>报告1个工作日内通过公共资源电子交易系统线上确定</w:t>
      </w:r>
      <w:r>
        <w:rPr>
          <w:rFonts w:hint="eastAsia" w:ascii="宋体" w:hAnsi="宋体" w:eastAsia="宋体" w:cs="宋体"/>
          <w:color w:val="auto"/>
          <w:sz w:val="24"/>
          <w:highlight w:val="none"/>
          <w:lang w:eastAsia="zh-CN"/>
        </w:rPr>
        <w:t>中标供应商，</w:t>
      </w:r>
      <w:r>
        <w:rPr>
          <w:rFonts w:hint="eastAsia" w:ascii="宋体" w:hAnsi="宋体" w:eastAsia="宋体" w:cs="宋体"/>
          <w:color w:val="auto"/>
          <w:sz w:val="24"/>
          <w:highlight w:val="none"/>
          <w:lang w:val="en-US" w:eastAsia="zh-CN"/>
        </w:rPr>
        <w:t>在中标供应商确定后</w:t>
      </w: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应</w:t>
      </w:r>
      <w:r>
        <w:rPr>
          <w:rFonts w:hint="eastAsia" w:ascii="宋体" w:hAnsi="宋体" w:eastAsia="宋体" w:cs="宋体"/>
          <w:color w:val="auto"/>
          <w:sz w:val="24"/>
          <w:highlight w:val="none"/>
        </w:rPr>
        <w:t>及时在《河南省政府采购网》、《驻马店市公共资源交易中心网》</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"http://www.sxztb.gov.cn/"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等相关媒体上发布</w:t>
      </w:r>
      <w:r>
        <w:rPr>
          <w:rFonts w:hint="eastAsia" w:ascii="宋体" w:hAnsi="宋体" w:eastAsia="宋体" w:cs="宋体"/>
          <w:color w:val="auto"/>
          <w:sz w:val="24"/>
          <w:highlight w:val="none"/>
          <w:lang w:val="en-US" w:eastAsia="zh-CN"/>
        </w:rPr>
        <w:t>中标</w:t>
      </w:r>
      <w:r>
        <w:rPr>
          <w:rFonts w:hint="eastAsia" w:ascii="宋体" w:hAnsi="宋体" w:eastAsia="宋体" w:cs="宋体"/>
          <w:color w:val="auto"/>
          <w:sz w:val="24"/>
          <w:highlight w:val="none"/>
        </w:rPr>
        <w:t>公告，同时向</w:t>
      </w:r>
      <w:r>
        <w:rPr>
          <w:rFonts w:hint="eastAsia" w:ascii="宋体" w:hAnsi="宋体" w:eastAsia="宋体" w:cs="宋体"/>
          <w:color w:val="auto"/>
          <w:sz w:val="24"/>
          <w:highlight w:val="none"/>
          <w:lang w:val="en-US" w:eastAsia="zh-CN"/>
        </w:rPr>
        <w:t>中标供应商</w:t>
      </w:r>
      <w:r>
        <w:rPr>
          <w:rFonts w:hint="eastAsia" w:ascii="宋体" w:hAnsi="宋体" w:eastAsia="宋体" w:cs="宋体"/>
          <w:color w:val="auto"/>
          <w:sz w:val="24"/>
          <w:highlight w:val="none"/>
        </w:rPr>
        <w:t>发出</w:t>
      </w:r>
      <w:r>
        <w:rPr>
          <w:rFonts w:hint="eastAsia" w:ascii="宋体" w:hAnsi="宋体" w:eastAsia="宋体" w:cs="宋体"/>
          <w:color w:val="auto"/>
          <w:sz w:val="24"/>
          <w:highlight w:val="none"/>
          <w:lang w:val="en-US" w:eastAsia="zh-CN"/>
        </w:rPr>
        <w:t>中标</w:t>
      </w:r>
      <w:r>
        <w:rPr>
          <w:rFonts w:hint="eastAsia" w:ascii="宋体" w:hAnsi="宋体" w:eastAsia="宋体" w:cs="宋体"/>
          <w:color w:val="auto"/>
          <w:sz w:val="24"/>
          <w:highlight w:val="none"/>
        </w:rPr>
        <w:t>通知书。</w:t>
      </w:r>
    </w:p>
    <w:p w14:paraId="06E41FE7">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33.2 中标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在规定的时间内不领取中标通知书的，视为中标后自动放弃中标资格；中标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在有效报价中报价最低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非不可抗力放弃中标资格的。发生上述情况的承担由此引起的一切后果。</w:t>
      </w:r>
    </w:p>
    <w:p w14:paraId="256A83A4">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33.3 中标通知书对采购人和中标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具有同等法律效力。中标通知书发出后，采购人改变中标结果，或者中标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放弃中标，应按相关法律、规章、规范性文件的要求承担相应的法律责任。</w:t>
      </w:r>
    </w:p>
    <w:p w14:paraId="519D260A">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33.4 中标通知书将作为签订合同的依据。合同签订后，中标通知书成为合同的一部分。</w:t>
      </w:r>
    </w:p>
    <w:p w14:paraId="3BE32E6D">
      <w:pPr>
        <w:wordWrap w:val="0"/>
        <w:adjustRightInd w:val="0"/>
        <w:snapToGrid w:val="0"/>
        <w:spacing w:line="360" w:lineRule="auto"/>
        <w:ind w:firstLine="482" w:firstLineChars="200"/>
        <w:rPr>
          <w:rFonts w:hint="eastAsia" w:ascii="宋体" w:hAnsi="宋体" w:eastAsia="宋体" w:cs="宋体"/>
          <w:b/>
          <w:snapToGrid w:val="0"/>
          <w:color w:val="auto"/>
          <w:sz w:val="24"/>
          <w:highlight w:val="none"/>
          <w:lang w:bidi="ar"/>
        </w:rPr>
      </w:pPr>
      <w:r>
        <w:rPr>
          <w:rFonts w:hint="eastAsia" w:ascii="宋体" w:hAnsi="宋体" w:eastAsia="宋体" w:cs="宋体"/>
          <w:b/>
          <w:snapToGrid w:val="0"/>
          <w:color w:val="auto"/>
          <w:sz w:val="24"/>
          <w:highlight w:val="none"/>
          <w:lang w:bidi="ar"/>
        </w:rPr>
        <w:t>34.采购代理机构宣布废标的权利</w:t>
      </w:r>
    </w:p>
    <w:p w14:paraId="59A6B0FD">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34.1 出现下列情况之一时，采购代理机构有权宣布废标，并将理由通知所有投标人：</w:t>
      </w:r>
    </w:p>
    <w:p w14:paraId="1FA1016A">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34.1.1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出现影响采购公正的违法、违规行为的。</w:t>
      </w:r>
    </w:p>
    <w:p w14:paraId="4F7A06CA">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34.1.2 投标人的报价均超过了最高限价，采购人不能支付的。</w:t>
      </w:r>
    </w:p>
    <w:p w14:paraId="552742F8">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34.1.3 因重大变故，采购任务取消的。</w:t>
      </w:r>
    </w:p>
    <w:p w14:paraId="6D521A06">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34.2 投标截止时间后投标人不足3家或通过资格性检查或符合性检查的投标人不足3家的，除采购任务取消情形外，按照以下方式处理：</w:t>
      </w:r>
    </w:p>
    <w:p w14:paraId="7E5AD9FE">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1B5BE534">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（2）招标文件没有不合理条款、招标程序符合规定，需要采用其他采购方式采购的，采购人应当依法报财政部门批准。</w:t>
      </w:r>
    </w:p>
    <w:p w14:paraId="3A75DBE0">
      <w:pPr>
        <w:wordWrap w:val="0"/>
        <w:adjustRightInd w:val="0"/>
        <w:snapToGrid w:val="0"/>
        <w:spacing w:line="360" w:lineRule="auto"/>
        <w:jc w:val="center"/>
        <w:outlineLvl w:val="1"/>
        <w:rPr>
          <w:rFonts w:hint="eastAsia" w:ascii="宋体" w:hAnsi="宋体" w:eastAsia="宋体" w:cs="宋体"/>
          <w:b/>
          <w:snapToGrid w:val="0"/>
          <w:color w:val="auto"/>
          <w:sz w:val="32"/>
          <w:szCs w:val="32"/>
          <w:highlight w:val="none"/>
          <w:lang w:bidi="ar"/>
        </w:rPr>
      </w:pPr>
      <w:bookmarkStart w:id="92" w:name="_Toc17560"/>
      <w:bookmarkStart w:id="93" w:name="_Toc28767"/>
      <w:bookmarkStart w:id="94" w:name="_Toc8477"/>
      <w:bookmarkStart w:id="95" w:name="_Toc3822"/>
    </w:p>
    <w:p w14:paraId="696CEF39">
      <w:pPr>
        <w:wordWrap w:val="0"/>
        <w:adjustRightInd w:val="0"/>
        <w:snapToGrid w:val="0"/>
        <w:spacing w:line="360" w:lineRule="auto"/>
        <w:jc w:val="center"/>
        <w:outlineLvl w:val="1"/>
        <w:rPr>
          <w:rFonts w:hint="eastAsia" w:ascii="宋体" w:hAnsi="宋体" w:eastAsia="宋体" w:cs="宋体"/>
          <w:b/>
          <w:snapToGrid w:val="0"/>
          <w:color w:val="auto"/>
          <w:sz w:val="36"/>
          <w:szCs w:val="36"/>
          <w:highlight w:val="none"/>
          <w:lang w:bidi="ar"/>
        </w:rPr>
      </w:pPr>
      <w:r>
        <w:rPr>
          <w:rFonts w:hint="eastAsia" w:ascii="宋体" w:hAnsi="宋体" w:eastAsia="宋体" w:cs="宋体"/>
          <w:b/>
          <w:snapToGrid w:val="0"/>
          <w:color w:val="auto"/>
          <w:sz w:val="36"/>
          <w:szCs w:val="36"/>
          <w:highlight w:val="none"/>
          <w:lang w:bidi="ar"/>
        </w:rPr>
        <w:t>八   合同授予</w:t>
      </w:r>
      <w:bookmarkEnd w:id="92"/>
      <w:bookmarkEnd w:id="93"/>
      <w:bookmarkEnd w:id="94"/>
      <w:bookmarkEnd w:id="95"/>
    </w:p>
    <w:p w14:paraId="37CBA9A4">
      <w:pPr>
        <w:wordWrap w:val="0"/>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35.合同签订</w:t>
      </w:r>
    </w:p>
    <w:p w14:paraId="1D5E329B">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 xml:space="preserve">35.1 </w:t>
      </w:r>
      <w:r>
        <w:rPr>
          <w:rFonts w:hint="eastAsia" w:ascii="宋体" w:hAnsi="宋体" w:eastAsia="宋体" w:cs="宋体"/>
          <w:color w:val="auto"/>
          <w:kern w:val="0"/>
          <w:sz w:val="24"/>
          <w:highlight w:val="none"/>
        </w:rPr>
        <w:t>采购人、中标</w:t>
      </w: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rPr>
        <w:t>须在中标通知书发出之日起</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2</w:t>
      </w:r>
      <w:r>
        <w:rPr>
          <w:rFonts w:hint="eastAsia" w:ascii="宋体" w:hAnsi="宋体" w:eastAsia="宋体" w:cs="宋体"/>
          <w:color w:val="auto"/>
          <w:kern w:val="0"/>
          <w:sz w:val="24"/>
          <w:highlight w:val="none"/>
        </w:rPr>
        <w:t>个工作日内</w:t>
      </w:r>
      <w:r>
        <w:rPr>
          <w:rFonts w:hint="eastAsia" w:ascii="宋体" w:hAnsi="宋体" w:eastAsia="宋体" w:cs="宋体"/>
          <w:snapToGrid w:val="0"/>
          <w:color w:val="auto"/>
          <w:sz w:val="24"/>
          <w:highlight w:val="none"/>
          <w:lang w:bidi="ar"/>
        </w:rPr>
        <w:t>，根据招标文件确定的事项和中标</w:t>
      </w:r>
      <w:r>
        <w:rPr>
          <w:rFonts w:hint="eastAsia" w:ascii="宋体" w:hAnsi="宋体" w:eastAsia="宋体" w:cs="宋体"/>
          <w:snapToGrid w:val="0"/>
          <w:color w:val="auto"/>
          <w:sz w:val="24"/>
          <w:highlight w:val="none"/>
          <w:lang w:val="en-US" w:eastAsia="zh-CN" w:bidi="ar"/>
        </w:rPr>
        <w:t>供应商</w:t>
      </w:r>
      <w:r>
        <w:rPr>
          <w:rFonts w:hint="eastAsia" w:ascii="宋体" w:hAnsi="宋体" w:eastAsia="宋体" w:cs="宋体"/>
          <w:snapToGrid w:val="0"/>
          <w:color w:val="auto"/>
          <w:sz w:val="24"/>
          <w:highlight w:val="none"/>
          <w:lang w:bidi="ar"/>
        </w:rPr>
        <w:t>投标文件签订合同。双方所签订的合同不得对招标文件和中标</w:t>
      </w:r>
      <w:r>
        <w:rPr>
          <w:rFonts w:hint="eastAsia" w:ascii="宋体" w:hAnsi="宋体" w:eastAsia="宋体" w:cs="宋体"/>
          <w:snapToGrid w:val="0"/>
          <w:color w:val="auto"/>
          <w:sz w:val="24"/>
          <w:highlight w:val="none"/>
          <w:lang w:val="en-US" w:eastAsia="zh-CN" w:bidi="ar"/>
        </w:rPr>
        <w:t>供应商</w:t>
      </w:r>
      <w:r>
        <w:rPr>
          <w:rFonts w:hint="eastAsia" w:ascii="宋体" w:hAnsi="宋体" w:eastAsia="宋体" w:cs="宋体"/>
          <w:snapToGrid w:val="0"/>
          <w:color w:val="auto"/>
          <w:sz w:val="24"/>
          <w:highlight w:val="none"/>
          <w:lang w:bidi="ar"/>
        </w:rPr>
        <w:t>投标文件作实质性修改。</w:t>
      </w:r>
    </w:p>
    <w:p w14:paraId="464F251B">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35.2 招标文件、招标文件的修改文件、中标</w:t>
      </w:r>
      <w:r>
        <w:rPr>
          <w:rFonts w:hint="eastAsia" w:ascii="宋体" w:hAnsi="宋体" w:eastAsia="宋体" w:cs="宋体"/>
          <w:snapToGrid w:val="0"/>
          <w:color w:val="auto"/>
          <w:sz w:val="24"/>
          <w:highlight w:val="none"/>
          <w:lang w:val="en-US" w:eastAsia="zh-CN" w:bidi="ar"/>
        </w:rPr>
        <w:t>供应商</w:t>
      </w:r>
      <w:r>
        <w:rPr>
          <w:rFonts w:hint="eastAsia" w:ascii="宋体" w:hAnsi="宋体" w:eastAsia="宋体" w:cs="宋体"/>
          <w:snapToGrid w:val="0"/>
          <w:color w:val="auto"/>
          <w:sz w:val="24"/>
          <w:highlight w:val="none"/>
          <w:lang w:bidi="ar"/>
        </w:rPr>
        <w:t>的投标文件、补充或修改的文件及澄清或承诺文件等，均为双方签订合同的组成部分，并与合同一并作为本招标文件所列采购项目的互补性法律文件，与合同具有同等法律效力。</w:t>
      </w:r>
    </w:p>
    <w:p w14:paraId="2BDA77C6">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35.3 中标</w:t>
      </w:r>
      <w:r>
        <w:rPr>
          <w:rFonts w:hint="eastAsia" w:ascii="宋体" w:hAnsi="宋体" w:eastAsia="宋体" w:cs="宋体"/>
          <w:snapToGrid w:val="0"/>
          <w:color w:val="auto"/>
          <w:sz w:val="24"/>
          <w:highlight w:val="none"/>
          <w:lang w:val="en-US" w:eastAsia="zh-CN" w:bidi="ar"/>
        </w:rPr>
        <w:t>供应商</w:t>
      </w:r>
      <w:r>
        <w:rPr>
          <w:rFonts w:hint="eastAsia" w:ascii="宋体" w:hAnsi="宋体" w:eastAsia="宋体" w:cs="宋体"/>
          <w:snapToGrid w:val="0"/>
          <w:color w:val="auto"/>
          <w:sz w:val="24"/>
          <w:highlight w:val="none"/>
          <w:lang w:bidi="ar"/>
        </w:rPr>
        <w:t>放弃中标、因不可抗力不能履行合同、不按照招标文件要求被查实存在影响中标结果的违法行为等情形，不符合中标条件的，采购人可以按照评标委员会提出的中标候选人名单排序依次确定其他中标候选</w:t>
      </w:r>
      <w:r>
        <w:rPr>
          <w:rFonts w:hint="eastAsia" w:ascii="宋体" w:hAnsi="宋体" w:eastAsia="宋体" w:cs="宋体"/>
          <w:snapToGrid w:val="0"/>
          <w:color w:val="auto"/>
          <w:sz w:val="24"/>
          <w:highlight w:val="none"/>
          <w:lang w:val="en-US" w:eastAsia="zh-CN" w:bidi="ar"/>
        </w:rPr>
        <w:t>供应商</w:t>
      </w:r>
      <w:r>
        <w:rPr>
          <w:rFonts w:hint="eastAsia" w:ascii="宋体" w:hAnsi="宋体" w:eastAsia="宋体" w:cs="宋体"/>
          <w:snapToGrid w:val="0"/>
          <w:color w:val="auto"/>
          <w:sz w:val="24"/>
          <w:highlight w:val="none"/>
          <w:lang w:bidi="ar"/>
        </w:rPr>
        <w:t>为中标</w:t>
      </w:r>
      <w:r>
        <w:rPr>
          <w:rFonts w:hint="eastAsia" w:ascii="宋体" w:hAnsi="宋体" w:eastAsia="宋体" w:cs="宋体"/>
          <w:snapToGrid w:val="0"/>
          <w:color w:val="auto"/>
          <w:sz w:val="24"/>
          <w:highlight w:val="none"/>
          <w:lang w:val="en-US" w:eastAsia="zh-CN" w:bidi="ar"/>
        </w:rPr>
        <w:t>供应商</w:t>
      </w:r>
      <w:r>
        <w:rPr>
          <w:rFonts w:hint="eastAsia" w:ascii="宋体" w:hAnsi="宋体" w:eastAsia="宋体" w:cs="宋体"/>
          <w:snapToGrid w:val="0"/>
          <w:color w:val="auto"/>
          <w:sz w:val="24"/>
          <w:highlight w:val="none"/>
          <w:lang w:bidi="ar"/>
        </w:rPr>
        <w:t>，也可以重新招标。</w:t>
      </w:r>
    </w:p>
    <w:p w14:paraId="6CBB81CD">
      <w:pPr>
        <w:wordWrap w:val="0"/>
        <w:adjustRightInd w:val="0"/>
        <w:snapToGrid w:val="0"/>
        <w:spacing w:line="360" w:lineRule="auto"/>
        <w:ind w:firstLine="480" w:firstLineChars="200"/>
        <w:rPr>
          <w:rFonts w:hint="eastAsia" w:ascii="宋体" w:hAnsi="宋体" w:eastAsia="宋体" w:cs="宋体"/>
          <w:color w:val="auto"/>
          <w:sz w:val="24"/>
          <w:highlight w:val="none"/>
        </w:rPr>
        <w:sectPr>
          <w:footerReference r:id="rId7" w:type="default"/>
          <w:pgSz w:w="11900" w:h="16838"/>
          <w:pgMar w:top="1440" w:right="1800" w:bottom="1440" w:left="1800" w:header="0" w:footer="850" w:gutter="0"/>
          <w:pgBorders>
            <w:top w:val="none" w:sz="0" w:space="0"/>
            <w:left w:val="none" w:sz="0" w:space="0"/>
            <w:bottom w:val="none" w:sz="0" w:space="0"/>
            <w:right w:val="none" w:sz="0" w:space="0"/>
          </w:pgBorders>
          <w:pgNumType w:fmt="decimal"/>
          <w:cols w:space="720" w:num="1"/>
          <w:docGrid w:linePitch="360" w:charSpace="0"/>
        </w:sectPr>
      </w:pPr>
      <w:r>
        <w:rPr>
          <w:rFonts w:hint="eastAsia" w:ascii="宋体" w:hAnsi="宋体" w:eastAsia="宋体" w:cs="宋体"/>
          <w:snapToGrid w:val="0"/>
          <w:color w:val="auto"/>
          <w:sz w:val="24"/>
          <w:highlight w:val="none"/>
          <w:lang w:bidi="ar"/>
        </w:rPr>
        <w:t>35.4 采购人应在采购合同签订之日起</w:t>
      </w:r>
      <w:r>
        <w:rPr>
          <w:rFonts w:hint="eastAsia" w:ascii="宋体" w:hAnsi="宋体" w:eastAsia="宋体" w:cs="宋体"/>
          <w:snapToGrid w:val="0"/>
          <w:color w:val="auto"/>
          <w:sz w:val="24"/>
          <w:highlight w:val="none"/>
          <w:u w:val="single"/>
          <w:lang w:val="en-US" w:eastAsia="zh-CN" w:bidi="ar"/>
        </w:rPr>
        <w:t xml:space="preserve"> 1 </w:t>
      </w:r>
      <w:r>
        <w:rPr>
          <w:rFonts w:hint="eastAsia" w:ascii="宋体" w:hAnsi="宋体" w:eastAsia="宋体" w:cs="宋体"/>
          <w:snapToGrid w:val="0"/>
          <w:color w:val="auto"/>
          <w:sz w:val="24"/>
          <w:highlight w:val="none"/>
          <w:lang w:bidi="ar"/>
        </w:rPr>
        <w:t>个工作日内将合同副本报同级财政部门备案。</w:t>
      </w:r>
    </w:p>
    <w:bookmarkEnd w:id="79"/>
    <w:bookmarkEnd w:id="80"/>
    <w:bookmarkEnd w:id="81"/>
    <w:bookmarkEnd w:id="82"/>
    <w:p w14:paraId="1CE8C4FE">
      <w:pPr>
        <w:wordWrap w:val="0"/>
        <w:snapToGrid w:val="0"/>
        <w:spacing w:before="156" w:after="156" w:line="360" w:lineRule="auto"/>
        <w:jc w:val="center"/>
        <w:outlineLvl w:val="0"/>
        <w:rPr>
          <w:rFonts w:hint="eastAsia" w:ascii="宋体" w:hAnsi="宋体" w:eastAsia="宋体" w:cs="宋体"/>
          <w:b/>
          <w:color w:val="auto"/>
          <w:sz w:val="36"/>
          <w:szCs w:val="36"/>
          <w:highlight w:val="none"/>
        </w:rPr>
      </w:pPr>
      <w:bookmarkStart w:id="96" w:name="page39"/>
      <w:bookmarkEnd w:id="96"/>
      <w:bookmarkStart w:id="97" w:name="_Toc20779"/>
      <w:bookmarkStart w:id="98" w:name="_Toc29352"/>
      <w:bookmarkStart w:id="99" w:name="_Toc16795"/>
      <w:bookmarkStart w:id="100" w:name="_Toc6930"/>
      <w:r>
        <w:rPr>
          <w:rFonts w:hint="eastAsia" w:ascii="宋体" w:hAnsi="宋体" w:eastAsia="宋体" w:cs="宋体"/>
          <w:b/>
          <w:color w:val="auto"/>
          <w:sz w:val="36"/>
          <w:szCs w:val="36"/>
          <w:highlight w:val="none"/>
        </w:rPr>
        <w:t>第四章  评标办法及评分标准</w:t>
      </w:r>
    </w:p>
    <w:p w14:paraId="13292114">
      <w:pPr>
        <w:wordWrap w:val="0"/>
        <w:snapToGrid w:val="0"/>
        <w:spacing w:before="156" w:after="156" w:line="360" w:lineRule="auto"/>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综合评分法</w:t>
      </w:r>
    </w:p>
    <w:p w14:paraId="1A81C80B">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采购人和采购代理机构可以根据采购项目的实际情况增减相关评审因素，也可以在总则规定的幅度内调整各项分值。</w:t>
      </w:r>
    </w:p>
    <w:p w14:paraId="0E8C1E5E">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评审因素的设定应当与投标人所提供服务的质量相关，包括投标报价、技术或者服务水平、履约能力、售后服务等。资格条件不得作为评审因素。评审因素应当在招标文件中规定。</w:t>
      </w:r>
    </w:p>
    <w:p w14:paraId="7084F953">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评审因素应当细化和量化，且与相应的商务条件和采购需求对应。商务条件和采购需求指标有区间规定的，评审因素应当量化到相应区间，并设置各区间对应的不同分值。</w:t>
      </w:r>
    </w:p>
    <w:p w14:paraId="4913B198">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为公正、公平、科学地选择中标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，根据《中华人民共和国政府采购法》、《政府采购货物和服务招标投标管理办法》等有关法律法规的规定，并结合本项目的实际，制定本办法。</w:t>
      </w:r>
    </w:p>
    <w:p w14:paraId="012DE690">
      <w:pPr>
        <w:wordWrap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一、总则 </w:t>
      </w:r>
    </w:p>
    <w:p w14:paraId="49460C47">
      <w:pPr>
        <w:wordWrap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本次评标采用综合评分法，总分为 100 分。评分过程中采用四舍五入法，保留小数 2 位。 </w:t>
      </w:r>
    </w:p>
    <w:p w14:paraId="4D00C8B9">
      <w:pPr>
        <w:wordWrap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二、评标内容及标准</w:t>
      </w:r>
    </w:p>
    <w:p w14:paraId="015D52CA">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价格调整要素及价格折扣幅度列表：</w:t>
      </w:r>
    </w:p>
    <w:tbl>
      <w:tblPr>
        <w:tblStyle w:val="19"/>
        <w:tblpPr w:leftFromText="180" w:rightFromText="180" w:vertAnchor="text" w:horzAnchor="margin" w:tblpXSpec="center" w:tblpY="140"/>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5170"/>
      </w:tblGrid>
      <w:tr w14:paraId="28C1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tcBorders>
              <w:top w:val="single" w:color="auto" w:sz="4" w:space="0"/>
              <w:left w:val="single" w:color="auto" w:sz="4" w:space="0"/>
              <w:bottom w:val="single" w:color="auto" w:sz="4" w:space="0"/>
              <w:right w:val="single" w:color="auto" w:sz="4" w:space="0"/>
            </w:tcBorders>
            <w:noWrap w:val="0"/>
            <w:vAlign w:val="center"/>
          </w:tcPr>
          <w:p w14:paraId="70857025">
            <w:pPr>
              <w:pStyle w:val="28"/>
              <w:suppressAutoHyphen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评标价格要素</w:t>
            </w:r>
          </w:p>
        </w:tc>
        <w:tc>
          <w:tcPr>
            <w:tcW w:w="5170" w:type="dxa"/>
            <w:tcBorders>
              <w:top w:val="single" w:color="auto" w:sz="4" w:space="0"/>
              <w:left w:val="single" w:color="auto" w:sz="4" w:space="0"/>
              <w:bottom w:val="single" w:color="auto" w:sz="4" w:space="0"/>
              <w:right w:val="single" w:color="auto" w:sz="4" w:space="0"/>
            </w:tcBorders>
            <w:noWrap w:val="0"/>
            <w:vAlign w:val="center"/>
          </w:tcPr>
          <w:p w14:paraId="7D6CD8C0">
            <w:pPr>
              <w:pStyle w:val="28"/>
              <w:suppressAutoHyphen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价格折扣幅度</w:t>
            </w:r>
          </w:p>
        </w:tc>
      </w:tr>
      <w:tr w14:paraId="0953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tcBorders>
              <w:top w:val="single" w:color="auto" w:sz="4" w:space="0"/>
              <w:left w:val="single" w:color="auto" w:sz="4" w:space="0"/>
              <w:bottom w:val="single" w:color="auto" w:sz="4" w:space="0"/>
              <w:right w:val="single" w:color="auto" w:sz="4" w:space="0"/>
            </w:tcBorders>
            <w:noWrap w:val="0"/>
            <w:vAlign w:val="center"/>
          </w:tcPr>
          <w:p w14:paraId="3EC16D1F">
            <w:pPr>
              <w:pStyle w:val="28"/>
              <w:suppressAutoHyphen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w:t>
            </w:r>
          </w:p>
        </w:tc>
        <w:tc>
          <w:tcPr>
            <w:tcW w:w="5170" w:type="dxa"/>
            <w:tcBorders>
              <w:top w:val="single" w:color="auto" w:sz="4" w:space="0"/>
              <w:left w:val="single" w:color="auto" w:sz="4" w:space="0"/>
              <w:bottom w:val="single" w:color="auto" w:sz="4" w:space="0"/>
              <w:right w:val="single" w:color="auto" w:sz="4" w:space="0"/>
            </w:tcBorders>
            <w:noWrap w:val="0"/>
            <w:vAlign w:val="center"/>
          </w:tcPr>
          <w:p w14:paraId="78616834">
            <w:pPr>
              <w:pStyle w:val="28"/>
              <w:suppressAutoHyphen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14:paraId="1F45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tcBorders>
              <w:top w:val="single" w:color="auto" w:sz="4" w:space="0"/>
              <w:left w:val="single" w:color="auto" w:sz="4" w:space="0"/>
              <w:bottom w:val="single" w:color="auto" w:sz="4" w:space="0"/>
              <w:right w:val="single" w:color="auto" w:sz="4" w:space="0"/>
            </w:tcBorders>
            <w:noWrap w:val="0"/>
            <w:vAlign w:val="center"/>
          </w:tcPr>
          <w:p w14:paraId="5DB847C4">
            <w:pPr>
              <w:pStyle w:val="28"/>
              <w:suppressAutoHyphen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w:t>
            </w:r>
          </w:p>
        </w:tc>
        <w:tc>
          <w:tcPr>
            <w:tcW w:w="5170" w:type="dxa"/>
            <w:tcBorders>
              <w:top w:val="single" w:color="auto" w:sz="4" w:space="0"/>
              <w:left w:val="single" w:color="auto" w:sz="4" w:space="0"/>
              <w:bottom w:val="single" w:color="auto" w:sz="4" w:space="0"/>
              <w:right w:val="single" w:color="auto" w:sz="4" w:space="0"/>
            </w:tcBorders>
            <w:noWrap w:val="0"/>
            <w:vAlign w:val="center"/>
          </w:tcPr>
          <w:p w14:paraId="00C911C3">
            <w:pPr>
              <w:pStyle w:val="28"/>
              <w:suppressAutoHyphen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14:paraId="6DD6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90" w:type="dxa"/>
            <w:tcBorders>
              <w:top w:val="single" w:color="auto" w:sz="4" w:space="0"/>
              <w:left w:val="single" w:color="auto" w:sz="4" w:space="0"/>
              <w:bottom w:val="single" w:color="auto" w:sz="4" w:space="0"/>
              <w:right w:val="single" w:color="auto" w:sz="4" w:space="0"/>
            </w:tcBorders>
            <w:noWrap w:val="0"/>
            <w:vAlign w:val="center"/>
          </w:tcPr>
          <w:p w14:paraId="51A0AFB6">
            <w:pPr>
              <w:pStyle w:val="28"/>
              <w:suppressAutoHyphen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服务由小型或微型企业 </w:t>
            </w:r>
          </w:p>
          <w:p w14:paraId="3DB7CA17">
            <w:pPr>
              <w:pStyle w:val="28"/>
              <w:suppressAutoHyphen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承接的。监狱企业、残 </w:t>
            </w:r>
          </w:p>
          <w:p w14:paraId="3F92071B">
            <w:pPr>
              <w:pStyle w:val="28"/>
              <w:suppressAutoHyphen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疾人福利性单位视同小 </w:t>
            </w:r>
          </w:p>
          <w:p w14:paraId="70C898A5">
            <w:pPr>
              <w:pStyle w:val="28"/>
              <w:suppressAutoHyphen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型、微型企业。</w:t>
            </w:r>
          </w:p>
        </w:tc>
        <w:tc>
          <w:tcPr>
            <w:tcW w:w="5170" w:type="dxa"/>
            <w:tcBorders>
              <w:top w:val="single" w:color="auto" w:sz="4" w:space="0"/>
              <w:left w:val="single" w:color="auto" w:sz="4" w:space="0"/>
              <w:bottom w:val="single" w:color="auto" w:sz="4" w:space="0"/>
              <w:right w:val="single" w:color="auto" w:sz="4" w:space="0"/>
            </w:tcBorders>
            <w:noWrap w:val="0"/>
            <w:vAlign w:val="center"/>
          </w:tcPr>
          <w:p w14:paraId="1E4C3923">
            <w:pPr>
              <w:pStyle w:val="28"/>
              <w:suppressAutoHyphen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大中型企业与小微企业组成联合体或者大中型企业向小微企业分包的(联合协议或者分包意向协议约定小微企业的合同份额应占合同总金额的 30%以上)，给予联合体或大中型企业 5%的价格扣除。</w:t>
            </w:r>
          </w:p>
        </w:tc>
      </w:tr>
      <w:tr w14:paraId="1B7E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tcBorders>
              <w:top w:val="single" w:color="auto" w:sz="4" w:space="0"/>
              <w:left w:val="single" w:color="auto" w:sz="4" w:space="0"/>
              <w:bottom w:val="single" w:color="auto" w:sz="4" w:space="0"/>
              <w:right w:val="single" w:color="auto" w:sz="4" w:space="0"/>
            </w:tcBorders>
            <w:noWrap w:val="0"/>
            <w:vAlign w:val="center"/>
          </w:tcPr>
          <w:p w14:paraId="17C6B507">
            <w:pPr>
              <w:pStyle w:val="28"/>
              <w:suppressAutoHyphen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170" w:type="dxa"/>
            <w:tcBorders>
              <w:top w:val="single" w:color="auto" w:sz="4" w:space="0"/>
              <w:left w:val="single" w:color="auto" w:sz="4" w:space="0"/>
              <w:bottom w:val="single" w:color="auto" w:sz="4" w:space="0"/>
              <w:right w:val="single" w:color="auto" w:sz="4" w:space="0"/>
            </w:tcBorders>
            <w:noWrap w:val="0"/>
            <w:vAlign w:val="top"/>
          </w:tcPr>
          <w:p w14:paraId="79829AE3">
            <w:pPr>
              <w:pStyle w:val="28"/>
              <w:suppressAutoHyphen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投标人或所提供产品按规定享受其他国家政策支持、扶持的，由投标人提供相关法律法规政策依据，每项按0.5%折扣。</w:t>
            </w:r>
          </w:p>
        </w:tc>
      </w:tr>
    </w:tbl>
    <w:p w14:paraId="6AD90FFF">
      <w:pPr>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注：</w:t>
      </w:r>
      <w:r>
        <w:rPr>
          <w:rFonts w:hint="eastAsia" w:ascii="宋体" w:hAnsi="宋体" w:eastAsia="宋体" w:cs="宋体"/>
          <w:color w:val="auto"/>
          <w:kern w:val="0"/>
          <w:sz w:val="24"/>
          <w:highlight w:val="none"/>
        </w:rPr>
        <w:t>1、投标产品属节能或环境标志产品品目清单范围的，以国家确定的认证机构出具的、处于有效期之内的节能产品、环境标志产品认证证书为准。属于强制采购的产品，不再给予价格优惠。</w:t>
      </w:r>
    </w:p>
    <w:p w14:paraId="63741CC8">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同一包内有多个投标产品，部分产品符合政策功能要求的（注：专门面向中小企业采购的采购项目，不再进行价格折扣。），只对符合政策功能要求的产品依据《投标报价明细表》按上述价格折扣幅度进行折扣，并按折扣后的价格即单项评标价计入总价进行评标。</w:t>
      </w:r>
    </w:p>
    <w:p w14:paraId="7DB865C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单项评标价=投标人单项报价×（1-∑价格折扣幅度）</w:t>
      </w:r>
    </w:p>
    <w:p w14:paraId="72479B6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评标价=∑单项评标价+∑不进行价格调整产品单项报价</w:t>
      </w:r>
    </w:p>
    <w:p w14:paraId="78BC09A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3、根据《政府采购促进中小企业发展管理办法》（财库〔2020〕46号）的规定，参加政府采购活动的中小企业应当提供《中小企业声明函》。（格式见第六章投标文件格式内容）</w:t>
      </w:r>
    </w:p>
    <w:p w14:paraId="487F3E64">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67E82644">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根据《财政部民政部中国残疾人联合会关于促进残疾人就业政府采购政策的通知》（财库〔2017〕141号）的规定，享受政府采购支持政策的残疾人福利性单位应当提供《残疾人福利性单位声明函》。（格式见第六章投标文件格式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329"/>
        <w:gridCol w:w="829"/>
        <w:gridCol w:w="5700"/>
      </w:tblGrid>
      <w:tr w14:paraId="2043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2822" w:type="dxa"/>
            <w:gridSpan w:val="3"/>
            <w:noWrap w:val="0"/>
            <w:vAlign w:val="center"/>
          </w:tcPr>
          <w:p w14:paraId="11CE0AF9">
            <w:pPr>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分值构成(总分100分)</w:t>
            </w:r>
          </w:p>
        </w:tc>
        <w:tc>
          <w:tcPr>
            <w:tcW w:w="5700" w:type="dxa"/>
            <w:noWrap w:val="0"/>
            <w:vAlign w:val="center"/>
          </w:tcPr>
          <w:p w14:paraId="1FEFAAF2">
            <w:pPr>
              <w:rPr>
                <w:rFonts w:hint="eastAsia" w:ascii="宋体" w:hAnsi="宋体" w:eastAsia="宋体" w:cs="宋体"/>
                <w:sz w:val="24"/>
                <w:szCs w:val="32"/>
                <w:highlight w:val="none"/>
              </w:rPr>
            </w:pPr>
            <w:r>
              <w:rPr>
                <w:rFonts w:hint="eastAsia" w:ascii="宋体" w:hAnsi="宋体" w:eastAsia="宋体" w:cs="宋体"/>
                <w:sz w:val="24"/>
                <w:szCs w:val="32"/>
                <w:highlight w:val="none"/>
              </w:rPr>
              <w:t>价格分</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lang w:val="en-US" w:eastAsia="zh-CN"/>
              </w:rPr>
              <w:t>10</w:t>
            </w:r>
            <w:r>
              <w:rPr>
                <w:rFonts w:hint="eastAsia" w:ascii="宋体" w:hAnsi="宋体" w:eastAsia="宋体" w:cs="宋体"/>
                <w:sz w:val="24"/>
                <w:szCs w:val="32"/>
                <w:highlight w:val="none"/>
              </w:rPr>
              <w:t>分</w:t>
            </w:r>
          </w:p>
          <w:p w14:paraId="2CD1A845">
            <w:pPr>
              <w:rPr>
                <w:rFonts w:hint="eastAsia" w:ascii="宋体" w:hAnsi="宋体" w:eastAsia="宋体" w:cs="宋体"/>
                <w:sz w:val="24"/>
                <w:szCs w:val="32"/>
                <w:highlight w:val="none"/>
              </w:rPr>
            </w:pPr>
            <w:r>
              <w:rPr>
                <w:rFonts w:hint="eastAsia" w:ascii="宋体" w:hAnsi="宋体" w:eastAsia="宋体" w:cs="宋体"/>
                <w:sz w:val="24"/>
                <w:szCs w:val="32"/>
                <w:highlight w:val="none"/>
              </w:rPr>
              <w:t>技术分</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lang w:val="en-US" w:eastAsia="zh-CN"/>
              </w:rPr>
              <w:t>63</w:t>
            </w:r>
            <w:r>
              <w:rPr>
                <w:rFonts w:hint="eastAsia" w:ascii="宋体" w:hAnsi="宋体" w:eastAsia="宋体" w:cs="宋体"/>
                <w:sz w:val="24"/>
                <w:szCs w:val="32"/>
                <w:highlight w:val="none"/>
              </w:rPr>
              <w:t>分</w:t>
            </w:r>
          </w:p>
          <w:p w14:paraId="3112B803">
            <w:pPr>
              <w:rPr>
                <w:rFonts w:hint="eastAsia" w:ascii="宋体" w:hAnsi="宋体" w:eastAsia="宋体" w:cs="宋体"/>
                <w:sz w:val="24"/>
                <w:szCs w:val="32"/>
                <w:highlight w:val="none"/>
              </w:rPr>
            </w:pPr>
            <w:r>
              <w:rPr>
                <w:rFonts w:hint="eastAsia" w:ascii="宋体" w:hAnsi="宋体" w:eastAsia="宋体" w:cs="宋体"/>
                <w:sz w:val="24"/>
                <w:szCs w:val="32"/>
                <w:highlight w:val="none"/>
              </w:rPr>
              <w:t>商务分：</w:t>
            </w:r>
            <w:r>
              <w:rPr>
                <w:rFonts w:hint="eastAsia" w:ascii="宋体" w:hAnsi="宋体" w:cs="宋体"/>
                <w:sz w:val="24"/>
                <w:szCs w:val="32"/>
                <w:highlight w:val="none"/>
                <w:lang w:val="en-US" w:eastAsia="zh-CN"/>
              </w:rPr>
              <w:t>19</w:t>
            </w:r>
            <w:r>
              <w:rPr>
                <w:rFonts w:hint="eastAsia" w:ascii="宋体" w:hAnsi="宋体" w:eastAsia="宋体" w:cs="宋体"/>
                <w:sz w:val="24"/>
                <w:szCs w:val="32"/>
                <w:highlight w:val="none"/>
              </w:rPr>
              <w:t>分</w:t>
            </w:r>
          </w:p>
          <w:p w14:paraId="6C6D7058">
            <w:pP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资信及其他：</w:t>
            </w:r>
            <w:r>
              <w:rPr>
                <w:rFonts w:hint="eastAsia" w:ascii="宋体" w:hAnsi="宋体" w:cs="宋体"/>
                <w:sz w:val="24"/>
                <w:szCs w:val="32"/>
                <w:highlight w:val="none"/>
                <w:lang w:val="en-US" w:eastAsia="zh-CN"/>
              </w:rPr>
              <w:t>8</w:t>
            </w:r>
            <w:r>
              <w:rPr>
                <w:rFonts w:hint="eastAsia" w:ascii="宋体" w:hAnsi="宋体" w:eastAsia="宋体" w:cs="宋体"/>
                <w:sz w:val="24"/>
                <w:szCs w:val="32"/>
                <w:highlight w:val="none"/>
                <w:lang w:val="en-US" w:eastAsia="zh-CN"/>
              </w:rPr>
              <w:t>分</w:t>
            </w:r>
          </w:p>
        </w:tc>
      </w:tr>
      <w:tr w14:paraId="2DF4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4" w:type="dxa"/>
            <w:noWrap w:val="0"/>
            <w:vAlign w:val="center"/>
          </w:tcPr>
          <w:p w14:paraId="5346A25F">
            <w:pPr>
              <w:widowControl/>
              <w:spacing w:line="36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1329" w:type="dxa"/>
            <w:noWrap w:val="0"/>
            <w:vAlign w:val="center"/>
          </w:tcPr>
          <w:p w14:paraId="496E6553">
            <w:pPr>
              <w:widowControl/>
              <w:spacing w:line="36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评分项</w:t>
            </w:r>
          </w:p>
        </w:tc>
        <w:tc>
          <w:tcPr>
            <w:tcW w:w="829" w:type="dxa"/>
            <w:noWrap w:val="0"/>
            <w:vAlign w:val="center"/>
          </w:tcPr>
          <w:p w14:paraId="42903FE7">
            <w:pPr>
              <w:widowControl/>
              <w:spacing w:line="36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分值</w:t>
            </w:r>
          </w:p>
        </w:tc>
        <w:tc>
          <w:tcPr>
            <w:tcW w:w="5700" w:type="dxa"/>
            <w:noWrap w:val="0"/>
            <w:vAlign w:val="center"/>
          </w:tcPr>
          <w:p w14:paraId="037C139D">
            <w:pPr>
              <w:widowControl/>
              <w:spacing w:line="36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评分指标</w:t>
            </w:r>
          </w:p>
        </w:tc>
      </w:tr>
      <w:tr w14:paraId="7400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22" w:type="dxa"/>
            <w:gridSpan w:val="4"/>
            <w:noWrap w:val="0"/>
            <w:vAlign w:val="center"/>
          </w:tcPr>
          <w:p w14:paraId="2BA30206">
            <w:pPr>
              <w:widowControl/>
              <w:spacing w:line="36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1、价格</w:t>
            </w:r>
            <w:r>
              <w:rPr>
                <w:rFonts w:hint="eastAsia" w:ascii="宋体" w:hAnsi="宋体" w:eastAsia="宋体" w:cs="宋体"/>
                <w:color w:val="auto"/>
                <w:kern w:val="0"/>
                <w:sz w:val="24"/>
                <w:highlight w:val="none"/>
                <w:lang w:val="en-US" w:eastAsia="zh-CN"/>
              </w:rPr>
              <w:t>分:10分</w:t>
            </w:r>
          </w:p>
        </w:tc>
      </w:tr>
      <w:tr w14:paraId="23D3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4" w:type="dxa"/>
            <w:noWrap w:val="0"/>
            <w:vAlign w:val="center"/>
          </w:tcPr>
          <w:p w14:paraId="59392168">
            <w:pPr>
              <w:widowControl/>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329" w:type="dxa"/>
            <w:noWrap w:val="0"/>
            <w:vAlign w:val="center"/>
          </w:tcPr>
          <w:p w14:paraId="4DB17154">
            <w:pPr>
              <w:widowControl/>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价格分</w:t>
            </w:r>
          </w:p>
        </w:tc>
        <w:tc>
          <w:tcPr>
            <w:tcW w:w="829" w:type="dxa"/>
            <w:noWrap w:val="0"/>
            <w:vAlign w:val="center"/>
          </w:tcPr>
          <w:p w14:paraId="7A765846">
            <w:pPr>
              <w:widowControl/>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0分</w:t>
            </w:r>
          </w:p>
        </w:tc>
        <w:tc>
          <w:tcPr>
            <w:tcW w:w="5700" w:type="dxa"/>
            <w:noWrap w:val="0"/>
            <w:vAlign w:val="center"/>
          </w:tcPr>
          <w:p w14:paraId="4021AC27">
            <w:pPr>
              <w:widowControl/>
              <w:spacing w:line="360" w:lineRule="exact"/>
              <w:jc w:val="left"/>
              <w:textAlignment w:val="center"/>
              <w:rPr>
                <w:rFonts w:hint="eastAsia" w:ascii="宋体" w:hAnsi="宋体" w:eastAsia="宋体" w:cs="宋体"/>
                <w:bCs/>
                <w:color w:val="auto"/>
                <w:kern w:val="0"/>
                <w:sz w:val="24"/>
                <w:highlight w:val="none"/>
                <w:lang w:bidi="ar"/>
              </w:rPr>
            </w:pPr>
            <w:r>
              <w:rPr>
                <w:rFonts w:hint="eastAsia" w:ascii="宋体" w:hAnsi="宋体" w:eastAsia="宋体" w:cs="宋体"/>
                <w:bCs/>
                <w:color w:val="auto"/>
                <w:kern w:val="0"/>
                <w:sz w:val="24"/>
                <w:highlight w:val="none"/>
                <w:lang w:bidi="ar"/>
              </w:rPr>
              <w:t>价格分采用低价优先法计算，即通过投标文件审查合格的投标人报价为有效投标报价，有效投标报价中价格最低的报价为最低有效投标报价。报价得分=最低有效投标报价/有效投标报价×20。</w:t>
            </w:r>
          </w:p>
          <w:p w14:paraId="6C5F483F">
            <w:pPr>
              <w:widowControl/>
              <w:spacing w:line="36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lang w:bidi="ar"/>
              </w:rPr>
              <w:t>注：计算结果保留小数点后两位。</w:t>
            </w:r>
          </w:p>
        </w:tc>
      </w:tr>
      <w:tr w14:paraId="1706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22" w:type="dxa"/>
            <w:gridSpan w:val="4"/>
            <w:noWrap w:val="0"/>
            <w:vAlign w:val="center"/>
          </w:tcPr>
          <w:p w14:paraId="642576A7">
            <w:pPr>
              <w:widowControl/>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2、技术分</w:t>
            </w:r>
            <w:r>
              <w:rPr>
                <w:rFonts w:hint="eastAsia" w:ascii="宋体" w:hAnsi="宋体" w:eastAsia="宋体" w:cs="宋体"/>
                <w:color w:val="auto"/>
                <w:kern w:val="0"/>
                <w:sz w:val="24"/>
                <w:highlight w:val="none"/>
                <w:lang w:val="en-US" w:eastAsia="zh-CN"/>
              </w:rPr>
              <w:t>63</w:t>
            </w:r>
            <w:r>
              <w:rPr>
                <w:rFonts w:hint="eastAsia" w:ascii="宋体" w:hAnsi="宋体" w:eastAsia="宋体" w:cs="宋体"/>
                <w:color w:val="auto"/>
                <w:kern w:val="0"/>
                <w:sz w:val="24"/>
                <w:highlight w:val="none"/>
              </w:rPr>
              <w:t>分</w:t>
            </w:r>
          </w:p>
        </w:tc>
      </w:tr>
      <w:tr w14:paraId="20E3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noWrap w:val="0"/>
            <w:vAlign w:val="center"/>
          </w:tcPr>
          <w:p w14:paraId="70095A65">
            <w:pPr>
              <w:widowControl/>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329" w:type="dxa"/>
            <w:noWrap w:val="0"/>
            <w:vAlign w:val="center"/>
          </w:tcPr>
          <w:p w14:paraId="5FAFE8E0">
            <w:pPr>
              <w:widowControl/>
              <w:spacing w:line="3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项目理解</w:t>
            </w:r>
          </w:p>
        </w:tc>
        <w:tc>
          <w:tcPr>
            <w:tcW w:w="829" w:type="dxa"/>
            <w:noWrap w:val="0"/>
            <w:vAlign w:val="center"/>
          </w:tcPr>
          <w:p w14:paraId="4FC075AD">
            <w:pPr>
              <w:widowControl/>
              <w:spacing w:line="3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12分</w:t>
            </w:r>
          </w:p>
        </w:tc>
        <w:tc>
          <w:tcPr>
            <w:tcW w:w="5700" w:type="dxa"/>
            <w:noWrap w:val="0"/>
            <w:vAlign w:val="center"/>
          </w:tcPr>
          <w:p w14:paraId="7D245634">
            <w:pPr>
              <w:widowControl/>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投标人需提供满足采购需求的项目理解</w:t>
            </w:r>
            <w:r>
              <w:rPr>
                <w:rFonts w:hint="eastAsia" w:ascii="宋体" w:hAnsi="宋体" w:eastAsia="宋体" w:cs="宋体"/>
                <w:color w:val="auto"/>
                <w:kern w:val="0"/>
                <w:sz w:val="24"/>
                <w:highlight w:val="none"/>
              </w:rPr>
              <w:t>包含（但不限于）以下内容：</w:t>
            </w:r>
          </w:p>
          <w:p w14:paraId="6283FD86">
            <w:pPr>
              <w:widowControl/>
              <w:numPr>
                <w:ilvl w:val="0"/>
                <w:numId w:val="0"/>
              </w:numPr>
              <w:spacing w:line="360" w:lineRule="exact"/>
              <w:ind w:leftChars="0"/>
              <w:jc w:val="left"/>
              <w:textAlignment w:val="center"/>
              <w:rPr>
                <w:rFonts w:hint="eastAsia" w:ascii="宋体" w:hAnsi="宋体" w:eastAsia="宋体" w:cs="宋体"/>
                <w:bCs/>
                <w:color w:val="auto"/>
                <w:kern w:val="0"/>
                <w:sz w:val="24"/>
                <w:highlight w:val="none"/>
                <w:lang w:val="en-US" w:eastAsia="zh-CN" w:bidi="ar"/>
              </w:rPr>
            </w:pPr>
            <w:r>
              <w:rPr>
                <w:rFonts w:hint="eastAsia" w:ascii="宋体" w:hAnsi="宋体" w:eastAsia="宋体" w:cs="宋体"/>
                <w:bCs/>
                <w:color w:val="auto"/>
                <w:kern w:val="0"/>
                <w:sz w:val="24"/>
                <w:highlight w:val="none"/>
                <w:lang w:val="en-US" w:eastAsia="zh-CN" w:bidi="ar"/>
              </w:rPr>
              <w:t>①项目背景；②资料收集；③工作思路；④项目重、难点分析，每提供一项得3分，最多得12分。</w:t>
            </w:r>
          </w:p>
        </w:tc>
      </w:tr>
      <w:tr w14:paraId="34FA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trPr>
        <w:tc>
          <w:tcPr>
            <w:tcW w:w="664" w:type="dxa"/>
            <w:noWrap w:val="0"/>
            <w:vAlign w:val="center"/>
          </w:tcPr>
          <w:p w14:paraId="2F9FECB3">
            <w:pPr>
              <w:widowControl/>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329" w:type="dxa"/>
            <w:noWrap w:val="0"/>
            <w:vAlign w:val="center"/>
          </w:tcPr>
          <w:p w14:paraId="30B0116F">
            <w:pPr>
              <w:widowControl/>
              <w:spacing w:line="360" w:lineRule="exact"/>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技术方案</w:t>
            </w:r>
          </w:p>
        </w:tc>
        <w:tc>
          <w:tcPr>
            <w:tcW w:w="829" w:type="dxa"/>
            <w:noWrap w:val="0"/>
            <w:vAlign w:val="center"/>
          </w:tcPr>
          <w:p w14:paraId="2E09D829">
            <w:pPr>
              <w:widowControl/>
              <w:spacing w:line="3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21分</w:t>
            </w:r>
          </w:p>
        </w:tc>
        <w:tc>
          <w:tcPr>
            <w:tcW w:w="5700" w:type="dxa"/>
            <w:noWrap w:val="0"/>
            <w:vAlign w:val="center"/>
          </w:tcPr>
          <w:p w14:paraId="0C6FE16F">
            <w:pPr>
              <w:widowControl/>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投标人需提供满足采购需求</w:t>
            </w:r>
            <w:r>
              <w:rPr>
                <w:rFonts w:hint="eastAsia" w:ascii="宋体" w:hAnsi="宋体" w:cs="宋体"/>
                <w:color w:val="auto"/>
                <w:kern w:val="0"/>
                <w:sz w:val="24"/>
                <w:highlight w:val="none"/>
                <w:lang w:val="en-US" w:eastAsia="zh-CN"/>
              </w:rPr>
              <w:t>的技术方案</w:t>
            </w:r>
            <w:r>
              <w:rPr>
                <w:rFonts w:hint="eastAsia" w:ascii="宋体" w:hAnsi="宋体" w:eastAsia="宋体" w:cs="宋体"/>
                <w:color w:val="auto"/>
                <w:kern w:val="0"/>
                <w:sz w:val="24"/>
                <w:highlight w:val="none"/>
              </w:rPr>
              <w:t>包含（但不限于）以下内容：</w:t>
            </w:r>
          </w:p>
          <w:p w14:paraId="5306B0C5">
            <w:pPr>
              <w:widowControl/>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①</w:t>
            </w:r>
            <w:r>
              <w:rPr>
                <w:rFonts w:hint="eastAsia" w:ascii="宋体" w:hAnsi="宋体" w:eastAsia="宋体" w:cs="宋体"/>
                <w:color w:val="auto"/>
                <w:kern w:val="0"/>
                <w:sz w:val="24"/>
                <w:highlight w:val="none"/>
              </w:rPr>
              <w:t>城市燃气管网及设施</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②</w:t>
            </w:r>
            <w:r>
              <w:rPr>
                <w:rFonts w:hint="eastAsia" w:ascii="宋体" w:hAnsi="宋体" w:eastAsia="宋体" w:cs="宋体"/>
                <w:color w:val="auto"/>
                <w:kern w:val="0"/>
                <w:sz w:val="24"/>
                <w:highlight w:val="none"/>
              </w:rPr>
              <w:t>城市供水管网及设施</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③</w:t>
            </w:r>
            <w:r>
              <w:rPr>
                <w:rFonts w:hint="eastAsia" w:ascii="宋体" w:hAnsi="宋体" w:eastAsia="宋体" w:cs="宋体"/>
                <w:color w:val="auto"/>
                <w:kern w:val="0"/>
                <w:sz w:val="24"/>
                <w:highlight w:val="none"/>
              </w:rPr>
              <w:t>城市污水和再生水管网及设施</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④</w:t>
            </w:r>
            <w:r>
              <w:rPr>
                <w:rFonts w:hint="eastAsia" w:ascii="宋体" w:hAnsi="宋体" w:eastAsia="宋体" w:cs="宋体"/>
                <w:color w:val="auto"/>
                <w:kern w:val="0"/>
                <w:sz w:val="24"/>
                <w:highlight w:val="none"/>
              </w:rPr>
              <w:t>城市排水管网及排涝设施</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⑤</w:t>
            </w:r>
            <w:r>
              <w:rPr>
                <w:rFonts w:hint="eastAsia" w:ascii="宋体" w:hAnsi="宋体" w:eastAsia="宋体" w:cs="宋体"/>
                <w:color w:val="auto"/>
                <w:kern w:val="0"/>
                <w:sz w:val="24"/>
                <w:highlight w:val="none"/>
              </w:rPr>
              <w:t>城市供热管网及设施</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⑥</w:t>
            </w:r>
            <w:r>
              <w:rPr>
                <w:rFonts w:hint="eastAsia" w:ascii="宋体" w:hAnsi="宋体" w:eastAsia="宋体" w:cs="宋体"/>
                <w:color w:val="auto"/>
                <w:kern w:val="0"/>
                <w:sz w:val="24"/>
                <w:highlight w:val="none"/>
              </w:rPr>
              <w:t>综合管廊及附属设施</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⑦</w:t>
            </w:r>
            <w:r>
              <w:rPr>
                <w:rFonts w:hint="eastAsia" w:ascii="宋体" w:hAnsi="宋体" w:eastAsia="宋体" w:cs="宋体"/>
                <w:color w:val="auto"/>
                <w:kern w:val="0"/>
                <w:sz w:val="24"/>
                <w:highlight w:val="none"/>
              </w:rPr>
              <w:t>地下管网智慧化建设</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每提供一项得3分，最多得21分，未提供不得分。</w:t>
            </w:r>
          </w:p>
        </w:tc>
      </w:tr>
      <w:tr w14:paraId="30E0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664" w:type="dxa"/>
            <w:noWrap w:val="0"/>
            <w:vAlign w:val="center"/>
          </w:tcPr>
          <w:p w14:paraId="0DC32512">
            <w:pPr>
              <w:widowControl/>
              <w:spacing w:line="3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w:t>
            </w:r>
          </w:p>
        </w:tc>
        <w:tc>
          <w:tcPr>
            <w:tcW w:w="1329" w:type="dxa"/>
            <w:noWrap w:val="0"/>
            <w:vAlign w:val="center"/>
          </w:tcPr>
          <w:p w14:paraId="4DF3D8ED">
            <w:pPr>
              <w:widowControl/>
              <w:spacing w:line="3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项目组织管理方案</w:t>
            </w:r>
          </w:p>
          <w:p w14:paraId="6B5A7273">
            <w:pPr>
              <w:widowControl/>
              <w:spacing w:line="360" w:lineRule="exact"/>
              <w:jc w:val="center"/>
              <w:rPr>
                <w:rFonts w:hint="eastAsia" w:ascii="宋体" w:hAnsi="宋体" w:eastAsia="宋体" w:cs="宋体"/>
                <w:color w:val="auto"/>
                <w:kern w:val="0"/>
                <w:sz w:val="24"/>
                <w:highlight w:val="none"/>
                <w:lang w:val="en-US" w:eastAsia="zh-CN"/>
              </w:rPr>
            </w:pPr>
          </w:p>
        </w:tc>
        <w:tc>
          <w:tcPr>
            <w:tcW w:w="829" w:type="dxa"/>
            <w:noWrap w:val="0"/>
            <w:vAlign w:val="center"/>
          </w:tcPr>
          <w:p w14:paraId="4ED19BD0">
            <w:pPr>
              <w:widowControl/>
              <w:spacing w:line="3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9分</w:t>
            </w:r>
          </w:p>
        </w:tc>
        <w:tc>
          <w:tcPr>
            <w:tcW w:w="5700" w:type="dxa"/>
            <w:noWrap w:val="0"/>
            <w:vAlign w:val="center"/>
          </w:tcPr>
          <w:p w14:paraId="5BA38C64">
            <w:pPr>
              <w:widowControl/>
              <w:spacing w:line="36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投标人需提供满足采购需求的项目组织管理方案包含（但不限于）以下内容：</w:t>
            </w:r>
          </w:p>
          <w:p w14:paraId="509DC75E">
            <w:pPr>
              <w:widowControl/>
              <w:spacing w:line="36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①项目组的组织架构；②人员配备；③岗位职责，每提供一项得3分，最多得9分，未提供不得分。</w:t>
            </w:r>
          </w:p>
        </w:tc>
      </w:tr>
      <w:tr w14:paraId="2D8B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64" w:type="dxa"/>
            <w:noWrap w:val="0"/>
            <w:vAlign w:val="center"/>
          </w:tcPr>
          <w:p w14:paraId="2D7C2881">
            <w:pPr>
              <w:widowControl/>
              <w:spacing w:line="36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4</w:t>
            </w:r>
          </w:p>
        </w:tc>
        <w:tc>
          <w:tcPr>
            <w:tcW w:w="1329" w:type="dxa"/>
            <w:noWrap w:val="0"/>
            <w:vAlign w:val="center"/>
          </w:tcPr>
          <w:p w14:paraId="2CC38B7A">
            <w:pPr>
              <w:widowControl/>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质量</w:t>
            </w:r>
            <w:r>
              <w:rPr>
                <w:rFonts w:hint="eastAsia" w:ascii="宋体" w:hAnsi="宋体" w:eastAsia="宋体" w:cs="宋体"/>
                <w:color w:val="auto"/>
                <w:kern w:val="0"/>
                <w:sz w:val="24"/>
                <w:highlight w:val="none"/>
                <w:lang w:val="en-US" w:eastAsia="zh-CN"/>
              </w:rPr>
              <w:t>管理保障方案</w:t>
            </w:r>
          </w:p>
        </w:tc>
        <w:tc>
          <w:tcPr>
            <w:tcW w:w="829" w:type="dxa"/>
            <w:noWrap w:val="0"/>
            <w:vAlign w:val="center"/>
          </w:tcPr>
          <w:p w14:paraId="24C4D9D7">
            <w:pPr>
              <w:widowControl/>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12</w:t>
            </w:r>
            <w:r>
              <w:rPr>
                <w:rFonts w:hint="eastAsia" w:ascii="宋体" w:hAnsi="宋体" w:eastAsia="宋体" w:cs="宋体"/>
                <w:color w:val="auto"/>
                <w:kern w:val="0"/>
                <w:sz w:val="24"/>
                <w:highlight w:val="none"/>
              </w:rPr>
              <w:t>分</w:t>
            </w:r>
          </w:p>
        </w:tc>
        <w:tc>
          <w:tcPr>
            <w:tcW w:w="5700" w:type="dxa"/>
            <w:noWrap w:val="0"/>
            <w:vAlign w:val="center"/>
          </w:tcPr>
          <w:p w14:paraId="6F19CCB8">
            <w:pPr>
              <w:widowControl/>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投标人需提供满足采购需求的</w:t>
            </w:r>
            <w:r>
              <w:rPr>
                <w:rFonts w:hint="eastAsia" w:ascii="宋体" w:hAnsi="宋体" w:eastAsia="宋体" w:cs="宋体"/>
                <w:color w:val="auto"/>
                <w:kern w:val="0"/>
                <w:sz w:val="24"/>
                <w:highlight w:val="none"/>
              </w:rPr>
              <w:t>质量</w:t>
            </w:r>
            <w:r>
              <w:rPr>
                <w:rFonts w:hint="eastAsia" w:ascii="宋体" w:hAnsi="宋体" w:eastAsia="宋体" w:cs="宋体"/>
                <w:color w:val="auto"/>
                <w:kern w:val="0"/>
                <w:sz w:val="24"/>
                <w:highlight w:val="none"/>
                <w:lang w:val="en-US" w:eastAsia="zh-CN"/>
              </w:rPr>
              <w:t>管理保障方案</w:t>
            </w:r>
            <w:r>
              <w:rPr>
                <w:rFonts w:hint="eastAsia" w:ascii="宋体" w:hAnsi="宋体" w:eastAsia="宋体" w:cs="宋体"/>
                <w:color w:val="auto"/>
                <w:kern w:val="0"/>
                <w:sz w:val="24"/>
                <w:highlight w:val="none"/>
              </w:rPr>
              <w:t>包含（但不限于）以下内容：</w:t>
            </w:r>
          </w:p>
          <w:p w14:paraId="652FF270">
            <w:pPr>
              <w:widowControl/>
              <w:spacing w:line="360" w:lineRule="exact"/>
              <w:jc w:val="left"/>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①服务进度计划；②质量管理措施及制度；③保密管理方案；④信息安全管理制度，每提供一项得3分，最多得</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lang w:val="en-US" w:eastAsia="zh-CN"/>
              </w:rPr>
              <w:t>分，未提供不得分。</w:t>
            </w:r>
          </w:p>
        </w:tc>
      </w:tr>
      <w:tr w14:paraId="7B8F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64" w:type="dxa"/>
            <w:noWrap w:val="0"/>
            <w:vAlign w:val="center"/>
          </w:tcPr>
          <w:p w14:paraId="5EBEBED5">
            <w:pPr>
              <w:widowControl/>
              <w:spacing w:line="36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p>
        </w:tc>
        <w:tc>
          <w:tcPr>
            <w:tcW w:w="1329" w:type="dxa"/>
            <w:noWrap w:val="0"/>
            <w:vAlign w:val="center"/>
          </w:tcPr>
          <w:p w14:paraId="77477FB0">
            <w:pPr>
              <w:widowControl/>
              <w:spacing w:line="360" w:lineRule="exact"/>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档案管理制度</w:t>
            </w:r>
          </w:p>
        </w:tc>
        <w:tc>
          <w:tcPr>
            <w:tcW w:w="829" w:type="dxa"/>
            <w:noWrap w:val="0"/>
            <w:vAlign w:val="center"/>
          </w:tcPr>
          <w:p w14:paraId="71D23A63">
            <w:pPr>
              <w:widowControl/>
              <w:spacing w:line="3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9分</w:t>
            </w:r>
          </w:p>
        </w:tc>
        <w:tc>
          <w:tcPr>
            <w:tcW w:w="5700" w:type="dxa"/>
            <w:noWrap w:val="0"/>
            <w:vAlign w:val="center"/>
          </w:tcPr>
          <w:p w14:paraId="257F324E">
            <w:pPr>
              <w:widowControl/>
              <w:spacing w:line="36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投标人需提供满足采购需求的档案管理包含（但不限于）：</w:t>
            </w:r>
          </w:p>
          <w:p w14:paraId="12953F3E">
            <w:pPr>
              <w:widowControl/>
              <w:spacing w:line="36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①资料收集措施；②资料管理；③资料存档制度；每提供一项得3分，最高得9分，未提供不得分。</w:t>
            </w:r>
          </w:p>
        </w:tc>
      </w:tr>
      <w:tr w14:paraId="4695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8522" w:type="dxa"/>
            <w:gridSpan w:val="4"/>
            <w:noWrap w:val="0"/>
            <w:vAlign w:val="center"/>
          </w:tcPr>
          <w:p w14:paraId="3B7B9EB4">
            <w:pPr>
              <w:widowControl/>
              <w:spacing w:line="360" w:lineRule="exact"/>
              <w:jc w:val="left"/>
              <w:textAlignment w:val="center"/>
              <w:rPr>
                <w:rFonts w:hint="eastAsia" w:ascii="宋体" w:hAnsi="宋体" w:eastAsia="宋体" w:cs="宋体"/>
                <w:bCs/>
                <w:color w:val="auto"/>
                <w:kern w:val="0"/>
                <w:sz w:val="24"/>
                <w:highlight w:val="none"/>
                <w:lang w:val="en-US" w:eastAsia="zh-CN" w:bidi="ar"/>
              </w:rPr>
            </w:pPr>
            <w:r>
              <w:rPr>
                <w:rFonts w:hint="eastAsia" w:ascii="宋体" w:hAnsi="宋体" w:eastAsia="宋体" w:cs="宋体"/>
                <w:color w:val="auto"/>
                <w:sz w:val="24"/>
                <w:szCs w:val="16"/>
                <w:highlight w:val="none"/>
                <w:lang w:val="en-US" w:eastAsia="zh-CN"/>
              </w:rPr>
              <w:t>注：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否则，不得分。</w:t>
            </w:r>
          </w:p>
        </w:tc>
      </w:tr>
      <w:tr w14:paraId="5551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522" w:type="dxa"/>
            <w:gridSpan w:val="4"/>
            <w:noWrap w:val="0"/>
            <w:vAlign w:val="center"/>
          </w:tcPr>
          <w:p w14:paraId="789EB61B">
            <w:pPr>
              <w:widowControl/>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3、商务分</w:t>
            </w:r>
            <w:r>
              <w:rPr>
                <w:rFonts w:hint="eastAsia" w:ascii="宋体" w:hAnsi="宋体" w:cs="宋体"/>
                <w:color w:val="auto"/>
                <w:kern w:val="0"/>
                <w:sz w:val="24"/>
                <w:highlight w:val="none"/>
                <w:lang w:val="en-US" w:eastAsia="zh-CN"/>
              </w:rPr>
              <w:t>19</w:t>
            </w:r>
            <w:r>
              <w:rPr>
                <w:rFonts w:hint="eastAsia" w:ascii="宋体" w:hAnsi="宋体" w:eastAsia="宋体" w:cs="宋体"/>
                <w:color w:val="auto"/>
                <w:kern w:val="0"/>
                <w:sz w:val="24"/>
                <w:highlight w:val="none"/>
              </w:rPr>
              <w:t>分</w:t>
            </w:r>
          </w:p>
        </w:tc>
      </w:tr>
      <w:tr w14:paraId="76E1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64" w:type="dxa"/>
            <w:noWrap w:val="0"/>
            <w:vAlign w:val="center"/>
          </w:tcPr>
          <w:p w14:paraId="2B65F078">
            <w:pPr>
              <w:widowControl/>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329" w:type="dxa"/>
            <w:noWrap w:val="0"/>
            <w:vAlign w:val="center"/>
          </w:tcPr>
          <w:p w14:paraId="28019F9D">
            <w:pPr>
              <w:widowControl/>
              <w:spacing w:line="360" w:lineRule="exact"/>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项目负责人</w:t>
            </w:r>
          </w:p>
        </w:tc>
        <w:tc>
          <w:tcPr>
            <w:tcW w:w="829" w:type="dxa"/>
            <w:noWrap w:val="0"/>
            <w:vAlign w:val="center"/>
          </w:tcPr>
          <w:p w14:paraId="5D682985">
            <w:pPr>
              <w:widowControl/>
              <w:spacing w:line="360" w:lineRule="exact"/>
              <w:jc w:val="center"/>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分</w:t>
            </w:r>
          </w:p>
        </w:tc>
        <w:tc>
          <w:tcPr>
            <w:tcW w:w="5700" w:type="dxa"/>
            <w:noWrap w:val="0"/>
            <w:vAlign w:val="center"/>
          </w:tcPr>
          <w:p w14:paraId="4E01F61E">
            <w:pPr>
              <w:widowControl/>
              <w:spacing w:line="360" w:lineRule="exact"/>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拟派项目负责人具有高级工程师职称和注册城乡规划师资格证书的得</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分，未提供不得分。（提供有效证书及单位缴纳社保证明材料原件扫描件）</w:t>
            </w:r>
          </w:p>
        </w:tc>
      </w:tr>
      <w:tr w14:paraId="75B9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664" w:type="dxa"/>
            <w:noWrap w:val="0"/>
            <w:vAlign w:val="center"/>
          </w:tcPr>
          <w:p w14:paraId="2D35E7AB">
            <w:pPr>
              <w:widowControl/>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329" w:type="dxa"/>
            <w:noWrap w:val="0"/>
            <w:vAlign w:val="center"/>
          </w:tcPr>
          <w:p w14:paraId="59C7491A">
            <w:pPr>
              <w:widowControl/>
              <w:spacing w:line="360" w:lineRule="exact"/>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人员配备</w:t>
            </w:r>
          </w:p>
        </w:tc>
        <w:tc>
          <w:tcPr>
            <w:tcW w:w="829" w:type="dxa"/>
            <w:noWrap w:val="0"/>
            <w:vAlign w:val="center"/>
          </w:tcPr>
          <w:p w14:paraId="04AF3CFB">
            <w:pPr>
              <w:widowControl/>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分</w:t>
            </w:r>
          </w:p>
        </w:tc>
        <w:tc>
          <w:tcPr>
            <w:tcW w:w="5700" w:type="dxa"/>
            <w:noWrap w:val="0"/>
            <w:vAlign w:val="center"/>
          </w:tcPr>
          <w:p w14:paraId="57CFFAB9">
            <w:pPr>
              <w:widowControl/>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投标人拟派项目团队成员（项目负责人除外）中:</w:t>
            </w:r>
          </w:p>
          <w:p w14:paraId="6B51EA8C">
            <w:pPr>
              <w:widowControl/>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①具有城乡规划师注册证的，每提供一个得</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分，最高得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分；</w:t>
            </w:r>
          </w:p>
          <w:p w14:paraId="44FC5D0F">
            <w:pPr>
              <w:widowControl/>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（2）具有相关专业高级职称证书的，每提供一个得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分，最高得</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分；</w:t>
            </w:r>
          </w:p>
          <w:p w14:paraId="6812A0CA">
            <w:pPr>
              <w:widowControl/>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（3）具有相关专业中级职称的，每提供一个得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分，最高得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分。</w:t>
            </w:r>
          </w:p>
          <w:p w14:paraId="59E3AF39">
            <w:pPr>
              <w:widowControl/>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（以上</w:t>
            </w:r>
            <w:r>
              <w:rPr>
                <w:rFonts w:hint="eastAsia" w:ascii="宋体" w:hAnsi="宋体" w:cs="宋体"/>
                <w:color w:val="auto"/>
                <w:sz w:val="24"/>
                <w:highlight w:val="none"/>
                <w:lang w:val="en-US" w:eastAsia="zh-CN"/>
              </w:rPr>
              <w:t>需</w:t>
            </w:r>
            <w:r>
              <w:rPr>
                <w:rFonts w:hint="eastAsia" w:ascii="宋体" w:hAnsi="宋体" w:eastAsia="宋体" w:cs="宋体"/>
                <w:color w:val="auto"/>
                <w:sz w:val="24"/>
                <w:highlight w:val="none"/>
                <w:lang w:val="en-US" w:eastAsia="zh-CN"/>
              </w:rPr>
              <w:t>提供人员证书</w:t>
            </w:r>
            <w:r>
              <w:rPr>
                <w:rFonts w:hint="eastAsia" w:ascii="宋体" w:hAnsi="宋体" w:cs="宋体"/>
                <w:color w:val="auto"/>
                <w:sz w:val="24"/>
                <w:highlight w:val="none"/>
                <w:lang w:val="en-US" w:eastAsia="zh-CN"/>
              </w:rPr>
              <w:t>原件</w:t>
            </w:r>
            <w:r>
              <w:rPr>
                <w:rFonts w:hint="eastAsia" w:ascii="宋体" w:hAnsi="宋体" w:eastAsia="宋体" w:cs="宋体"/>
                <w:color w:val="auto"/>
                <w:sz w:val="24"/>
                <w:highlight w:val="none"/>
                <w:lang w:val="en-US" w:eastAsia="zh-CN"/>
              </w:rPr>
              <w:t>扫描件及本单位为其缴纳社保证明材料扫描件，项目团队人员</w:t>
            </w:r>
            <w:r>
              <w:rPr>
                <w:rFonts w:hint="eastAsia" w:ascii="宋体" w:hAnsi="宋体" w:cs="宋体"/>
                <w:color w:val="auto"/>
                <w:sz w:val="24"/>
                <w:highlight w:val="none"/>
                <w:lang w:val="en-US" w:eastAsia="zh-CN"/>
              </w:rPr>
              <w:t>证书</w:t>
            </w:r>
            <w:r>
              <w:rPr>
                <w:rFonts w:hint="eastAsia" w:ascii="宋体" w:hAnsi="宋体" w:eastAsia="宋体" w:cs="宋体"/>
                <w:color w:val="auto"/>
                <w:sz w:val="24"/>
                <w:highlight w:val="none"/>
                <w:lang w:val="en-US" w:eastAsia="zh-CN"/>
              </w:rPr>
              <w:t>不重复计分。）</w:t>
            </w:r>
          </w:p>
        </w:tc>
      </w:tr>
      <w:tr w14:paraId="016E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522" w:type="dxa"/>
            <w:gridSpan w:val="4"/>
            <w:noWrap w:val="0"/>
            <w:vAlign w:val="center"/>
          </w:tcPr>
          <w:p w14:paraId="0F5969BF">
            <w:pPr>
              <w:widowControl/>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4、资信及其他</w:t>
            </w:r>
            <w:r>
              <w:rPr>
                <w:rFonts w:hint="eastAsia" w:ascii="宋体" w:hAnsi="宋体" w:cs="宋体"/>
                <w:color w:val="auto"/>
                <w:kern w:val="0"/>
                <w:sz w:val="24"/>
                <w:highlight w:val="none"/>
                <w:lang w:val="en-US" w:eastAsia="zh-CN"/>
              </w:rPr>
              <w:t>8</w:t>
            </w:r>
            <w:r>
              <w:rPr>
                <w:rFonts w:hint="eastAsia" w:ascii="宋体" w:hAnsi="宋体" w:eastAsia="宋体" w:cs="宋体"/>
                <w:color w:val="auto"/>
                <w:kern w:val="0"/>
                <w:sz w:val="24"/>
                <w:highlight w:val="none"/>
              </w:rPr>
              <w:t>分</w:t>
            </w:r>
          </w:p>
        </w:tc>
      </w:tr>
      <w:tr w14:paraId="32FD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664" w:type="dxa"/>
            <w:noWrap w:val="0"/>
            <w:vAlign w:val="center"/>
          </w:tcPr>
          <w:p w14:paraId="17C13725">
            <w:pPr>
              <w:widowControl/>
              <w:spacing w:line="36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1</w:t>
            </w:r>
          </w:p>
        </w:tc>
        <w:tc>
          <w:tcPr>
            <w:tcW w:w="1329" w:type="dxa"/>
            <w:noWrap w:val="0"/>
            <w:vAlign w:val="center"/>
          </w:tcPr>
          <w:p w14:paraId="197A3947">
            <w:pPr>
              <w:widowControl/>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业绩</w:t>
            </w:r>
          </w:p>
        </w:tc>
        <w:tc>
          <w:tcPr>
            <w:tcW w:w="829" w:type="dxa"/>
            <w:noWrap w:val="0"/>
            <w:vAlign w:val="center"/>
          </w:tcPr>
          <w:p w14:paraId="7147311B">
            <w:pPr>
              <w:widowControl/>
              <w:spacing w:line="360" w:lineRule="exact"/>
              <w:jc w:val="center"/>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8</w:t>
            </w:r>
            <w:r>
              <w:rPr>
                <w:rFonts w:hint="eastAsia" w:ascii="宋体" w:hAnsi="宋体" w:eastAsia="宋体" w:cs="宋体"/>
                <w:color w:val="auto"/>
                <w:kern w:val="0"/>
                <w:sz w:val="24"/>
                <w:highlight w:val="none"/>
              </w:rPr>
              <w:t>分</w:t>
            </w:r>
          </w:p>
        </w:tc>
        <w:tc>
          <w:tcPr>
            <w:tcW w:w="5700" w:type="dxa"/>
            <w:noWrap w:val="0"/>
            <w:vAlign w:val="center"/>
          </w:tcPr>
          <w:p w14:paraId="019C7582">
            <w:pPr>
              <w:widowControl/>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cs="宋体"/>
                <w:color w:val="auto"/>
                <w:kern w:val="0"/>
                <w:sz w:val="24"/>
                <w:highlight w:val="none"/>
                <w:lang w:val="en-US" w:eastAsia="zh-CN"/>
              </w:rPr>
              <w:t>提供</w:t>
            </w:r>
            <w:r>
              <w:rPr>
                <w:rFonts w:hint="eastAsia" w:ascii="宋体" w:hAnsi="宋体" w:eastAsia="宋体" w:cs="宋体"/>
                <w:color w:val="auto"/>
                <w:kern w:val="0"/>
                <w:sz w:val="24"/>
                <w:highlight w:val="none"/>
                <w:lang w:val="en-US" w:eastAsia="zh-CN"/>
              </w:rPr>
              <w:t>自2022年1月1日以来</w:t>
            </w:r>
            <w:r>
              <w:rPr>
                <w:rFonts w:hint="eastAsia" w:ascii="宋体" w:hAnsi="宋体" w:eastAsia="宋体" w:cs="宋体"/>
                <w:color w:val="auto"/>
                <w:kern w:val="0"/>
                <w:sz w:val="24"/>
                <w:highlight w:val="none"/>
              </w:rPr>
              <w:t>承揽过类似项目业绩</w:t>
            </w:r>
            <w:r>
              <w:rPr>
                <w:rFonts w:hint="eastAsia" w:ascii="宋体" w:hAnsi="宋体" w:eastAsia="宋体" w:cs="宋体"/>
                <w:color w:val="auto"/>
                <w:kern w:val="0"/>
                <w:sz w:val="24"/>
                <w:highlight w:val="none"/>
                <w:lang w:val="en-US" w:eastAsia="zh-CN"/>
              </w:rPr>
              <w:t>的</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每提供一项得</w:t>
            </w:r>
            <w:r>
              <w:rPr>
                <w:rFonts w:hint="eastAsia" w:ascii="宋体" w:hAnsi="宋体" w:cs="宋体"/>
                <w:color w:val="auto"/>
                <w:kern w:val="0"/>
                <w:sz w:val="24"/>
                <w:highlight w:val="none"/>
                <w:lang w:val="en-US" w:eastAsia="zh-CN"/>
              </w:rPr>
              <w:t>4分</w:t>
            </w:r>
            <w:r>
              <w:rPr>
                <w:rFonts w:hint="eastAsia" w:ascii="宋体" w:hAnsi="宋体" w:eastAsia="宋体" w:cs="宋体"/>
                <w:color w:val="auto"/>
                <w:kern w:val="0"/>
                <w:sz w:val="24"/>
                <w:highlight w:val="none"/>
                <w:lang w:val="en-US" w:eastAsia="zh-CN"/>
              </w:rPr>
              <w:t>，最多得</w:t>
            </w:r>
            <w:r>
              <w:rPr>
                <w:rFonts w:hint="eastAsia" w:ascii="宋体" w:hAnsi="宋体" w:cs="宋体"/>
                <w:color w:val="auto"/>
                <w:kern w:val="0"/>
                <w:sz w:val="24"/>
                <w:highlight w:val="none"/>
                <w:lang w:val="en-US" w:eastAsia="zh-CN"/>
              </w:rPr>
              <w:t>8分</w:t>
            </w:r>
            <w:r>
              <w:rPr>
                <w:rFonts w:hint="eastAsia" w:ascii="宋体" w:hAnsi="宋体" w:eastAsia="宋体" w:cs="宋体"/>
                <w:color w:val="auto"/>
                <w:kern w:val="0"/>
                <w:sz w:val="24"/>
                <w:highlight w:val="none"/>
                <w:lang w:val="en-US" w:eastAsia="zh-CN"/>
              </w:rPr>
              <w:t>，未提供不得分</w:t>
            </w:r>
            <w:r>
              <w:rPr>
                <w:rFonts w:hint="eastAsia" w:ascii="宋体" w:hAnsi="宋体" w:eastAsia="宋体" w:cs="宋体"/>
                <w:color w:val="auto"/>
                <w:kern w:val="0"/>
                <w:sz w:val="24"/>
                <w:highlight w:val="none"/>
              </w:rPr>
              <w:t>。</w:t>
            </w:r>
            <w:r>
              <w:rPr>
                <w:rFonts w:hint="eastAsia" w:ascii="宋体" w:hAnsi="宋体" w:eastAsia="宋体" w:cs="宋体"/>
                <w:bCs/>
                <w:color w:val="auto"/>
                <w:sz w:val="24"/>
                <w:highlight w:val="none"/>
              </w:rPr>
              <w:t>（须提供中标通知书</w:t>
            </w:r>
            <w:r>
              <w:rPr>
                <w:rFonts w:hint="eastAsia" w:ascii="宋体" w:hAnsi="宋体" w:eastAsia="宋体" w:cs="宋体"/>
                <w:bCs/>
                <w:color w:val="auto"/>
                <w:sz w:val="24"/>
                <w:highlight w:val="none"/>
                <w:lang w:val="en-US" w:eastAsia="zh-CN"/>
              </w:rPr>
              <w:t>或</w:t>
            </w:r>
            <w:r>
              <w:rPr>
                <w:rFonts w:hint="eastAsia" w:ascii="宋体" w:hAnsi="宋体" w:eastAsia="宋体" w:cs="宋体"/>
                <w:bCs/>
                <w:color w:val="auto"/>
                <w:sz w:val="24"/>
                <w:highlight w:val="none"/>
              </w:rPr>
              <w:t>合同原件扫描件</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日期以中标通知书或合同签订时间为准</w:t>
            </w:r>
            <w:r>
              <w:rPr>
                <w:rFonts w:hint="eastAsia" w:ascii="宋体" w:hAnsi="宋体" w:eastAsia="宋体" w:cs="宋体"/>
                <w:bCs/>
                <w:color w:val="auto"/>
                <w:sz w:val="24"/>
                <w:highlight w:val="none"/>
              </w:rPr>
              <w:t>）</w:t>
            </w:r>
          </w:p>
        </w:tc>
      </w:tr>
    </w:tbl>
    <w:p w14:paraId="0EA2F35C">
      <w:pPr>
        <w:pStyle w:val="9"/>
        <w:ind w:firstLine="482" w:firstLineChars="200"/>
        <w:rPr>
          <w:rFonts w:hint="eastAsia" w:ascii="宋体" w:hAnsi="宋体" w:eastAsia="宋体" w:cs="宋体"/>
          <w:b/>
          <w:i w:val="0"/>
          <w:color w:val="auto"/>
          <w:kern w:val="0"/>
          <w:sz w:val="24"/>
          <w:highlight w:val="none"/>
        </w:rPr>
      </w:pPr>
    </w:p>
    <w:p w14:paraId="09C6D39C">
      <w:pPr>
        <w:pStyle w:val="9"/>
        <w:spacing w:line="360" w:lineRule="auto"/>
        <w:ind w:firstLine="482" w:firstLineChars="200"/>
        <w:rPr>
          <w:rFonts w:hint="eastAsia" w:ascii="宋体" w:hAnsi="宋体" w:eastAsia="宋体" w:cs="宋体"/>
          <w:b/>
          <w:i w:val="0"/>
          <w:color w:val="auto"/>
          <w:kern w:val="0"/>
          <w:sz w:val="24"/>
          <w:szCs w:val="24"/>
          <w:highlight w:val="none"/>
          <w:lang w:val="en-US" w:eastAsia="zh-CN" w:bidi="ar-SA"/>
        </w:rPr>
      </w:pPr>
      <w:r>
        <w:rPr>
          <w:rFonts w:hint="eastAsia" w:ascii="宋体" w:hAnsi="宋体" w:eastAsia="宋体" w:cs="宋体"/>
          <w:b/>
          <w:i w:val="0"/>
          <w:color w:val="auto"/>
          <w:kern w:val="0"/>
          <w:sz w:val="24"/>
          <w:szCs w:val="24"/>
          <w:highlight w:val="none"/>
          <w:lang w:val="en-US" w:eastAsia="zh-CN" w:bidi="ar-SA"/>
        </w:rPr>
        <w:t>4.得分的计算</w:t>
      </w:r>
    </w:p>
    <w:p w14:paraId="100C88D1">
      <w:pPr>
        <w:spacing w:line="360" w:lineRule="auto"/>
        <w:ind w:firstLine="480" w:firstLineChars="200"/>
        <w:rPr>
          <w:rFonts w:hint="eastAsia" w:ascii="宋体" w:hAnsi="宋体" w:eastAsia="宋体" w:cs="宋体"/>
          <w:b w:val="0"/>
          <w:bCs/>
          <w:i w:val="0"/>
          <w:color w:val="auto"/>
          <w:kern w:val="0"/>
          <w:sz w:val="24"/>
          <w:szCs w:val="24"/>
          <w:highlight w:val="none"/>
          <w:lang w:val="en-US" w:eastAsia="zh-CN" w:bidi="ar-SA"/>
        </w:rPr>
      </w:pPr>
      <w:r>
        <w:rPr>
          <w:rFonts w:hint="eastAsia" w:ascii="宋体" w:hAnsi="宋体" w:eastAsia="宋体" w:cs="宋体"/>
          <w:b w:val="0"/>
          <w:bCs/>
          <w:i w:val="0"/>
          <w:color w:val="auto"/>
          <w:kern w:val="0"/>
          <w:sz w:val="24"/>
          <w:szCs w:val="24"/>
          <w:highlight w:val="none"/>
          <w:lang w:val="en-US" w:eastAsia="zh-CN" w:bidi="ar-SA"/>
        </w:rPr>
        <w:t>评标委员会成员评分=价格分+技术分+商务分+资信及其他</w:t>
      </w:r>
    </w:p>
    <w:p w14:paraId="5186E395">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评标总得分=评标委员会所有成员合计总分/评标委员会组成人员数</w:t>
      </w:r>
    </w:p>
    <w:p w14:paraId="1E35A7BA">
      <w:pPr>
        <w:widowControl/>
        <w:wordWrap w:val="0"/>
        <w:spacing w:line="360" w:lineRule="auto"/>
        <w:ind w:firstLine="482" w:firstLineChars="2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注∶在投标文件内须提供以上评分项要求提供的各类证书或证明等材料，并上传至驻马店市公共资源中心电子交易平台主体诚信库，同时在</w:t>
      </w:r>
      <w:r>
        <w:rPr>
          <w:rFonts w:hint="eastAsia" w:ascii="宋体" w:hAnsi="宋体" w:eastAsia="宋体" w:cs="宋体"/>
          <w:b/>
          <w:color w:val="auto"/>
          <w:kern w:val="0"/>
          <w:sz w:val="24"/>
          <w:highlight w:val="none"/>
          <w:lang w:eastAsia="zh-CN"/>
        </w:rPr>
        <w:t>“</w:t>
      </w:r>
      <w:r>
        <w:rPr>
          <w:rFonts w:hint="eastAsia" w:ascii="宋体" w:hAnsi="宋体" w:eastAsia="宋体" w:cs="宋体"/>
          <w:b/>
          <w:color w:val="auto"/>
          <w:kern w:val="0"/>
          <w:sz w:val="24"/>
          <w:highlight w:val="none"/>
        </w:rPr>
        <w:t>资格审查及评审材料</w:t>
      </w:r>
      <w:r>
        <w:rPr>
          <w:rFonts w:hint="eastAsia" w:ascii="宋体" w:hAnsi="宋体" w:eastAsia="宋体" w:cs="宋体"/>
          <w:b/>
          <w:color w:val="auto"/>
          <w:kern w:val="0"/>
          <w:sz w:val="24"/>
          <w:highlight w:val="none"/>
          <w:lang w:eastAsia="zh-CN"/>
        </w:rPr>
        <w:t>”</w:t>
      </w:r>
      <w:r>
        <w:rPr>
          <w:rFonts w:hint="eastAsia" w:ascii="宋体" w:hAnsi="宋体" w:eastAsia="宋体" w:cs="宋体"/>
          <w:b/>
          <w:color w:val="auto"/>
          <w:kern w:val="0"/>
          <w:sz w:val="24"/>
          <w:highlight w:val="none"/>
        </w:rPr>
        <w:t>菜单下按分包挑选该包投标所用评审材料，以供评标过程中评标委员会查阅。评标时以电子投标文件及"资格审查及评审材料"菜单中选取的企业信息为准。</w:t>
      </w:r>
      <w:r>
        <w:rPr>
          <w:rFonts w:hint="eastAsia" w:ascii="宋体" w:hAnsi="宋体" w:eastAsia="宋体" w:cs="宋体"/>
          <w:b/>
          <w:color w:val="auto"/>
          <w:kern w:val="0"/>
          <w:sz w:val="24"/>
          <w:highlight w:val="none"/>
          <w:lang w:val="en-US" w:eastAsia="zh-CN"/>
        </w:rPr>
        <w:t>两者必须一致，</w:t>
      </w:r>
      <w:r>
        <w:rPr>
          <w:rFonts w:hint="eastAsia" w:ascii="宋体" w:hAnsi="宋体" w:eastAsia="宋体" w:cs="宋体"/>
          <w:b/>
          <w:color w:val="auto"/>
          <w:kern w:val="0"/>
          <w:sz w:val="24"/>
          <w:highlight w:val="none"/>
        </w:rPr>
        <w:t xml:space="preserve">否则不得分。 </w:t>
      </w:r>
    </w:p>
    <w:p w14:paraId="15552256">
      <w:pPr>
        <w:wordWrap w:val="0"/>
        <w:adjustRightInd w:val="0"/>
        <w:snapToGrid w:val="0"/>
        <w:spacing w:before="156" w:after="156"/>
        <w:jc w:val="center"/>
        <w:outlineLvl w:val="0"/>
        <w:rPr>
          <w:rFonts w:hint="eastAsia" w:ascii="宋体" w:hAnsi="宋体" w:eastAsia="宋体" w:cs="宋体"/>
          <w:color w:val="auto"/>
          <w:sz w:val="44"/>
          <w:szCs w:val="44"/>
          <w:highlight w:val="none"/>
          <w:lang w:val="en-US" w:eastAsia="zh-CN"/>
        </w:rPr>
      </w:pPr>
      <w:r>
        <w:rPr>
          <w:rFonts w:hint="eastAsia" w:ascii="宋体" w:hAnsi="宋体" w:eastAsia="宋体" w:cs="宋体"/>
          <w:b/>
          <w:snapToGrid w:val="0"/>
          <w:color w:val="auto"/>
          <w:sz w:val="32"/>
          <w:szCs w:val="32"/>
          <w:highlight w:val="none"/>
          <w:lang w:bidi="ar"/>
        </w:rPr>
        <w:br w:type="page"/>
      </w:r>
      <w:bookmarkEnd w:id="97"/>
      <w:bookmarkEnd w:id="98"/>
      <w:bookmarkEnd w:id="99"/>
      <w:bookmarkEnd w:id="100"/>
      <w:bookmarkStart w:id="101" w:name="_Toc4919"/>
      <w:bookmarkStart w:id="102" w:name="_Toc17772"/>
      <w:bookmarkStart w:id="103" w:name="_Toc31975"/>
      <w:bookmarkStart w:id="104" w:name="_Toc27753"/>
      <w:bookmarkStart w:id="105" w:name="_Toc14986"/>
      <w:r>
        <w:rPr>
          <w:rFonts w:hint="eastAsia" w:ascii="宋体" w:hAnsi="宋体" w:eastAsia="宋体" w:cs="宋体"/>
          <w:b/>
          <w:snapToGrid w:val="0"/>
          <w:color w:val="auto"/>
          <w:sz w:val="32"/>
          <w:szCs w:val="32"/>
          <w:highlight w:val="none"/>
          <w:lang w:bidi="ar"/>
        </w:rPr>
        <w:t>第五章 政府采购合同（主要条款）</w:t>
      </w:r>
      <w:bookmarkEnd w:id="101"/>
      <w:bookmarkEnd w:id="102"/>
      <w:bookmarkEnd w:id="103"/>
      <w:bookmarkEnd w:id="104"/>
      <w:bookmarkEnd w:id="105"/>
    </w:p>
    <w:p w14:paraId="290C0A6A">
      <w:pPr>
        <w:snapToGrid w:val="0"/>
        <w:spacing w:line="460" w:lineRule="exact"/>
        <w:ind w:firstLine="480" w:firstLineChars="200"/>
        <w:jc w:val="center"/>
        <w:rPr>
          <w:rFonts w:hint="eastAsia" w:ascii="宋体" w:hAnsi="宋体" w:eastAsia="宋体" w:cs="宋体"/>
          <w:b w:val="0"/>
          <w:bCs/>
          <w:color w:val="auto"/>
          <w:kern w:val="0"/>
          <w:sz w:val="24"/>
          <w:highlight w:val="none"/>
        </w:rPr>
      </w:pPr>
      <w:r>
        <w:rPr>
          <w:rFonts w:hint="eastAsia" w:ascii="宋体" w:hAnsi="宋体" w:eastAsia="宋体" w:cs="宋体"/>
          <w:b w:val="0"/>
          <w:bCs/>
          <w:color w:val="auto"/>
          <w:kern w:val="0"/>
          <w:sz w:val="24"/>
          <w:highlight w:val="none"/>
        </w:rPr>
        <w:t>（采购人可根据采购项目的实际情况增减条款和内容）</w:t>
      </w:r>
    </w:p>
    <w:p w14:paraId="26F32202">
      <w:pPr>
        <w:snapToGrid w:val="0"/>
        <w:spacing w:line="460" w:lineRule="exact"/>
        <w:ind w:firstLine="480" w:firstLineChars="200"/>
        <w:jc w:val="center"/>
        <w:rPr>
          <w:rFonts w:hint="eastAsia" w:ascii="宋体" w:hAnsi="宋体" w:eastAsia="宋体" w:cs="宋体"/>
          <w:b w:val="0"/>
          <w:bCs/>
          <w:color w:val="auto"/>
          <w:kern w:val="0"/>
          <w:sz w:val="24"/>
          <w:highlight w:val="none"/>
        </w:rPr>
      </w:pPr>
    </w:p>
    <w:p w14:paraId="4D3BACF9">
      <w:pPr>
        <w:snapToGrid w:val="0"/>
        <w:spacing w:line="460" w:lineRule="exact"/>
        <w:ind w:firstLine="480" w:firstLineChars="200"/>
        <w:jc w:val="left"/>
        <w:rPr>
          <w:rFonts w:hint="eastAsia" w:ascii="宋体" w:hAnsi="宋体" w:eastAsia="宋体" w:cs="宋体"/>
          <w:b w:val="0"/>
          <w:bCs/>
          <w:color w:val="auto"/>
          <w:kern w:val="0"/>
          <w:sz w:val="24"/>
          <w:highlight w:val="none"/>
        </w:rPr>
      </w:pPr>
      <w:r>
        <w:rPr>
          <w:rFonts w:hint="eastAsia" w:ascii="宋体" w:hAnsi="宋体" w:eastAsia="宋体" w:cs="宋体"/>
          <w:b w:val="0"/>
          <w:bCs/>
          <w:color w:val="auto"/>
          <w:kern w:val="0"/>
          <w:sz w:val="24"/>
          <w:highlight w:val="none"/>
        </w:rPr>
        <w:t>项目名称：</w:t>
      </w:r>
      <w:r>
        <w:rPr>
          <w:rFonts w:hint="eastAsia" w:ascii="宋体" w:hAnsi="宋体" w:eastAsia="宋体" w:cs="宋体"/>
          <w:b w:val="0"/>
          <w:bCs/>
          <w:color w:val="auto"/>
          <w:kern w:val="0"/>
          <w:sz w:val="24"/>
          <w:highlight w:val="none"/>
          <w:lang w:val="en-US" w:eastAsia="zh-CN"/>
        </w:rPr>
        <w:t xml:space="preserve"> </w:t>
      </w:r>
      <w:r>
        <w:rPr>
          <w:rFonts w:hint="eastAsia" w:ascii="宋体" w:hAnsi="宋体" w:eastAsia="宋体" w:cs="宋体"/>
          <w:b w:val="0"/>
          <w:bCs/>
          <w:color w:val="auto"/>
          <w:kern w:val="0"/>
          <w:sz w:val="24"/>
          <w:highlight w:val="none"/>
          <w:u w:val="single"/>
          <w:lang w:val="en-US" w:eastAsia="zh-CN"/>
        </w:rPr>
        <w:t>驻马店市地下管网管廊及设施建设改造实施方案编制项目</w:t>
      </w:r>
      <w:r>
        <w:rPr>
          <w:rFonts w:hint="eastAsia" w:ascii="宋体" w:hAnsi="宋体" w:eastAsia="宋体" w:cs="宋体"/>
          <w:b w:val="0"/>
          <w:bCs/>
          <w:color w:val="auto"/>
          <w:kern w:val="0"/>
          <w:sz w:val="24"/>
          <w:highlight w:val="none"/>
        </w:rPr>
        <w:t xml:space="preserve">                 </w:t>
      </w:r>
    </w:p>
    <w:p w14:paraId="47DA3968">
      <w:pPr>
        <w:snapToGrid w:val="0"/>
        <w:spacing w:line="460" w:lineRule="exact"/>
        <w:ind w:firstLine="480" w:firstLineChars="200"/>
        <w:jc w:val="left"/>
        <w:rPr>
          <w:rFonts w:hint="default" w:ascii="宋体" w:hAnsi="宋体" w:eastAsia="宋体" w:cs="宋体"/>
          <w:b w:val="0"/>
          <w:bCs/>
          <w:color w:val="auto"/>
          <w:kern w:val="0"/>
          <w:sz w:val="24"/>
          <w:highlight w:val="none"/>
          <w:u w:val="single"/>
          <w:lang w:val="en-US" w:eastAsia="zh-CN"/>
        </w:rPr>
      </w:pPr>
      <w:r>
        <w:rPr>
          <w:rFonts w:hint="eastAsia" w:ascii="宋体" w:hAnsi="宋体" w:eastAsia="宋体" w:cs="宋体"/>
          <w:b w:val="0"/>
          <w:bCs/>
          <w:color w:val="auto"/>
          <w:kern w:val="0"/>
          <w:sz w:val="24"/>
          <w:highlight w:val="none"/>
        </w:rPr>
        <w:t>采购编号：</w:t>
      </w:r>
      <w:r>
        <w:rPr>
          <w:rFonts w:hint="eastAsia" w:ascii="宋体" w:hAnsi="宋体" w:eastAsia="宋体" w:cs="宋体"/>
          <w:b w:val="0"/>
          <w:bCs/>
          <w:color w:val="auto"/>
          <w:kern w:val="0"/>
          <w:sz w:val="24"/>
          <w:highlight w:val="none"/>
          <w:u w:val="single"/>
          <w:lang w:val="en-US" w:eastAsia="zh-CN"/>
        </w:rPr>
        <w:t xml:space="preserve">                 </w:t>
      </w:r>
    </w:p>
    <w:p w14:paraId="03562B0C">
      <w:pPr>
        <w:snapToGrid w:val="0"/>
        <w:spacing w:line="460" w:lineRule="exact"/>
        <w:ind w:firstLine="480" w:firstLineChars="200"/>
        <w:jc w:val="left"/>
        <w:rPr>
          <w:rFonts w:hint="eastAsia" w:ascii="宋体" w:hAnsi="宋体" w:eastAsia="宋体" w:cs="宋体"/>
          <w:b w:val="0"/>
          <w:bCs/>
          <w:color w:val="auto"/>
          <w:kern w:val="0"/>
          <w:sz w:val="24"/>
          <w:highlight w:val="none"/>
        </w:rPr>
      </w:pPr>
      <w:r>
        <w:rPr>
          <w:rFonts w:hint="eastAsia" w:ascii="宋体" w:hAnsi="宋体" w:eastAsia="宋体" w:cs="宋体"/>
          <w:b w:val="0"/>
          <w:bCs/>
          <w:color w:val="auto"/>
          <w:kern w:val="0"/>
          <w:sz w:val="24"/>
          <w:highlight w:val="none"/>
        </w:rPr>
        <w:t>甲方：</w:t>
      </w:r>
      <w:r>
        <w:rPr>
          <w:rFonts w:hint="eastAsia" w:ascii="宋体" w:hAnsi="宋体" w:cs="宋体"/>
          <w:b w:val="0"/>
          <w:bCs/>
          <w:color w:val="auto"/>
          <w:kern w:val="0"/>
          <w:sz w:val="24"/>
          <w:highlight w:val="none"/>
          <w:lang w:eastAsia="zh-CN"/>
        </w:rPr>
        <w:t>驻马店市城市管理局(驻马店市城市综合执法局)</w:t>
      </w:r>
      <w:r>
        <w:rPr>
          <w:rFonts w:hint="eastAsia" w:ascii="宋体" w:hAnsi="宋体" w:eastAsia="宋体" w:cs="宋体"/>
          <w:b w:val="0"/>
          <w:bCs/>
          <w:color w:val="auto"/>
          <w:kern w:val="0"/>
          <w:sz w:val="24"/>
          <w:highlight w:val="none"/>
        </w:rPr>
        <w:t xml:space="preserve">           </w:t>
      </w:r>
    </w:p>
    <w:p w14:paraId="1DFE3E25">
      <w:pPr>
        <w:snapToGrid w:val="0"/>
        <w:spacing w:line="460" w:lineRule="exact"/>
        <w:ind w:firstLine="240" w:firstLineChars="100"/>
        <w:jc w:val="left"/>
        <w:rPr>
          <w:rFonts w:hint="eastAsia" w:ascii="宋体" w:hAnsi="宋体" w:eastAsia="宋体" w:cs="宋体"/>
          <w:b w:val="0"/>
          <w:bCs/>
          <w:color w:val="auto"/>
          <w:kern w:val="0"/>
          <w:sz w:val="24"/>
          <w:highlight w:val="none"/>
        </w:rPr>
      </w:pPr>
      <w:r>
        <w:rPr>
          <w:rFonts w:hint="eastAsia" w:ascii="宋体" w:hAnsi="宋体" w:eastAsia="宋体" w:cs="宋体"/>
          <w:b w:val="0"/>
          <w:bCs/>
          <w:color w:val="auto"/>
          <w:kern w:val="0"/>
          <w:sz w:val="24"/>
          <w:highlight w:val="none"/>
        </w:rPr>
        <w:t xml:space="preserve">  乙方：</w:t>
      </w:r>
      <w:r>
        <w:rPr>
          <w:rFonts w:hint="eastAsia" w:ascii="宋体" w:hAnsi="宋体" w:cs="宋体"/>
          <w:b w:val="0"/>
          <w:bCs/>
          <w:color w:val="auto"/>
          <w:kern w:val="0"/>
          <w:sz w:val="24"/>
          <w:highlight w:val="none"/>
          <w:lang w:val="en-US" w:eastAsia="zh-CN"/>
        </w:rPr>
        <w:t xml:space="preserve">                                 </w:t>
      </w:r>
      <w:r>
        <w:rPr>
          <w:rFonts w:hint="eastAsia" w:ascii="宋体" w:hAnsi="宋体" w:eastAsia="宋体" w:cs="宋体"/>
          <w:b w:val="0"/>
          <w:bCs/>
          <w:color w:val="auto"/>
          <w:kern w:val="0"/>
          <w:sz w:val="24"/>
          <w:highlight w:val="none"/>
        </w:rPr>
        <w:t>（中标人）</w:t>
      </w:r>
    </w:p>
    <w:p w14:paraId="36F1ED65">
      <w:pPr>
        <w:snapToGrid w:val="0"/>
        <w:spacing w:line="460" w:lineRule="exact"/>
        <w:ind w:firstLine="480" w:firstLineChars="200"/>
        <w:jc w:val="left"/>
        <w:rPr>
          <w:rFonts w:hint="eastAsia" w:ascii="宋体" w:hAnsi="宋体" w:eastAsia="宋体" w:cs="宋体"/>
          <w:b w:val="0"/>
          <w:bCs/>
          <w:color w:val="auto"/>
          <w:kern w:val="0"/>
          <w:sz w:val="24"/>
          <w:highlight w:val="none"/>
        </w:rPr>
      </w:pPr>
      <w:r>
        <w:rPr>
          <w:rFonts w:hint="eastAsia" w:ascii="宋体" w:hAnsi="宋体" w:eastAsia="宋体" w:cs="宋体"/>
          <w:b w:val="0"/>
          <w:bCs/>
          <w:color w:val="auto"/>
          <w:kern w:val="0"/>
          <w:sz w:val="24"/>
          <w:highlight w:val="none"/>
        </w:rPr>
        <w:t>甲、乙双方根据《中华人民共和国政府采购法》、《中华人民共和国民法典》等法律法规的规定，按照</w:t>
      </w:r>
      <w:r>
        <w:rPr>
          <w:rFonts w:hint="eastAsia" w:ascii="宋体" w:hAnsi="宋体" w:eastAsia="宋体" w:cs="宋体"/>
          <w:b w:val="0"/>
          <w:bCs/>
          <w:color w:val="auto"/>
          <w:kern w:val="0"/>
          <w:sz w:val="24"/>
          <w:highlight w:val="none"/>
          <w:u w:val="single"/>
        </w:rPr>
        <w:t xml:space="preserve">           </w:t>
      </w:r>
      <w:r>
        <w:rPr>
          <w:rFonts w:hint="eastAsia" w:ascii="宋体" w:hAnsi="宋体" w:eastAsia="宋体" w:cs="宋体"/>
          <w:b w:val="0"/>
          <w:bCs/>
          <w:color w:val="auto"/>
          <w:kern w:val="0"/>
          <w:sz w:val="24"/>
          <w:highlight w:val="none"/>
        </w:rPr>
        <w:t>（采购编号）的招标结果签订本合同。</w:t>
      </w:r>
    </w:p>
    <w:p w14:paraId="28340248">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1.服务内容：驻马店市地下管网管廊及设施建设改造实施方案编制</w:t>
      </w:r>
    </w:p>
    <w:p w14:paraId="047E1B36">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2.合同金额</w:t>
      </w:r>
    </w:p>
    <w:p w14:paraId="32BB2E55">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本合同金额为人民币（大写）：</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元（￥</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元）。</w:t>
      </w:r>
    </w:p>
    <w:p w14:paraId="250A4FA5">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3.服务期限和服务地点</w:t>
      </w:r>
    </w:p>
    <w:p w14:paraId="6C9189BA">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3.1服务期限：30日历天</w:t>
      </w:r>
    </w:p>
    <w:p w14:paraId="0A593338">
      <w:pPr>
        <w:spacing w:line="460" w:lineRule="exact"/>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3.2服务地点：驻马店市区</w:t>
      </w:r>
    </w:p>
    <w:p w14:paraId="07BE5899">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4.付款方式</w:t>
      </w:r>
    </w:p>
    <w:p w14:paraId="18700EA6">
      <w:pPr>
        <w:spacing w:line="460" w:lineRule="exact"/>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付款方式：提交初步成果后支付合同金额的50％，行业主管部门审查或专家技术审查通过后支付合同金额的50％</w:t>
      </w:r>
      <w:r>
        <w:rPr>
          <w:rFonts w:hint="eastAsia" w:ascii="宋体" w:hAnsi="宋体" w:cs="宋体"/>
          <w:b w:val="0"/>
          <w:bCs/>
          <w:color w:val="auto"/>
          <w:sz w:val="24"/>
          <w:highlight w:val="none"/>
          <w:lang w:eastAsia="zh-CN"/>
        </w:rPr>
        <w:t>。</w:t>
      </w:r>
    </w:p>
    <w:p w14:paraId="3C6AF664">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5.税费</w:t>
      </w:r>
    </w:p>
    <w:p w14:paraId="4F4B3F3B">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本合同执行中相关的一切税费均由乙方负担。</w:t>
      </w:r>
    </w:p>
    <w:p w14:paraId="4FA36748">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6.技术资料</w:t>
      </w:r>
    </w:p>
    <w:p w14:paraId="078CA147">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没有甲方事先书面同意，乙方不得将由甲方提供的有关合同或任何合同条文、规格、计划、图纸等资料提供给与履行本合同无关的任何其他人。</w:t>
      </w:r>
    </w:p>
    <w:p w14:paraId="2BEED5A3">
      <w:pPr>
        <w:spacing w:line="46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7.服务质量</w:t>
      </w:r>
    </w:p>
    <w:p w14:paraId="34406B4B">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乙方保证所提供的服务符合招标需求及相关法律、法规要求。</w:t>
      </w:r>
    </w:p>
    <w:p w14:paraId="59D4D0F4">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8.无产权瑕疵条款</w:t>
      </w:r>
    </w:p>
    <w:p w14:paraId="3B09FF7A">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乙方保证所提供的服务的所有权完全属于乙方且无任何抵押、查封等产权瑕疵。如有产权瑕疵的，视为乙方违约。乙方应负担由此而产生的一切损失。</w:t>
      </w:r>
    </w:p>
    <w:p w14:paraId="0E44BF4C">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9.履约保证金的收取及退还</w:t>
      </w:r>
    </w:p>
    <w:p w14:paraId="2A85A408">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9.1在签订合同时乙方向甲方缴纳中标金额的</w:t>
      </w:r>
      <w:r>
        <w:rPr>
          <w:rFonts w:hint="eastAsia" w:ascii="宋体" w:hAnsi="宋体" w:eastAsia="宋体" w:cs="宋体"/>
          <w:b w:val="0"/>
          <w:bCs/>
          <w:color w:val="auto"/>
          <w:sz w:val="24"/>
          <w:highlight w:val="none"/>
          <w:u w:val="single"/>
        </w:rPr>
        <w:t xml:space="preserve">  / </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u w:val="single"/>
        </w:rPr>
        <w:t xml:space="preserve">  / </w:t>
      </w:r>
      <w:r>
        <w:rPr>
          <w:rFonts w:hint="eastAsia" w:ascii="宋体" w:hAnsi="宋体" w:eastAsia="宋体" w:cs="宋体"/>
          <w:b w:val="0"/>
          <w:bCs/>
          <w:color w:val="auto"/>
          <w:sz w:val="24"/>
          <w:highlight w:val="none"/>
        </w:rPr>
        <w:t>元的履约保证金（不超过中标金额的10%。履约保证金可以采用现金、现金支票、银行汇票、履约担保函等形式交纳。以履约担保函的形式交纳的，投标人应提交驻马店市政府采购专业信用担保机构出具的履约担保函。以现金、现金支票、银行汇票的形式交纳的，采购人在</w:t>
      </w:r>
      <w:r>
        <w:rPr>
          <w:rFonts w:hint="eastAsia" w:ascii="宋体" w:hAnsi="宋体" w:eastAsia="宋体" w:cs="宋体"/>
          <w:b w:val="0"/>
          <w:bCs/>
          <w:color w:val="auto"/>
          <w:sz w:val="24"/>
          <w:highlight w:val="none"/>
          <w:lang w:eastAsia="zh-CN"/>
        </w:rPr>
        <w:t>中标人</w:t>
      </w:r>
      <w:r>
        <w:rPr>
          <w:rFonts w:hint="eastAsia" w:ascii="宋体" w:hAnsi="宋体" w:eastAsia="宋体" w:cs="宋体"/>
          <w:b w:val="0"/>
          <w:bCs/>
          <w:color w:val="auto"/>
          <w:sz w:val="24"/>
          <w:highlight w:val="none"/>
        </w:rPr>
        <w:t>按合同约定交服务毕并验收合格后10个工作日内无息退还该款。</w:t>
      </w:r>
    </w:p>
    <w:p w14:paraId="7EF09901">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9.2履约保证金作为违约金的一部分及用于补偿甲方因乙方不能履行合同义务而蒙受的损失。</w:t>
      </w:r>
    </w:p>
    <w:p w14:paraId="3A81D1C0">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10.转包或分包</w:t>
      </w:r>
    </w:p>
    <w:p w14:paraId="2B2F5A6F">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10.1本合同范围的服务乙方不得以任何方式和形式进行转包和分包。</w:t>
      </w:r>
    </w:p>
    <w:p w14:paraId="09B09E06">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10.2乙方如有转包和分包的行为，甲方有权给予终止合同。</w:t>
      </w:r>
    </w:p>
    <w:p w14:paraId="712DF9FB">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11.质量保证</w:t>
      </w:r>
    </w:p>
    <w:p w14:paraId="223522D2">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乙方应提供优质服务，保证服务质量，且不能低于合同规定的范围和种类。</w:t>
      </w:r>
    </w:p>
    <w:p w14:paraId="40B6689D">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12.验收</w:t>
      </w:r>
    </w:p>
    <w:p w14:paraId="3E991B4E">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验收严格按照招标文件和投标文件规定的标准进行验收。</w:t>
      </w:r>
    </w:p>
    <w:p w14:paraId="20C0AD16">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13.甲方的权利和义务</w:t>
      </w:r>
    </w:p>
    <w:p w14:paraId="7BDDFB9F">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13.1甲方有权对合同规定范围内乙方的服务行为进行监督和检查，拥有监管权。有权定期核对乙方提供服务所配备的人员数量等。对乙方未按照合同履行的部分有权下达整改通知书，并要求乙方限期整改。</w:t>
      </w:r>
    </w:p>
    <w:p w14:paraId="2E38B33F">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13.2甲方有权依据双方签订的考评办法对乙方提供的服务进行定期考评。当考评结果未达到标准时，有权依据考评办法约定的数额扣除履约保证金。</w:t>
      </w:r>
    </w:p>
    <w:p w14:paraId="1FD8CA47">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13.3负责检查监督乙方管理工作的实施及制度的执行情况。</w:t>
      </w:r>
    </w:p>
    <w:p w14:paraId="12DEAEF0">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13.4国家法律、法规所规定由甲方承担的其它责任。</w:t>
      </w:r>
    </w:p>
    <w:p w14:paraId="24A76956">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14.乙方的权利和义务</w:t>
      </w:r>
    </w:p>
    <w:p w14:paraId="2B1250C9">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14.1对本合同规定的委托服务范围内的项目享有管理权及服务义务。</w:t>
      </w:r>
    </w:p>
    <w:p w14:paraId="7ED29403">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14.2对甲方下达整改通知书及时配合处理。</w:t>
      </w:r>
    </w:p>
    <w:p w14:paraId="14DA54F5">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14.3接受项目行业管理部门及政府有关部门的指导，接受甲方的监督。</w:t>
      </w:r>
    </w:p>
    <w:p w14:paraId="1FFA4ACC">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14.4国家法律、法规所规定由乙方承担的其它责任。</w:t>
      </w:r>
    </w:p>
    <w:p w14:paraId="62A008F5">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15. 违约责任</w:t>
      </w:r>
    </w:p>
    <w:p w14:paraId="67462D65">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15.1甲乙双方必须遵守本合同并执行合同中的各项规定，保证本合同的正常履行。</w:t>
      </w:r>
    </w:p>
    <w:p w14:paraId="35DB9CEF">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CE83503">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16.不可抗力事件处理</w:t>
      </w:r>
    </w:p>
    <w:p w14:paraId="629EE26B">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1724AFE4">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14:paraId="30BA6138">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17.合同纠纷处理</w:t>
      </w:r>
    </w:p>
    <w:p w14:paraId="021B4483">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因本合同或与本合同有关的一切事项发生争议，由双方友好协商解决。协商不成的，任何一方均可选择以下方式解决：</w:t>
      </w:r>
    </w:p>
    <w:p w14:paraId="6243640B">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17.1 向合同签订地人民法院提起诉讼。</w:t>
      </w:r>
    </w:p>
    <w:p w14:paraId="4402685C">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18.违约解除合同</w:t>
      </w:r>
    </w:p>
    <w:p w14:paraId="04D3B606">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18.1违反本合同第10条的规定的。</w:t>
      </w:r>
    </w:p>
    <w:p w14:paraId="2193897C">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18.2 乙方未能履行合同规定的其它主要义务的。</w:t>
      </w:r>
    </w:p>
    <w:p w14:paraId="18FA3E42">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18.3 在本合同履行过程中有腐败和欺诈行为的。</w:t>
      </w:r>
    </w:p>
    <w:p w14:paraId="704824A6">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19.其他约定</w:t>
      </w:r>
    </w:p>
    <w:p w14:paraId="6868FF4D">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19.1 本采购项目的招标文件、</w:t>
      </w:r>
      <w:r>
        <w:rPr>
          <w:rFonts w:hint="eastAsia" w:ascii="宋体" w:hAnsi="宋体" w:eastAsia="宋体" w:cs="宋体"/>
          <w:b w:val="0"/>
          <w:bCs/>
          <w:color w:val="auto"/>
          <w:sz w:val="24"/>
          <w:highlight w:val="none"/>
          <w:lang w:eastAsia="zh-CN"/>
        </w:rPr>
        <w:t>中标人</w:t>
      </w:r>
      <w:r>
        <w:rPr>
          <w:rFonts w:hint="eastAsia" w:ascii="宋体" w:hAnsi="宋体" w:eastAsia="宋体" w:cs="宋体"/>
          <w:b w:val="0"/>
          <w:bCs/>
          <w:color w:val="auto"/>
          <w:sz w:val="24"/>
          <w:highlight w:val="none"/>
        </w:rPr>
        <w:t>的投标文件以及相关的澄清确认函（如果有的话）均为本合同不可分割的一部分，与本合同具有同等法律效力。</w:t>
      </w:r>
    </w:p>
    <w:p w14:paraId="24918A79">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19.2 本合同未尽事宜，双方另行补充。</w:t>
      </w:r>
    </w:p>
    <w:p w14:paraId="6F17B1E6">
      <w:pPr>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19.3本合同正本一式</w:t>
      </w:r>
      <w:r>
        <w:rPr>
          <w:rFonts w:hint="eastAsia" w:ascii="宋体" w:hAnsi="宋体" w:eastAsia="宋体" w:cs="宋体"/>
          <w:b w:val="0"/>
          <w:bCs/>
          <w:color w:val="auto"/>
          <w:sz w:val="24"/>
          <w:highlight w:val="none"/>
          <w:u w:val="single"/>
        </w:rPr>
        <w:t xml:space="preserve"> </w:t>
      </w:r>
      <w:r>
        <w:rPr>
          <w:rFonts w:hint="eastAsia" w:ascii="宋体" w:hAnsi="宋体" w:cs="宋体"/>
          <w:b w:val="0"/>
          <w:bCs/>
          <w:color w:val="auto"/>
          <w:sz w:val="24"/>
          <w:highlight w:val="none"/>
          <w:u w:val="single"/>
          <w:lang w:val="en-US" w:eastAsia="zh-CN"/>
        </w:rPr>
        <w:t>4</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份，具有同等法律效力，甲、乙双方各执</w:t>
      </w:r>
      <w:r>
        <w:rPr>
          <w:rFonts w:hint="eastAsia" w:ascii="宋体" w:hAnsi="宋体" w:cs="宋体"/>
          <w:b w:val="0"/>
          <w:bCs/>
          <w:color w:val="auto"/>
          <w:sz w:val="24"/>
          <w:highlight w:val="none"/>
          <w:lang w:val="en-US" w:eastAsia="zh-CN"/>
        </w:rPr>
        <w:t>2</w:t>
      </w:r>
      <w:r>
        <w:rPr>
          <w:rFonts w:hint="eastAsia" w:ascii="宋体" w:hAnsi="宋体" w:eastAsia="宋体" w:cs="宋体"/>
          <w:b w:val="0"/>
          <w:bCs/>
          <w:color w:val="auto"/>
          <w:sz w:val="24"/>
          <w:highlight w:val="none"/>
        </w:rPr>
        <w:t>份。自采购合同签订之日起2个工作日内，甲方按照有关规定将合同副本报同级财政部门备案。</w:t>
      </w:r>
    </w:p>
    <w:p w14:paraId="5BF8AA74">
      <w:pPr>
        <w:widowControl/>
        <w:wordWrap w:val="0"/>
        <w:spacing w:line="460" w:lineRule="exact"/>
        <w:ind w:firstLine="480" w:firstLineChars="200"/>
        <w:jc w:val="left"/>
        <w:rPr>
          <w:rFonts w:hint="eastAsia" w:ascii="宋体" w:hAnsi="宋体" w:eastAsia="宋体" w:cs="宋体"/>
          <w:b w:val="0"/>
          <w:bCs/>
          <w:color w:val="auto"/>
          <w:kern w:val="0"/>
          <w:sz w:val="24"/>
          <w:highlight w:val="none"/>
        </w:rPr>
      </w:pPr>
      <w:r>
        <w:rPr>
          <w:rFonts w:hint="eastAsia" w:ascii="宋体" w:hAnsi="宋体" w:eastAsia="宋体" w:cs="宋体"/>
          <w:b w:val="0"/>
          <w:bCs/>
          <w:color w:val="auto"/>
          <w:kern w:val="0"/>
          <w:sz w:val="24"/>
          <w:highlight w:val="none"/>
        </w:rPr>
        <w:t>20.附件</w:t>
      </w:r>
    </w:p>
    <w:p w14:paraId="4B100C47">
      <w:pPr>
        <w:widowControl/>
        <w:wordWrap w:val="0"/>
        <w:spacing w:line="460" w:lineRule="exact"/>
        <w:ind w:firstLine="480" w:firstLineChars="200"/>
        <w:jc w:val="left"/>
        <w:rPr>
          <w:rFonts w:hint="eastAsia" w:ascii="宋体" w:hAnsi="宋体" w:eastAsia="宋体" w:cs="宋体"/>
          <w:b w:val="0"/>
          <w:bCs/>
          <w:color w:val="auto"/>
          <w:kern w:val="0"/>
          <w:sz w:val="24"/>
          <w:highlight w:val="none"/>
        </w:rPr>
      </w:pPr>
      <w:r>
        <w:rPr>
          <w:rFonts w:hint="eastAsia" w:ascii="宋体" w:hAnsi="宋体" w:eastAsia="宋体" w:cs="宋体"/>
          <w:b w:val="0"/>
          <w:bCs/>
          <w:color w:val="auto"/>
          <w:kern w:val="0"/>
          <w:sz w:val="24"/>
          <w:highlight w:val="none"/>
        </w:rPr>
        <w:t>甲    方：                            乙    方：</w:t>
      </w:r>
    </w:p>
    <w:p w14:paraId="2E3D6A9A">
      <w:pPr>
        <w:widowControl/>
        <w:wordWrap w:val="0"/>
        <w:spacing w:line="460" w:lineRule="exact"/>
        <w:ind w:firstLine="480" w:firstLineChars="200"/>
        <w:jc w:val="left"/>
        <w:rPr>
          <w:rFonts w:hint="eastAsia" w:ascii="宋体" w:hAnsi="宋体" w:eastAsia="宋体" w:cs="宋体"/>
          <w:b w:val="0"/>
          <w:bCs/>
          <w:color w:val="auto"/>
          <w:kern w:val="0"/>
          <w:sz w:val="24"/>
          <w:highlight w:val="none"/>
        </w:rPr>
      </w:pPr>
      <w:r>
        <w:rPr>
          <w:rFonts w:hint="eastAsia" w:ascii="宋体" w:hAnsi="宋体" w:eastAsia="宋体" w:cs="宋体"/>
          <w:b w:val="0"/>
          <w:bCs/>
          <w:color w:val="auto"/>
          <w:kern w:val="0"/>
          <w:sz w:val="24"/>
          <w:highlight w:val="none"/>
        </w:rPr>
        <w:t>单位地址：                            单位地址：</w:t>
      </w:r>
    </w:p>
    <w:p w14:paraId="293F1CE1">
      <w:pPr>
        <w:widowControl/>
        <w:wordWrap w:val="0"/>
        <w:spacing w:line="460" w:lineRule="exact"/>
        <w:ind w:firstLine="480" w:firstLineChars="200"/>
        <w:jc w:val="left"/>
        <w:rPr>
          <w:rFonts w:hint="eastAsia" w:ascii="宋体" w:hAnsi="宋体" w:eastAsia="宋体" w:cs="宋体"/>
          <w:b w:val="0"/>
          <w:bCs/>
          <w:color w:val="auto"/>
          <w:kern w:val="0"/>
          <w:sz w:val="24"/>
          <w:highlight w:val="none"/>
        </w:rPr>
      </w:pPr>
      <w:r>
        <w:rPr>
          <w:rFonts w:hint="eastAsia" w:ascii="宋体" w:hAnsi="宋体" w:eastAsia="宋体" w:cs="宋体"/>
          <w:b w:val="0"/>
          <w:bCs/>
          <w:color w:val="auto"/>
          <w:kern w:val="0"/>
          <w:sz w:val="24"/>
          <w:highlight w:val="none"/>
        </w:rPr>
        <w:t>法定代表人：                          法定代表人：</w:t>
      </w:r>
    </w:p>
    <w:p w14:paraId="03DB4D47">
      <w:pPr>
        <w:widowControl/>
        <w:wordWrap w:val="0"/>
        <w:spacing w:line="460" w:lineRule="exact"/>
        <w:ind w:firstLine="480" w:firstLineChars="200"/>
        <w:jc w:val="left"/>
        <w:rPr>
          <w:rFonts w:hint="eastAsia" w:ascii="宋体" w:hAnsi="宋体" w:eastAsia="宋体" w:cs="宋体"/>
          <w:b w:val="0"/>
          <w:bCs/>
          <w:color w:val="auto"/>
          <w:kern w:val="0"/>
          <w:sz w:val="24"/>
          <w:highlight w:val="none"/>
        </w:rPr>
      </w:pPr>
      <w:r>
        <w:rPr>
          <w:rFonts w:hint="eastAsia" w:ascii="宋体" w:hAnsi="宋体" w:eastAsia="宋体" w:cs="宋体"/>
          <w:b w:val="0"/>
          <w:bCs/>
          <w:color w:val="auto"/>
          <w:kern w:val="0"/>
          <w:sz w:val="24"/>
          <w:highlight w:val="none"/>
        </w:rPr>
        <w:t>委托代理人：                          委托代理人：</w:t>
      </w:r>
    </w:p>
    <w:p w14:paraId="6F6A63F6">
      <w:pPr>
        <w:widowControl/>
        <w:wordWrap w:val="0"/>
        <w:spacing w:line="460" w:lineRule="exact"/>
        <w:ind w:firstLine="480" w:firstLineChars="200"/>
        <w:jc w:val="left"/>
        <w:rPr>
          <w:rFonts w:hint="eastAsia" w:ascii="宋体" w:hAnsi="宋体" w:eastAsia="宋体" w:cs="宋体"/>
          <w:b w:val="0"/>
          <w:bCs/>
          <w:color w:val="auto"/>
          <w:kern w:val="0"/>
          <w:sz w:val="24"/>
          <w:highlight w:val="none"/>
        </w:rPr>
      </w:pPr>
      <w:r>
        <w:rPr>
          <w:rFonts w:hint="eastAsia" w:ascii="宋体" w:hAnsi="宋体" w:eastAsia="宋体" w:cs="宋体"/>
          <w:b w:val="0"/>
          <w:bCs/>
          <w:color w:val="auto"/>
          <w:kern w:val="0"/>
          <w:sz w:val="24"/>
          <w:highlight w:val="none"/>
        </w:rPr>
        <w:t>电    话：                            电    话：</w:t>
      </w:r>
    </w:p>
    <w:p w14:paraId="19C952BD">
      <w:pPr>
        <w:widowControl/>
        <w:wordWrap w:val="0"/>
        <w:snapToGrid w:val="0"/>
        <w:spacing w:line="460" w:lineRule="exact"/>
        <w:ind w:firstLine="480" w:firstLineChars="200"/>
        <w:jc w:val="left"/>
        <w:rPr>
          <w:rFonts w:hint="eastAsia" w:ascii="宋体" w:hAnsi="宋体" w:eastAsia="宋体" w:cs="宋体"/>
          <w:b w:val="0"/>
          <w:bCs/>
          <w:color w:val="auto"/>
          <w:kern w:val="0"/>
          <w:sz w:val="24"/>
          <w:highlight w:val="none"/>
        </w:rPr>
      </w:pPr>
      <w:r>
        <w:rPr>
          <w:rFonts w:hint="eastAsia" w:ascii="宋体" w:hAnsi="宋体" w:eastAsia="宋体" w:cs="宋体"/>
          <w:b w:val="0"/>
          <w:bCs/>
          <w:color w:val="auto"/>
          <w:kern w:val="0"/>
          <w:sz w:val="24"/>
          <w:highlight w:val="none"/>
        </w:rPr>
        <w:t xml:space="preserve">  </w:t>
      </w:r>
    </w:p>
    <w:p w14:paraId="537A0D71">
      <w:pPr>
        <w:widowControl/>
        <w:wordWrap w:val="0"/>
        <w:snapToGrid w:val="0"/>
        <w:spacing w:line="460" w:lineRule="exact"/>
        <w:ind w:firstLine="480" w:firstLineChars="200"/>
        <w:jc w:val="left"/>
        <w:rPr>
          <w:rFonts w:hint="eastAsia" w:ascii="宋体" w:hAnsi="宋体" w:eastAsia="宋体" w:cs="宋体"/>
          <w:b w:val="0"/>
          <w:bCs/>
          <w:color w:val="auto"/>
          <w:kern w:val="0"/>
          <w:sz w:val="24"/>
          <w:highlight w:val="none"/>
        </w:rPr>
      </w:pPr>
      <w:r>
        <w:rPr>
          <w:rFonts w:hint="eastAsia" w:ascii="宋体" w:hAnsi="宋体" w:eastAsia="宋体" w:cs="宋体"/>
          <w:b w:val="0"/>
          <w:bCs/>
          <w:color w:val="auto"/>
          <w:kern w:val="0"/>
          <w:sz w:val="24"/>
          <w:highlight w:val="none"/>
        </w:rPr>
        <w:t xml:space="preserve">                 签订日期： 年  月  日</w:t>
      </w:r>
    </w:p>
    <w:p w14:paraId="78D8ED12">
      <w:pPr>
        <w:widowControl/>
        <w:wordWrap w:val="0"/>
        <w:spacing w:line="460" w:lineRule="exact"/>
        <w:ind w:firstLine="2280" w:firstLineChars="950"/>
        <w:jc w:val="left"/>
        <w:rPr>
          <w:rFonts w:hint="eastAsia" w:ascii="宋体" w:hAnsi="宋体" w:eastAsia="宋体" w:cs="宋体"/>
          <w:color w:val="auto"/>
          <w:kern w:val="0"/>
          <w:sz w:val="24"/>
          <w:highlight w:val="none"/>
        </w:rPr>
      </w:pPr>
    </w:p>
    <w:p w14:paraId="4ED2E94B">
      <w:pPr>
        <w:rPr>
          <w:rFonts w:hint="eastAsia" w:ascii="宋体" w:hAnsi="宋体" w:eastAsia="宋体" w:cs="宋体"/>
          <w:bCs w:val="0"/>
          <w:snapToGrid w:val="0"/>
          <w:color w:val="auto"/>
          <w:highlight w:val="none"/>
          <w:lang w:bidi="ar"/>
        </w:rPr>
      </w:pPr>
      <w:r>
        <w:rPr>
          <w:rFonts w:hint="eastAsia" w:ascii="宋体" w:hAnsi="宋体" w:eastAsia="宋体" w:cs="宋体"/>
          <w:bCs w:val="0"/>
          <w:snapToGrid w:val="0"/>
          <w:color w:val="auto"/>
          <w:highlight w:val="none"/>
          <w:lang w:bidi="ar"/>
        </w:rPr>
        <w:br w:type="page"/>
      </w:r>
    </w:p>
    <w:p w14:paraId="3EC9165B">
      <w:pPr>
        <w:pStyle w:val="3"/>
        <w:jc w:val="center"/>
        <w:rPr>
          <w:rFonts w:hint="eastAsia" w:ascii="宋体" w:hAnsi="宋体" w:eastAsia="宋体" w:cs="宋体"/>
          <w:bCs w:val="0"/>
          <w:color w:val="auto"/>
          <w:highlight w:val="none"/>
        </w:rPr>
      </w:pPr>
      <w:r>
        <w:rPr>
          <w:rFonts w:hint="eastAsia" w:ascii="宋体" w:hAnsi="宋体" w:eastAsia="宋体" w:cs="宋体"/>
          <w:bCs w:val="0"/>
          <w:snapToGrid w:val="0"/>
          <w:color w:val="auto"/>
          <w:highlight w:val="none"/>
          <w:lang w:bidi="ar"/>
        </w:rPr>
        <w:t>第六章  投标文件格式</w:t>
      </w:r>
    </w:p>
    <w:p w14:paraId="5DFB4F87">
      <w:pPr>
        <w:wordWrap w:val="0"/>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snapToGrid w:val="0"/>
          <w:color w:val="auto"/>
          <w:sz w:val="28"/>
          <w:szCs w:val="28"/>
          <w:highlight w:val="none"/>
          <w:lang w:bidi="ar"/>
        </w:rPr>
        <w:t xml:space="preserve"> </w:t>
      </w:r>
    </w:p>
    <w:tbl>
      <w:tblPr>
        <w:tblStyle w:val="19"/>
        <w:tblW w:w="8389" w:type="dxa"/>
        <w:tblInd w:w="136" w:type="dxa"/>
        <w:tblLayout w:type="fixed"/>
        <w:tblCellMar>
          <w:top w:w="0" w:type="dxa"/>
          <w:left w:w="108" w:type="dxa"/>
          <w:bottom w:w="0" w:type="dxa"/>
          <w:right w:w="108" w:type="dxa"/>
        </w:tblCellMar>
      </w:tblPr>
      <w:tblGrid>
        <w:gridCol w:w="8389"/>
      </w:tblGrid>
      <w:tr w14:paraId="5FEC0AB9">
        <w:tblPrEx>
          <w:tblCellMar>
            <w:top w:w="0" w:type="dxa"/>
            <w:left w:w="108" w:type="dxa"/>
            <w:bottom w:w="0" w:type="dxa"/>
            <w:right w:w="108" w:type="dxa"/>
          </w:tblCellMar>
        </w:tblPrEx>
        <w:trPr>
          <w:trHeight w:val="195" w:hRule="atLeast"/>
        </w:trPr>
        <w:tc>
          <w:tcPr>
            <w:tcW w:w="8389" w:type="dxa"/>
            <w:tcBorders>
              <w:top w:val="single" w:color="auto" w:sz="4" w:space="0"/>
              <w:left w:val="single" w:color="auto" w:sz="4" w:space="0"/>
              <w:bottom w:val="single" w:color="auto" w:sz="4" w:space="0"/>
              <w:right w:val="single" w:color="auto" w:sz="4" w:space="0"/>
            </w:tcBorders>
            <w:noWrap w:val="0"/>
            <w:vAlign w:val="top"/>
          </w:tcPr>
          <w:p w14:paraId="6830C909">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snapToGrid w:val="0"/>
                <w:color w:val="auto"/>
                <w:sz w:val="28"/>
                <w:szCs w:val="28"/>
                <w:highlight w:val="none"/>
                <w:lang w:bidi="ar"/>
              </w:rPr>
              <w:t xml:space="preserve">注释： </w:t>
            </w:r>
          </w:p>
          <w:p w14:paraId="137DD5D2">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snapToGrid w:val="0"/>
                <w:color w:val="auto"/>
                <w:sz w:val="28"/>
                <w:szCs w:val="28"/>
                <w:highlight w:val="none"/>
                <w:lang w:bidi="ar"/>
              </w:rPr>
              <w:t>《投标文件格式》是投标人的部分投标文件格式和签订合同时所需文件的格式。投标人应按照这些格式文件制作投标文件。</w:t>
            </w:r>
          </w:p>
        </w:tc>
      </w:tr>
    </w:tbl>
    <w:p w14:paraId="1B3C0E37">
      <w:pPr>
        <w:wordWrap w:val="0"/>
        <w:adjustRightInd w:val="0"/>
        <w:snapToGrid w:val="0"/>
        <w:spacing w:line="360" w:lineRule="auto"/>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snapToGrid w:val="0"/>
          <w:color w:val="auto"/>
          <w:sz w:val="28"/>
          <w:szCs w:val="28"/>
          <w:highlight w:val="none"/>
          <w:lang w:bidi="ar"/>
        </w:rPr>
        <w:t xml:space="preserve"> </w:t>
      </w:r>
    </w:p>
    <w:p w14:paraId="1E58EF97">
      <w:pPr>
        <w:wordWrap w:val="0"/>
        <w:adjustRightInd w:val="0"/>
        <w:snapToGrid w:val="0"/>
        <w:spacing w:line="360" w:lineRule="auto"/>
        <w:ind w:firstLine="562" w:firstLineChars="200"/>
        <w:jc w:val="center"/>
        <w:rPr>
          <w:rFonts w:hint="eastAsia" w:ascii="宋体" w:hAnsi="宋体" w:eastAsia="宋体" w:cs="宋体"/>
          <w:color w:val="auto"/>
          <w:sz w:val="28"/>
          <w:szCs w:val="28"/>
          <w:highlight w:val="none"/>
        </w:rPr>
      </w:pPr>
      <w:r>
        <w:rPr>
          <w:rFonts w:hint="eastAsia" w:ascii="宋体" w:hAnsi="宋体" w:eastAsia="宋体" w:cs="宋体"/>
          <w:b/>
          <w:snapToGrid w:val="0"/>
          <w:color w:val="auto"/>
          <w:sz w:val="28"/>
          <w:szCs w:val="28"/>
          <w:highlight w:val="none"/>
          <w:lang w:bidi="ar"/>
        </w:rPr>
        <w:t>目    录</w:t>
      </w:r>
    </w:p>
    <w:p w14:paraId="44C3F586">
      <w:pPr>
        <w:wordWrap w:val="0"/>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snapToGrid w:val="0"/>
          <w:color w:val="auto"/>
          <w:sz w:val="28"/>
          <w:szCs w:val="28"/>
          <w:highlight w:val="none"/>
          <w:lang w:bidi="ar"/>
        </w:rPr>
        <w:t xml:space="preserve"> </w:t>
      </w:r>
    </w:p>
    <w:p w14:paraId="12434869">
      <w:pPr>
        <w:wordWrap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bidi="ar"/>
        </w:rPr>
        <w:t>附件1 投标文件封面（格式）</w:t>
      </w:r>
    </w:p>
    <w:p w14:paraId="511828AD">
      <w:pPr>
        <w:wordWrap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bidi="ar"/>
        </w:rPr>
        <w:t>附件2 投标书（格式）</w:t>
      </w:r>
    </w:p>
    <w:p w14:paraId="316D1FDA">
      <w:pPr>
        <w:wordWrap w:val="0"/>
        <w:adjustRightInd w:val="0"/>
        <w:snapToGrid w:val="0"/>
        <w:spacing w:line="360" w:lineRule="auto"/>
        <w:ind w:firstLine="480" w:firstLineChars="200"/>
        <w:rPr>
          <w:rFonts w:hint="eastAsia" w:ascii="宋体" w:hAnsi="宋体" w:eastAsia="宋体" w:cs="宋体"/>
          <w:snapToGrid w:val="0"/>
          <w:color w:val="auto"/>
          <w:sz w:val="24"/>
          <w:szCs w:val="24"/>
          <w:highlight w:val="none"/>
          <w:lang w:bidi="ar"/>
        </w:rPr>
      </w:pPr>
      <w:r>
        <w:rPr>
          <w:rFonts w:hint="eastAsia" w:ascii="宋体" w:hAnsi="宋体" w:eastAsia="宋体" w:cs="宋体"/>
          <w:snapToGrid w:val="0"/>
          <w:color w:val="auto"/>
          <w:sz w:val="24"/>
          <w:szCs w:val="24"/>
          <w:highlight w:val="none"/>
          <w:lang w:bidi="ar"/>
        </w:rPr>
        <w:t>附件3 开标一览表（格式）</w:t>
      </w:r>
    </w:p>
    <w:p w14:paraId="20B27F80">
      <w:pPr>
        <w:wordWrap w:val="0"/>
        <w:adjustRightInd w:val="0"/>
        <w:snapToGrid w:val="0"/>
        <w:spacing w:line="360" w:lineRule="auto"/>
        <w:ind w:firstLine="480" w:firstLineChars="200"/>
        <w:rPr>
          <w:rFonts w:hint="eastAsia" w:ascii="宋体" w:hAnsi="宋体" w:eastAsia="宋体" w:cs="宋体"/>
          <w:snapToGrid w:val="0"/>
          <w:color w:val="auto"/>
          <w:sz w:val="24"/>
          <w:szCs w:val="24"/>
          <w:highlight w:val="none"/>
          <w:lang w:bidi="ar"/>
        </w:rPr>
      </w:pPr>
      <w:r>
        <w:rPr>
          <w:rFonts w:hint="eastAsia" w:ascii="宋体" w:hAnsi="宋体" w:eastAsia="宋体" w:cs="宋体"/>
          <w:snapToGrid w:val="0"/>
          <w:color w:val="auto"/>
          <w:sz w:val="24"/>
          <w:szCs w:val="24"/>
          <w:highlight w:val="none"/>
          <w:lang w:bidi="ar"/>
        </w:rPr>
        <w:t>附件4 服务技术响应表（格式）</w:t>
      </w:r>
    </w:p>
    <w:p w14:paraId="6427D24D">
      <w:pPr>
        <w:wordWrap w:val="0"/>
        <w:adjustRightInd w:val="0"/>
        <w:snapToGrid w:val="0"/>
        <w:spacing w:line="360" w:lineRule="auto"/>
        <w:ind w:firstLine="480" w:firstLineChars="200"/>
        <w:rPr>
          <w:rFonts w:hint="eastAsia" w:ascii="宋体" w:hAnsi="宋体" w:eastAsia="宋体" w:cs="宋体"/>
          <w:snapToGrid w:val="0"/>
          <w:color w:val="auto"/>
          <w:sz w:val="24"/>
          <w:szCs w:val="24"/>
          <w:highlight w:val="none"/>
          <w:lang w:bidi="ar"/>
        </w:rPr>
      </w:pPr>
      <w:r>
        <w:rPr>
          <w:rFonts w:hint="eastAsia" w:ascii="宋体" w:hAnsi="宋体" w:eastAsia="宋体" w:cs="宋体"/>
          <w:snapToGrid w:val="0"/>
          <w:color w:val="auto"/>
          <w:sz w:val="24"/>
          <w:szCs w:val="24"/>
          <w:highlight w:val="none"/>
          <w:lang w:bidi="ar"/>
        </w:rPr>
        <w:t>附件5 商务响应表（格式）</w:t>
      </w:r>
    </w:p>
    <w:p w14:paraId="61F772F6">
      <w:pPr>
        <w:wordWrap w:val="0"/>
        <w:adjustRightInd w:val="0"/>
        <w:snapToGrid w:val="0"/>
        <w:spacing w:line="360" w:lineRule="auto"/>
        <w:ind w:firstLine="480" w:firstLineChars="200"/>
        <w:rPr>
          <w:rFonts w:hint="eastAsia" w:ascii="宋体" w:hAnsi="宋体" w:eastAsia="宋体" w:cs="宋体"/>
          <w:snapToGrid w:val="0"/>
          <w:color w:val="auto"/>
          <w:sz w:val="24"/>
          <w:szCs w:val="24"/>
          <w:highlight w:val="none"/>
          <w:lang w:bidi="ar"/>
        </w:rPr>
      </w:pPr>
      <w:r>
        <w:rPr>
          <w:rFonts w:hint="eastAsia" w:ascii="宋体" w:hAnsi="宋体" w:eastAsia="宋体" w:cs="宋体"/>
          <w:snapToGrid w:val="0"/>
          <w:color w:val="auto"/>
          <w:sz w:val="24"/>
          <w:szCs w:val="24"/>
          <w:highlight w:val="none"/>
          <w:lang w:bidi="ar"/>
        </w:rPr>
        <w:t>附件</w:t>
      </w:r>
      <w:r>
        <w:rPr>
          <w:rFonts w:hint="eastAsia" w:ascii="宋体" w:hAnsi="宋体" w:eastAsia="宋体" w:cs="宋体"/>
          <w:snapToGrid w:val="0"/>
          <w:color w:val="auto"/>
          <w:sz w:val="24"/>
          <w:szCs w:val="24"/>
          <w:highlight w:val="none"/>
          <w:lang w:val="en-US" w:eastAsia="zh-CN" w:bidi="ar"/>
        </w:rPr>
        <w:t>6</w:t>
      </w:r>
      <w:r>
        <w:rPr>
          <w:rFonts w:hint="eastAsia" w:ascii="宋体" w:hAnsi="宋体" w:eastAsia="宋体" w:cs="宋体"/>
          <w:snapToGrid w:val="0"/>
          <w:color w:val="auto"/>
          <w:sz w:val="24"/>
          <w:szCs w:val="24"/>
          <w:highlight w:val="none"/>
          <w:lang w:bidi="ar"/>
        </w:rPr>
        <w:t>法定代表人身份证明（格式）</w:t>
      </w:r>
    </w:p>
    <w:p w14:paraId="6B2B9DB3">
      <w:pPr>
        <w:wordWrap w:val="0"/>
        <w:adjustRightInd w:val="0"/>
        <w:snapToGrid w:val="0"/>
        <w:spacing w:line="360" w:lineRule="auto"/>
        <w:ind w:firstLine="480" w:firstLineChars="200"/>
        <w:rPr>
          <w:rFonts w:hint="eastAsia" w:ascii="宋体" w:hAnsi="宋体" w:eastAsia="宋体" w:cs="宋体"/>
          <w:snapToGrid w:val="0"/>
          <w:color w:val="auto"/>
          <w:sz w:val="24"/>
          <w:szCs w:val="24"/>
          <w:highlight w:val="none"/>
          <w:lang w:bidi="ar"/>
        </w:rPr>
      </w:pPr>
      <w:r>
        <w:rPr>
          <w:rFonts w:hint="eastAsia" w:ascii="宋体" w:hAnsi="宋体" w:eastAsia="宋体" w:cs="宋体"/>
          <w:snapToGrid w:val="0"/>
          <w:color w:val="auto"/>
          <w:sz w:val="24"/>
          <w:szCs w:val="24"/>
          <w:highlight w:val="none"/>
          <w:lang w:bidi="ar"/>
        </w:rPr>
        <w:t>附件</w:t>
      </w:r>
      <w:r>
        <w:rPr>
          <w:rFonts w:hint="eastAsia" w:ascii="宋体" w:hAnsi="宋体" w:eastAsia="宋体" w:cs="宋体"/>
          <w:snapToGrid w:val="0"/>
          <w:color w:val="auto"/>
          <w:sz w:val="24"/>
          <w:szCs w:val="24"/>
          <w:highlight w:val="none"/>
          <w:lang w:val="en-US" w:eastAsia="zh-CN" w:bidi="ar"/>
        </w:rPr>
        <w:t>7</w:t>
      </w:r>
      <w:r>
        <w:rPr>
          <w:rFonts w:hint="eastAsia" w:ascii="宋体" w:hAnsi="宋体" w:eastAsia="宋体" w:cs="宋体"/>
          <w:snapToGrid w:val="0"/>
          <w:color w:val="auto"/>
          <w:sz w:val="24"/>
          <w:szCs w:val="24"/>
          <w:highlight w:val="none"/>
          <w:lang w:bidi="ar"/>
        </w:rPr>
        <w:t xml:space="preserve"> 法定代表人授权书（格式）</w:t>
      </w:r>
    </w:p>
    <w:p w14:paraId="64D75E1A">
      <w:pPr>
        <w:wordWrap w:val="0"/>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snapToGrid w:val="0"/>
          <w:color w:val="auto"/>
          <w:sz w:val="24"/>
          <w:szCs w:val="24"/>
          <w:highlight w:val="none"/>
          <w:lang w:bidi="ar"/>
        </w:rPr>
        <w:t>附件</w:t>
      </w:r>
      <w:r>
        <w:rPr>
          <w:rFonts w:hint="eastAsia" w:ascii="宋体" w:hAnsi="宋体" w:eastAsia="宋体" w:cs="宋体"/>
          <w:snapToGrid w:val="0"/>
          <w:color w:val="auto"/>
          <w:sz w:val="24"/>
          <w:szCs w:val="24"/>
          <w:highlight w:val="none"/>
          <w:lang w:val="en-US" w:eastAsia="zh-CN" w:bidi="ar"/>
        </w:rPr>
        <w:t>8</w:t>
      </w:r>
      <w:r>
        <w:rPr>
          <w:rFonts w:hint="eastAsia" w:ascii="宋体" w:hAnsi="宋体" w:eastAsia="宋体" w:cs="宋体"/>
          <w:snapToGrid w:val="0"/>
          <w:color w:val="auto"/>
          <w:sz w:val="24"/>
          <w:szCs w:val="24"/>
          <w:highlight w:val="none"/>
          <w:lang w:bidi="ar"/>
        </w:rPr>
        <w:t xml:space="preserve"> 技术（服务）方案（格式自拟）</w:t>
      </w:r>
    </w:p>
    <w:p w14:paraId="24EDF2EB">
      <w:pPr>
        <w:wordWrap w:val="0"/>
        <w:adjustRightInd w:val="0"/>
        <w:snapToGrid w:val="0"/>
        <w:spacing w:line="360" w:lineRule="auto"/>
        <w:ind w:firstLine="480" w:firstLineChars="200"/>
        <w:rPr>
          <w:rFonts w:hint="eastAsia" w:ascii="宋体" w:hAnsi="宋体" w:eastAsia="宋体" w:cs="宋体"/>
          <w:snapToGrid w:val="0"/>
          <w:color w:val="auto"/>
          <w:sz w:val="24"/>
          <w:szCs w:val="24"/>
          <w:highlight w:val="none"/>
          <w:lang w:bidi="ar"/>
        </w:rPr>
      </w:pPr>
      <w:r>
        <w:rPr>
          <w:rFonts w:hint="eastAsia" w:ascii="宋体" w:hAnsi="宋体" w:eastAsia="宋体" w:cs="宋体"/>
          <w:snapToGrid w:val="0"/>
          <w:color w:val="auto"/>
          <w:sz w:val="24"/>
          <w:szCs w:val="24"/>
          <w:highlight w:val="none"/>
          <w:lang w:bidi="ar"/>
        </w:rPr>
        <w:t xml:space="preserve">附件9 证明文件 </w:t>
      </w:r>
    </w:p>
    <w:p w14:paraId="64655F3E">
      <w:pPr>
        <w:wordWrap w:val="0"/>
        <w:adjustRightInd w:val="0"/>
        <w:snapToGrid w:val="0"/>
        <w:spacing w:line="360" w:lineRule="auto"/>
        <w:ind w:firstLine="480" w:firstLineChars="200"/>
        <w:rPr>
          <w:rFonts w:hint="eastAsia" w:ascii="宋体" w:hAnsi="宋体" w:eastAsia="宋体" w:cs="宋体"/>
          <w:snapToGrid w:val="0"/>
          <w:color w:val="auto"/>
          <w:sz w:val="24"/>
          <w:szCs w:val="24"/>
          <w:highlight w:val="none"/>
          <w:lang w:bidi="ar"/>
        </w:rPr>
      </w:pPr>
      <w:r>
        <w:rPr>
          <w:rFonts w:hint="eastAsia" w:ascii="宋体" w:hAnsi="宋体" w:eastAsia="宋体" w:cs="宋体"/>
          <w:snapToGrid w:val="0"/>
          <w:color w:val="auto"/>
          <w:sz w:val="24"/>
          <w:szCs w:val="24"/>
          <w:highlight w:val="none"/>
          <w:lang w:bidi="ar"/>
        </w:rPr>
        <w:t>附件10 中小企业声明函（服务）</w:t>
      </w:r>
    </w:p>
    <w:p w14:paraId="0AB06749">
      <w:pPr>
        <w:wordWrap w:val="0"/>
        <w:adjustRightInd w:val="0"/>
        <w:snapToGrid w:val="0"/>
        <w:spacing w:line="360" w:lineRule="auto"/>
        <w:ind w:firstLine="480" w:firstLineChars="200"/>
        <w:rPr>
          <w:rFonts w:hint="eastAsia" w:ascii="宋体" w:hAnsi="宋体" w:eastAsia="宋体" w:cs="宋体"/>
          <w:snapToGrid w:val="0"/>
          <w:color w:val="auto"/>
          <w:sz w:val="24"/>
          <w:szCs w:val="24"/>
          <w:highlight w:val="none"/>
          <w:lang w:bidi="ar"/>
        </w:rPr>
      </w:pPr>
      <w:r>
        <w:rPr>
          <w:rFonts w:hint="eastAsia" w:ascii="宋体" w:hAnsi="宋体" w:eastAsia="宋体" w:cs="宋体"/>
          <w:snapToGrid w:val="0"/>
          <w:color w:val="auto"/>
          <w:sz w:val="24"/>
          <w:szCs w:val="24"/>
          <w:highlight w:val="none"/>
          <w:lang w:bidi="ar"/>
        </w:rPr>
        <w:t>附件11 残疾人福利性单位声明函（格式）</w:t>
      </w:r>
    </w:p>
    <w:p w14:paraId="7953D0C9">
      <w:pPr>
        <w:wordWrap w:val="0"/>
        <w:adjustRightInd w:val="0"/>
        <w:snapToGrid w:val="0"/>
        <w:spacing w:line="360" w:lineRule="auto"/>
        <w:ind w:firstLine="480" w:firstLineChars="200"/>
        <w:rPr>
          <w:rFonts w:hint="eastAsia" w:ascii="宋体" w:hAnsi="宋体" w:eastAsia="宋体" w:cs="宋体"/>
          <w:snapToGrid w:val="0"/>
          <w:color w:val="auto"/>
          <w:sz w:val="24"/>
          <w:szCs w:val="24"/>
          <w:highlight w:val="none"/>
          <w:lang w:bidi="ar"/>
        </w:rPr>
      </w:pPr>
      <w:r>
        <w:rPr>
          <w:rFonts w:hint="eastAsia" w:ascii="宋体" w:hAnsi="宋体" w:eastAsia="宋体" w:cs="宋体"/>
          <w:snapToGrid w:val="0"/>
          <w:color w:val="auto"/>
          <w:sz w:val="24"/>
          <w:szCs w:val="24"/>
          <w:highlight w:val="none"/>
          <w:lang w:bidi="ar"/>
        </w:rPr>
        <w:t>附件12投标人自觉抵制政府采购领域商业贿赂行为承诺书（格式）</w:t>
      </w:r>
    </w:p>
    <w:p w14:paraId="79342D7B">
      <w:pPr>
        <w:pStyle w:val="17"/>
        <w:ind w:left="0" w:leftChars="0" w:firstLine="0" w:firstLineChars="0"/>
        <w:rPr>
          <w:rFonts w:hint="eastAsia" w:ascii="宋体" w:hAnsi="宋体" w:eastAsia="宋体" w:cs="宋体"/>
          <w:b/>
          <w:snapToGrid w:val="0"/>
          <w:color w:val="auto"/>
          <w:sz w:val="28"/>
          <w:szCs w:val="28"/>
          <w:highlight w:val="none"/>
          <w:lang w:bidi="ar"/>
        </w:rPr>
      </w:pPr>
      <w:bookmarkStart w:id="106" w:name="_Toc18647"/>
      <w:bookmarkStart w:id="107" w:name="_Toc32238"/>
      <w:bookmarkStart w:id="108" w:name="_Toc30151"/>
      <w:bookmarkStart w:id="109" w:name="_Toc15465"/>
      <w:bookmarkStart w:id="110" w:name="_Toc7116"/>
      <w:r>
        <w:rPr>
          <w:rFonts w:hint="eastAsia" w:ascii="宋体" w:hAnsi="宋体" w:eastAsia="宋体" w:cs="宋体"/>
          <w:b/>
          <w:snapToGrid w:val="0"/>
          <w:color w:val="auto"/>
          <w:sz w:val="24"/>
          <w:highlight w:val="none"/>
          <w:lang w:bidi="ar"/>
        </w:rPr>
        <w:br w:type="page"/>
      </w:r>
      <w:r>
        <w:rPr>
          <w:rFonts w:hint="eastAsia" w:ascii="宋体" w:hAnsi="宋体" w:eastAsia="宋体" w:cs="宋体"/>
          <w:b/>
          <w:snapToGrid w:val="0"/>
          <w:color w:val="auto"/>
          <w:sz w:val="28"/>
          <w:szCs w:val="28"/>
          <w:highlight w:val="none"/>
          <w:lang w:bidi="ar"/>
        </w:rPr>
        <w:t xml:space="preserve">附件1              </w:t>
      </w:r>
    </w:p>
    <w:p w14:paraId="78F46472">
      <w:pPr>
        <w:wordWrap w:val="0"/>
        <w:adjustRightInd w:val="0"/>
        <w:snapToGrid w:val="0"/>
        <w:spacing w:line="360" w:lineRule="auto"/>
        <w:jc w:val="center"/>
        <w:rPr>
          <w:rFonts w:hint="eastAsia" w:ascii="宋体" w:hAnsi="宋体" w:eastAsia="宋体" w:cs="宋体"/>
          <w:b/>
          <w:snapToGrid w:val="0"/>
          <w:color w:val="auto"/>
          <w:sz w:val="28"/>
          <w:szCs w:val="28"/>
          <w:highlight w:val="none"/>
          <w:lang w:bidi="ar"/>
        </w:rPr>
      </w:pPr>
      <w:r>
        <w:rPr>
          <w:rFonts w:hint="eastAsia" w:ascii="宋体" w:hAnsi="宋体" w:eastAsia="宋体" w:cs="宋体"/>
          <w:b/>
          <w:snapToGrid w:val="0"/>
          <w:color w:val="auto"/>
          <w:sz w:val="28"/>
          <w:szCs w:val="28"/>
          <w:highlight w:val="none"/>
          <w:lang w:bidi="ar"/>
        </w:rPr>
        <w:t>投标文件封面</w:t>
      </w:r>
      <w:r>
        <w:rPr>
          <w:rFonts w:hint="eastAsia" w:ascii="宋体" w:hAnsi="宋体" w:eastAsia="宋体" w:cs="宋体"/>
          <w:bCs/>
          <w:snapToGrid w:val="0"/>
          <w:color w:val="auto"/>
          <w:sz w:val="28"/>
          <w:szCs w:val="28"/>
          <w:highlight w:val="none"/>
          <w:lang w:bidi="ar"/>
        </w:rPr>
        <w:t>（格式）</w:t>
      </w:r>
      <w:bookmarkEnd w:id="106"/>
      <w:bookmarkEnd w:id="107"/>
      <w:bookmarkEnd w:id="108"/>
      <w:bookmarkEnd w:id="109"/>
      <w:bookmarkEnd w:id="110"/>
    </w:p>
    <w:p w14:paraId="0345A9D8">
      <w:pPr>
        <w:wordWrap w:val="0"/>
        <w:adjustRightInd w:val="0"/>
        <w:snapToGrid w:val="0"/>
        <w:spacing w:line="360" w:lineRule="auto"/>
        <w:ind w:firstLine="482" w:firstLineChars="200"/>
        <w:jc w:val="center"/>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 xml:space="preserve"> </w:t>
      </w:r>
    </w:p>
    <w:p w14:paraId="12E5A905">
      <w:pPr>
        <w:pStyle w:val="17"/>
        <w:ind w:left="0" w:leftChars="0" w:firstLine="0" w:firstLineChars="0"/>
        <w:rPr>
          <w:rFonts w:hint="eastAsia" w:ascii="宋体" w:hAnsi="宋体" w:eastAsia="宋体" w:cs="宋体"/>
          <w:color w:val="auto"/>
          <w:highlight w:val="none"/>
          <w:lang w:bidi="ar"/>
        </w:rPr>
      </w:pPr>
    </w:p>
    <w:p w14:paraId="24C563C5">
      <w:pPr>
        <w:pStyle w:val="17"/>
        <w:ind w:left="0" w:leftChars="0" w:firstLine="0" w:firstLineChars="0"/>
        <w:rPr>
          <w:rFonts w:hint="eastAsia" w:ascii="宋体" w:hAnsi="宋体" w:eastAsia="宋体" w:cs="宋体"/>
          <w:color w:val="auto"/>
          <w:highlight w:val="none"/>
          <w:lang w:bidi="ar"/>
        </w:rPr>
      </w:pPr>
    </w:p>
    <w:p w14:paraId="3AF21932">
      <w:pPr>
        <w:pStyle w:val="17"/>
        <w:ind w:left="0" w:leftChars="0" w:firstLine="0" w:firstLineChars="0"/>
        <w:rPr>
          <w:rFonts w:hint="eastAsia" w:ascii="宋体" w:hAnsi="宋体" w:eastAsia="宋体" w:cs="宋体"/>
          <w:color w:val="auto"/>
          <w:highlight w:val="none"/>
          <w:lang w:bidi="ar"/>
        </w:rPr>
      </w:pPr>
    </w:p>
    <w:p w14:paraId="73DCD2A7">
      <w:pPr>
        <w:wordWrap w:val="0"/>
        <w:adjustRightInd w:val="0"/>
        <w:snapToGrid w:val="0"/>
        <w:spacing w:line="360" w:lineRule="auto"/>
        <w:ind w:firstLine="723" w:firstLineChars="200"/>
        <w:jc w:val="center"/>
        <w:rPr>
          <w:rFonts w:hint="eastAsia" w:ascii="宋体" w:hAnsi="宋体" w:eastAsia="宋体" w:cs="宋体"/>
          <w:b/>
          <w:snapToGrid w:val="0"/>
          <w:color w:val="auto"/>
          <w:sz w:val="36"/>
          <w:szCs w:val="36"/>
          <w:highlight w:val="none"/>
          <w:lang w:bidi="ar"/>
        </w:rPr>
      </w:pPr>
    </w:p>
    <w:p w14:paraId="1D8A7792">
      <w:pPr>
        <w:wordWrap w:val="0"/>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b/>
          <w:snapToGrid w:val="0"/>
          <w:color w:val="auto"/>
          <w:sz w:val="36"/>
          <w:szCs w:val="36"/>
          <w:highlight w:val="none"/>
          <w:lang w:bidi="ar"/>
        </w:rPr>
        <w:t>政府采购项目</w:t>
      </w:r>
    </w:p>
    <w:p w14:paraId="75705EA4">
      <w:pPr>
        <w:wordWrap w:val="0"/>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b/>
          <w:snapToGrid w:val="0"/>
          <w:color w:val="auto"/>
          <w:sz w:val="36"/>
          <w:szCs w:val="36"/>
          <w:highlight w:val="none"/>
          <w:lang w:bidi="ar"/>
        </w:rPr>
        <w:t>投  标  文  件</w:t>
      </w:r>
    </w:p>
    <w:p w14:paraId="22738DE6">
      <w:pPr>
        <w:wordWrap w:val="0"/>
        <w:adjustRightInd w:val="0"/>
        <w:snapToGrid w:val="0"/>
        <w:spacing w:line="360" w:lineRule="auto"/>
        <w:ind w:firstLine="482" w:firstLineChars="200"/>
        <w:jc w:val="center"/>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 xml:space="preserve"> </w:t>
      </w:r>
    </w:p>
    <w:p w14:paraId="68D03D49">
      <w:pPr>
        <w:wordWrap w:val="0"/>
        <w:adjustRightInd w:val="0"/>
        <w:snapToGrid w:val="0"/>
        <w:spacing w:line="360" w:lineRule="auto"/>
        <w:ind w:firstLine="482" w:firstLineChars="200"/>
        <w:jc w:val="center"/>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 xml:space="preserve"> </w:t>
      </w:r>
    </w:p>
    <w:p w14:paraId="1D34F3D1">
      <w:pPr>
        <w:wordWrap w:val="0"/>
        <w:adjustRightInd w:val="0"/>
        <w:snapToGrid w:val="0"/>
        <w:spacing w:line="360" w:lineRule="auto"/>
        <w:ind w:firstLine="482" w:firstLineChars="200"/>
        <w:jc w:val="center"/>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 xml:space="preserve"> </w:t>
      </w:r>
    </w:p>
    <w:p w14:paraId="4E477298">
      <w:pPr>
        <w:wordWrap w:val="0"/>
        <w:adjustRightInd w:val="0"/>
        <w:snapToGrid w:val="0"/>
        <w:spacing w:line="360" w:lineRule="auto"/>
        <w:rPr>
          <w:rFonts w:hint="eastAsia" w:ascii="宋体" w:hAnsi="宋体" w:eastAsia="宋体" w:cs="宋体"/>
          <w:color w:val="auto"/>
          <w:sz w:val="24"/>
          <w:highlight w:val="none"/>
        </w:rPr>
      </w:pPr>
    </w:p>
    <w:p w14:paraId="0A9713F3">
      <w:pPr>
        <w:wordWrap w:val="0"/>
        <w:adjustRightInd w:val="0"/>
        <w:snapToGrid w:val="0"/>
        <w:spacing w:line="360" w:lineRule="auto"/>
        <w:ind w:firstLine="482" w:firstLineChars="200"/>
        <w:jc w:val="center"/>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 xml:space="preserve"> </w:t>
      </w:r>
    </w:p>
    <w:p w14:paraId="1333C79D">
      <w:pPr>
        <w:wordWrap w:val="0"/>
        <w:adjustRightInd w:val="0"/>
        <w:snapToGrid w:val="0"/>
        <w:spacing w:line="360" w:lineRule="auto"/>
        <w:ind w:firstLine="482" w:firstLineChars="200"/>
        <w:jc w:val="center"/>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 xml:space="preserve"> </w:t>
      </w:r>
    </w:p>
    <w:p w14:paraId="21A32AC2">
      <w:pPr>
        <w:wordWrap w:val="0"/>
        <w:adjustRightInd w:val="0"/>
        <w:snapToGrid w:val="0"/>
        <w:spacing w:line="360" w:lineRule="auto"/>
        <w:ind w:firstLine="1190" w:firstLineChars="494"/>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项 目 名 称：</w:t>
      </w:r>
      <w:r>
        <w:rPr>
          <w:rFonts w:hint="eastAsia" w:ascii="宋体" w:hAnsi="宋体" w:eastAsia="宋体" w:cs="宋体"/>
          <w:b/>
          <w:snapToGrid w:val="0"/>
          <w:color w:val="auto"/>
          <w:sz w:val="24"/>
          <w:highlight w:val="none"/>
          <w:u w:val="single"/>
          <w:lang w:bidi="ar"/>
        </w:rPr>
        <w:t xml:space="preserve">                               </w:t>
      </w:r>
    </w:p>
    <w:p w14:paraId="1D97619F">
      <w:pPr>
        <w:wordWrap w:val="0"/>
        <w:adjustRightInd w:val="0"/>
        <w:snapToGrid w:val="0"/>
        <w:spacing w:line="360" w:lineRule="auto"/>
        <w:ind w:firstLine="1190" w:firstLineChars="494"/>
        <w:rPr>
          <w:rFonts w:hint="eastAsia" w:ascii="宋体" w:hAnsi="宋体" w:eastAsia="宋体" w:cs="宋体"/>
          <w:b/>
          <w:snapToGrid w:val="0"/>
          <w:color w:val="auto"/>
          <w:sz w:val="24"/>
          <w:highlight w:val="none"/>
          <w:lang w:bidi="ar"/>
        </w:rPr>
      </w:pPr>
      <w:r>
        <w:rPr>
          <w:rFonts w:hint="eastAsia" w:ascii="宋体" w:hAnsi="宋体" w:eastAsia="宋体" w:cs="宋体"/>
          <w:b/>
          <w:snapToGrid w:val="0"/>
          <w:color w:val="auto"/>
          <w:sz w:val="24"/>
          <w:highlight w:val="none"/>
          <w:lang w:bidi="ar"/>
        </w:rPr>
        <w:t>项 目 编 号：</w:t>
      </w:r>
      <w:r>
        <w:rPr>
          <w:rFonts w:hint="eastAsia" w:ascii="宋体" w:hAnsi="宋体" w:eastAsia="宋体" w:cs="宋体"/>
          <w:b/>
          <w:snapToGrid w:val="0"/>
          <w:color w:val="auto"/>
          <w:sz w:val="24"/>
          <w:highlight w:val="none"/>
          <w:u w:val="single"/>
          <w:lang w:bidi="ar"/>
        </w:rPr>
        <w:t xml:space="preserve">                            </w:t>
      </w:r>
      <w:r>
        <w:rPr>
          <w:rFonts w:hint="eastAsia" w:ascii="宋体" w:hAnsi="宋体" w:eastAsia="宋体" w:cs="宋体"/>
          <w:b/>
          <w:snapToGrid w:val="0"/>
          <w:color w:val="auto"/>
          <w:sz w:val="24"/>
          <w:highlight w:val="none"/>
          <w:u w:val="single"/>
          <w:lang w:val="en-US" w:eastAsia="zh-CN" w:bidi="ar"/>
        </w:rPr>
        <w:t xml:space="preserve">  </w:t>
      </w:r>
      <w:r>
        <w:rPr>
          <w:rFonts w:hint="eastAsia" w:ascii="宋体" w:hAnsi="宋体" w:eastAsia="宋体" w:cs="宋体"/>
          <w:b/>
          <w:snapToGrid w:val="0"/>
          <w:color w:val="auto"/>
          <w:sz w:val="24"/>
          <w:highlight w:val="none"/>
          <w:u w:val="single"/>
          <w:lang w:bidi="ar"/>
        </w:rPr>
        <w:t xml:space="preserve"> </w:t>
      </w:r>
    </w:p>
    <w:p w14:paraId="03668CB3">
      <w:pPr>
        <w:wordWrap w:val="0"/>
        <w:adjustRightInd w:val="0"/>
        <w:snapToGrid w:val="0"/>
        <w:spacing w:line="360" w:lineRule="auto"/>
        <w:ind w:firstLine="723" w:firstLineChars="300"/>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 xml:space="preserve">    投标人名称 ：</w:t>
      </w:r>
      <w:r>
        <w:rPr>
          <w:rFonts w:hint="eastAsia" w:ascii="宋体" w:hAnsi="宋体" w:eastAsia="宋体" w:cs="宋体"/>
          <w:b/>
          <w:snapToGrid w:val="0"/>
          <w:color w:val="auto"/>
          <w:sz w:val="24"/>
          <w:highlight w:val="none"/>
          <w:u w:val="single"/>
          <w:lang w:bidi="ar"/>
        </w:rPr>
        <w:t xml:space="preserve">       （全称并加盖公章）   </w:t>
      </w:r>
      <w:r>
        <w:rPr>
          <w:rFonts w:hint="eastAsia" w:ascii="宋体" w:hAnsi="宋体" w:eastAsia="宋体" w:cs="宋体"/>
          <w:b/>
          <w:snapToGrid w:val="0"/>
          <w:color w:val="auto"/>
          <w:sz w:val="24"/>
          <w:highlight w:val="none"/>
          <w:u w:val="single"/>
          <w:lang w:val="en-US" w:eastAsia="zh-CN" w:bidi="ar"/>
        </w:rPr>
        <w:t xml:space="preserve"> </w:t>
      </w:r>
      <w:r>
        <w:rPr>
          <w:rFonts w:hint="eastAsia" w:ascii="宋体" w:hAnsi="宋体" w:eastAsia="宋体" w:cs="宋体"/>
          <w:b/>
          <w:snapToGrid w:val="0"/>
          <w:color w:val="auto"/>
          <w:sz w:val="24"/>
          <w:highlight w:val="none"/>
          <w:u w:val="single"/>
          <w:lang w:bidi="ar"/>
        </w:rPr>
        <w:t xml:space="preserve">  </w:t>
      </w:r>
    </w:p>
    <w:p w14:paraId="660AE282">
      <w:pPr>
        <w:wordWrap w:val="0"/>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 xml:space="preserve">      日      期 ：</w:t>
      </w:r>
      <w:r>
        <w:rPr>
          <w:rFonts w:hint="eastAsia" w:ascii="宋体" w:hAnsi="宋体" w:eastAsia="宋体" w:cs="宋体"/>
          <w:b/>
          <w:snapToGrid w:val="0"/>
          <w:color w:val="auto"/>
          <w:sz w:val="24"/>
          <w:highlight w:val="none"/>
          <w:u w:val="single"/>
          <w:lang w:bidi="ar"/>
        </w:rPr>
        <w:t xml:space="preserve">                               </w:t>
      </w:r>
    </w:p>
    <w:p w14:paraId="126F696E">
      <w:pPr>
        <w:wordWrap w:val="0"/>
        <w:adjustRightInd w:val="0"/>
        <w:snapToGrid w:val="0"/>
        <w:spacing w:line="360" w:lineRule="auto"/>
        <w:ind w:firstLine="482" w:firstLineChars="200"/>
        <w:rPr>
          <w:rFonts w:hint="eastAsia" w:ascii="宋体" w:hAnsi="宋体" w:eastAsia="宋体" w:cs="宋体"/>
          <w:b/>
          <w:snapToGrid w:val="0"/>
          <w:color w:val="auto"/>
          <w:sz w:val="28"/>
          <w:szCs w:val="28"/>
          <w:highlight w:val="none"/>
          <w:lang w:bidi="ar"/>
        </w:rPr>
      </w:pPr>
      <w:bookmarkStart w:id="111" w:name="_Toc21322"/>
      <w:bookmarkStart w:id="112" w:name="_Toc30575"/>
      <w:bookmarkStart w:id="113" w:name="_Toc13653"/>
      <w:bookmarkStart w:id="114" w:name="_Toc25094"/>
      <w:bookmarkStart w:id="115" w:name="_Toc4817"/>
      <w:r>
        <w:rPr>
          <w:rFonts w:hint="eastAsia" w:ascii="宋体" w:hAnsi="宋体" w:eastAsia="宋体" w:cs="宋体"/>
          <w:b/>
          <w:snapToGrid w:val="0"/>
          <w:color w:val="auto"/>
          <w:sz w:val="24"/>
          <w:highlight w:val="none"/>
          <w:lang w:bidi="ar"/>
        </w:rPr>
        <w:br w:type="page"/>
      </w:r>
      <w:r>
        <w:rPr>
          <w:rFonts w:hint="eastAsia" w:ascii="宋体" w:hAnsi="宋体" w:eastAsia="宋体" w:cs="宋体"/>
          <w:b/>
          <w:snapToGrid w:val="0"/>
          <w:color w:val="auto"/>
          <w:sz w:val="28"/>
          <w:szCs w:val="28"/>
          <w:highlight w:val="none"/>
          <w:lang w:bidi="ar"/>
        </w:rPr>
        <w:t>附件2               投标书</w:t>
      </w:r>
      <w:r>
        <w:rPr>
          <w:rFonts w:hint="eastAsia" w:ascii="宋体" w:hAnsi="宋体" w:eastAsia="宋体" w:cs="宋体"/>
          <w:bCs/>
          <w:snapToGrid w:val="0"/>
          <w:color w:val="auto"/>
          <w:sz w:val="28"/>
          <w:szCs w:val="28"/>
          <w:highlight w:val="none"/>
          <w:lang w:bidi="ar"/>
        </w:rPr>
        <w:t>（格式）</w:t>
      </w:r>
      <w:bookmarkEnd w:id="111"/>
      <w:bookmarkEnd w:id="112"/>
      <w:bookmarkEnd w:id="113"/>
      <w:bookmarkEnd w:id="114"/>
      <w:bookmarkEnd w:id="115"/>
    </w:p>
    <w:p w14:paraId="14B8916D">
      <w:pPr>
        <w:wordWrap w:val="0"/>
        <w:adjustRightInd w:val="0"/>
        <w:snapToGrid w:val="0"/>
        <w:spacing w:line="360" w:lineRule="auto"/>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 xml:space="preserve"> </w:t>
      </w:r>
    </w:p>
    <w:p w14:paraId="0B723499">
      <w:pPr>
        <w:wordWrap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致：</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（采购人名称）</w:t>
      </w:r>
    </w:p>
    <w:p w14:paraId="3D79AC55">
      <w:pPr>
        <w:wordWrap w:val="0"/>
        <w:adjustRightInd w:val="0"/>
        <w:snapToGrid w:val="0"/>
        <w:spacing w:line="360" w:lineRule="auto"/>
        <w:ind w:firstLine="600" w:firstLineChars="25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（投标人名称）现委托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（姓名）为我方代理人，参加贵方组织的</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项目（项目编号：</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u w:val="single"/>
          <w:lang w:val="en-US" w:eastAsia="zh-CN" w:bidi="ar"/>
        </w:rPr>
        <w:t xml:space="preserve">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）的投标。</w:t>
      </w:r>
    </w:p>
    <w:p w14:paraId="6D3F9C0E">
      <w:pPr>
        <w:wordWrap w:val="0"/>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现正式提交下述文件1份：</w:t>
      </w:r>
    </w:p>
    <w:p w14:paraId="50B11983">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1.开标一览表（格式）</w:t>
      </w:r>
    </w:p>
    <w:p w14:paraId="46B3AAA1">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2.服务技术响应表（格式）</w:t>
      </w:r>
    </w:p>
    <w:p w14:paraId="64CEEE72">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3.商务响应表（格式）</w:t>
      </w:r>
    </w:p>
    <w:p w14:paraId="336DC5B5">
      <w:pPr>
        <w:wordWrap w:val="0"/>
        <w:adjustRightInd w:val="0"/>
        <w:snapToGrid w:val="0"/>
        <w:spacing w:line="360" w:lineRule="auto"/>
        <w:ind w:left="482"/>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4.技术（服务）方案（格式自拟）</w:t>
      </w:r>
    </w:p>
    <w:p w14:paraId="256E920F">
      <w:pPr>
        <w:wordWrap w:val="0"/>
        <w:adjustRightInd w:val="0"/>
        <w:snapToGrid w:val="0"/>
        <w:spacing w:line="360" w:lineRule="auto"/>
        <w:ind w:left="482"/>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5.法定代表人身份证明（格式）</w:t>
      </w:r>
    </w:p>
    <w:p w14:paraId="62C863B3">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6.法定代表人授权书（格式）</w:t>
      </w:r>
    </w:p>
    <w:p w14:paraId="009F1A0E">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 xml:space="preserve">7.证明文件 </w:t>
      </w:r>
    </w:p>
    <w:p w14:paraId="52654BFD">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8.中小企业声明函（服务）</w:t>
      </w:r>
    </w:p>
    <w:p w14:paraId="30CB6EC9">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9.残疾人福利性单位声明函（格式）</w:t>
      </w:r>
    </w:p>
    <w:p w14:paraId="1C48B574">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10.投标人自觉抵制政府采购领域商业贿赂行为承诺书（格式）</w:t>
      </w:r>
    </w:p>
    <w:p w14:paraId="65707BF1">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为便于贵方公正、择优地确定中标</w:t>
      </w:r>
      <w:r>
        <w:rPr>
          <w:rFonts w:hint="eastAsia" w:ascii="宋体" w:hAnsi="宋体" w:eastAsia="宋体" w:cs="宋体"/>
          <w:snapToGrid w:val="0"/>
          <w:color w:val="auto"/>
          <w:sz w:val="24"/>
          <w:highlight w:val="none"/>
          <w:lang w:val="en-US" w:eastAsia="zh-CN" w:bidi="ar"/>
        </w:rPr>
        <w:t>供应商</w:t>
      </w:r>
      <w:r>
        <w:rPr>
          <w:rFonts w:hint="eastAsia" w:ascii="宋体" w:hAnsi="宋体" w:eastAsia="宋体" w:cs="宋体"/>
          <w:snapToGrid w:val="0"/>
          <w:color w:val="auto"/>
          <w:sz w:val="24"/>
          <w:highlight w:val="none"/>
          <w:lang w:bidi="ar"/>
        </w:rPr>
        <w:t>及其投标产品和服务，我方就本次投标有关事项郑重声明并宣布同意如下：</w:t>
      </w:r>
    </w:p>
    <w:p w14:paraId="08E28817">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我方承诺已经具备招标文件中规定的参加政府采购活动的投标人应当具备的条件。我方愿意向贵方提供任何与本招标项目投标有关的数据、情况和技术资料，并根据需要提供一切承诺的证明材料，并保证其真实、合法、有效。</w:t>
      </w:r>
    </w:p>
    <w:p w14:paraId="5587285B">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2、我方承诺在投标活动中提供的各种材料真实有效。</w:t>
      </w:r>
    </w:p>
    <w:p w14:paraId="14398877">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3、我方同意在投标文件有效期内遵守本投标文件中的承诺且在此期限期满之前均具有约束力。如果我方中标，投标文件有效期与合同履行期相同。</w:t>
      </w:r>
    </w:p>
    <w:p w14:paraId="4311C4A1">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4、我方已详细审查全部招标文件，包括修改文件（如有的话）和有关附件，将自行承担因对全部招标文件理解不正确或误解而产生的相应后果。</w:t>
      </w:r>
    </w:p>
    <w:p w14:paraId="698E7055">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5、我方保证尊重评标委员会的评标结果，完全理解本招标项目最低投标价不作为中标的保证。</w:t>
      </w:r>
    </w:p>
    <w:p w14:paraId="79DD1C81">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6、我方理解并遵守招标文件的全部规定，接受招标文件中政府采购合同的全部条款且无任何异议。</w:t>
      </w:r>
    </w:p>
    <w:p w14:paraId="611E1396">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7、如果我方代表未按时参加开标的，视同放弃开标监督权利，认可开标结果。</w:t>
      </w:r>
    </w:p>
    <w:p w14:paraId="47862740">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8、如果我方存在投标人须知第9.3项所述情况，同意被认定为投标无效处理。</w:t>
      </w:r>
    </w:p>
    <w:p w14:paraId="443C4B89">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9、如果发生投标人须知第26.4.1、26.4.2项所述情况，同意我方投标被作为无效投标处理。</w:t>
      </w:r>
    </w:p>
    <w:p w14:paraId="7CB58997">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10、如果发生投标人须知第26.5项所述情况，同意评标委员会认定我方的行为属于串通投标的行为，并自愿接受监管部门的处罚。</w:t>
      </w:r>
    </w:p>
    <w:p w14:paraId="45F1B8BE">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11、如果现场变更采购方式，我方同意在不改变采购需求、资质条件等情况下，按变更后的采购方式的规定程序进行采购。</w:t>
      </w:r>
    </w:p>
    <w:p w14:paraId="6071267B">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12、如果被确定为中标</w:t>
      </w:r>
      <w:r>
        <w:rPr>
          <w:rFonts w:hint="eastAsia" w:ascii="宋体" w:hAnsi="宋体" w:eastAsia="宋体" w:cs="宋体"/>
          <w:snapToGrid w:val="0"/>
          <w:color w:val="auto"/>
          <w:sz w:val="24"/>
          <w:highlight w:val="none"/>
          <w:lang w:val="en-US" w:eastAsia="zh-CN" w:bidi="ar"/>
        </w:rPr>
        <w:t>供应商</w:t>
      </w:r>
      <w:r>
        <w:rPr>
          <w:rFonts w:hint="eastAsia" w:ascii="宋体" w:hAnsi="宋体" w:eastAsia="宋体" w:cs="宋体"/>
          <w:snapToGrid w:val="0"/>
          <w:color w:val="auto"/>
          <w:sz w:val="24"/>
          <w:highlight w:val="none"/>
          <w:lang w:bidi="ar"/>
        </w:rPr>
        <w:t>，我方同意按招标文件的规定领取中标通知书。否则，视为我方中标后自动放弃中标资格，承担由此引起的一切后果。</w:t>
      </w:r>
    </w:p>
    <w:p w14:paraId="5859415A">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13、如果被确定为中标</w:t>
      </w:r>
      <w:r>
        <w:rPr>
          <w:rFonts w:hint="eastAsia" w:ascii="宋体" w:hAnsi="宋体" w:eastAsia="宋体" w:cs="宋体"/>
          <w:snapToGrid w:val="0"/>
          <w:color w:val="auto"/>
          <w:sz w:val="24"/>
          <w:highlight w:val="none"/>
          <w:lang w:val="en-US" w:eastAsia="zh-CN" w:bidi="ar"/>
        </w:rPr>
        <w:t>供应商</w:t>
      </w:r>
      <w:r>
        <w:rPr>
          <w:rFonts w:hint="eastAsia" w:ascii="宋体" w:hAnsi="宋体" w:eastAsia="宋体" w:cs="宋体"/>
          <w:snapToGrid w:val="0"/>
          <w:color w:val="auto"/>
          <w:sz w:val="24"/>
          <w:highlight w:val="none"/>
          <w:lang w:bidi="ar"/>
        </w:rPr>
        <w:t>，我方同意在领取中标通知书后，按照招标文件的规定与采购人签订采购合同。否则，视为我方中标后无正当理由不与采购人签订合同并承担相应法律责任。</w:t>
      </w:r>
    </w:p>
    <w:p w14:paraId="0417B57A">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14、我方最近3年内的被公开披露或查处的违法违规行为有：</w:t>
      </w:r>
    </w:p>
    <w:p w14:paraId="1C63C5E5">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w:t>
      </w:r>
    </w:p>
    <w:p w14:paraId="09F70676">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15、以上事项如有虚假或隐瞒，我方愿意承担一切后果和责任。</w:t>
      </w:r>
    </w:p>
    <w:p w14:paraId="31FD335D">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16、与本投标有关的一切正式往来通讯请寄：</w:t>
      </w:r>
    </w:p>
    <w:p w14:paraId="6ECD992D">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 xml:space="preserve">  地址：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 </w:t>
      </w:r>
      <w:r>
        <w:rPr>
          <w:rFonts w:hint="eastAsia" w:ascii="宋体" w:hAnsi="宋体" w:eastAsia="宋体" w:cs="宋体"/>
          <w:snapToGrid w:val="0"/>
          <w:color w:val="auto"/>
          <w:sz w:val="24"/>
          <w:highlight w:val="none"/>
          <w:lang w:val="en-US" w:eastAsia="zh-CN" w:bidi="ar"/>
        </w:rPr>
        <w:t xml:space="preserve">   </w:t>
      </w:r>
      <w:r>
        <w:rPr>
          <w:rFonts w:hint="eastAsia" w:ascii="宋体" w:hAnsi="宋体" w:eastAsia="宋体" w:cs="宋体"/>
          <w:snapToGrid w:val="0"/>
          <w:color w:val="auto"/>
          <w:sz w:val="24"/>
          <w:highlight w:val="none"/>
          <w:lang w:bidi="ar"/>
        </w:rPr>
        <w:t>邮编：</w:t>
      </w:r>
      <w:r>
        <w:rPr>
          <w:rFonts w:hint="eastAsia" w:ascii="宋体" w:hAnsi="宋体" w:eastAsia="宋体" w:cs="宋体"/>
          <w:snapToGrid w:val="0"/>
          <w:color w:val="auto"/>
          <w:sz w:val="24"/>
          <w:highlight w:val="none"/>
          <w:u w:val="single"/>
          <w:lang w:bidi="ar"/>
        </w:rPr>
        <w:t xml:space="preserve">                 </w:t>
      </w:r>
    </w:p>
    <w:p w14:paraId="4D7F736A">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 xml:space="preserve">  电话：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u w:val="none"/>
          <w:lang w:val="en-US" w:eastAsia="zh-CN" w:bidi="ar"/>
        </w:rPr>
        <w:t xml:space="preserve">    </w:t>
      </w:r>
      <w:r>
        <w:rPr>
          <w:rFonts w:hint="eastAsia" w:ascii="宋体" w:hAnsi="宋体" w:eastAsia="宋体" w:cs="宋体"/>
          <w:snapToGrid w:val="0"/>
          <w:color w:val="auto"/>
          <w:sz w:val="24"/>
          <w:highlight w:val="none"/>
          <w:lang w:bidi="ar"/>
        </w:rPr>
        <w:t xml:space="preserve">传真： </w:t>
      </w:r>
      <w:r>
        <w:rPr>
          <w:rFonts w:hint="eastAsia" w:ascii="宋体" w:hAnsi="宋体" w:eastAsia="宋体" w:cs="宋体"/>
          <w:snapToGrid w:val="0"/>
          <w:color w:val="auto"/>
          <w:sz w:val="24"/>
          <w:highlight w:val="none"/>
          <w:u w:val="single"/>
          <w:lang w:bidi="ar"/>
        </w:rPr>
        <w:t xml:space="preserve">                 </w:t>
      </w:r>
    </w:p>
    <w:p w14:paraId="25E87E84">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 xml:space="preserve"> </w:t>
      </w:r>
    </w:p>
    <w:p w14:paraId="4BE96A87">
      <w:pPr>
        <w:wordWrap w:val="0"/>
        <w:adjustRightInd w:val="0"/>
        <w:snapToGrid w:val="0"/>
        <w:spacing w:line="360" w:lineRule="auto"/>
        <w:ind w:firstLine="3480" w:firstLineChars="1450"/>
        <w:rPr>
          <w:rFonts w:hint="eastAsia" w:ascii="宋体" w:hAnsi="宋体" w:eastAsia="宋体" w:cs="宋体"/>
          <w:snapToGrid w:val="0"/>
          <w:color w:val="auto"/>
          <w:sz w:val="24"/>
          <w:highlight w:val="none"/>
          <w:lang w:bidi="ar"/>
        </w:rPr>
      </w:pPr>
    </w:p>
    <w:p w14:paraId="652C9FBC">
      <w:pPr>
        <w:wordWrap w:val="0"/>
        <w:adjustRightInd w:val="0"/>
        <w:snapToGrid w:val="0"/>
        <w:spacing w:line="360" w:lineRule="auto"/>
        <w:ind w:firstLine="2880" w:firstLineChars="1200"/>
        <w:rPr>
          <w:rFonts w:hint="eastAsia" w:ascii="宋体" w:hAnsi="宋体" w:eastAsia="宋体" w:cs="宋体"/>
          <w:color w:val="auto"/>
          <w:sz w:val="24"/>
          <w:highlight w:val="none"/>
          <w:lang w:eastAsia="zh-CN"/>
        </w:rPr>
      </w:pPr>
      <w:r>
        <w:rPr>
          <w:rFonts w:hint="eastAsia" w:ascii="宋体" w:hAnsi="宋体" w:eastAsia="宋体" w:cs="宋体"/>
          <w:snapToGrid w:val="0"/>
          <w:color w:val="auto"/>
          <w:sz w:val="24"/>
          <w:highlight w:val="none"/>
          <w:lang w:eastAsia="zh-CN" w:bidi="ar"/>
        </w:rPr>
        <w:t>法定代表人或委托代理人</w:t>
      </w:r>
      <w:r>
        <w:rPr>
          <w:rFonts w:hint="eastAsia" w:ascii="宋体" w:hAnsi="宋体" w:eastAsia="宋体" w:cs="宋体"/>
          <w:snapToGrid w:val="0"/>
          <w:color w:val="auto"/>
          <w:sz w:val="24"/>
          <w:highlight w:val="none"/>
          <w:lang w:bidi="ar"/>
        </w:rPr>
        <w:t>：</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u w:val="single"/>
          <w:lang w:val="en-US" w:eastAsia="zh-CN" w:bidi="ar"/>
        </w:rPr>
        <w:t xml:space="preserve">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u w:val="none"/>
          <w:lang w:eastAsia="zh-CN" w:bidi="ar"/>
        </w:rPr>
        <w:t>（签字或盖章）</w:t>
      </w:r>
    </w:p>
    <w:p w14:paraId="590232AC">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 xml:space="preserve">   </w:t>
      </w:r>
      <w:r>
        <w:rPr>
          <w:rFonts w:hint="eastAsia" w:ascii="宋体" w:hAnsi="宋体" w:eastAsia="宋体" w:cs="宋体"/>
          <w:snapToGrid w:val="0"/>
          <w:color w:val="auto"/>
          <w:sz w:val="24"/>
          <w:highlight w:val="none"/>
          <w:lang w:val="en-US" w:eastAsia="zh-CN" w:bidi="ar"/>
        </w:rPr>
        <w:t xml:space="preserve">                      </w:t>
      </w:r>
      <w:r>
        <w:rPr>
          <w:rFonts w:hint="eastAsia" w:ascii="宋体" w:hAnsi="宋体" w:eastAsia="宋体" w:cs="宋体"/>
          <w:snapToGrid w:val="0"/>
          <w:color w:val="auto"/>
          <w:sz w:val="24"/>
          <w:highlight w:val="none"/>
          <w:lang w:bidi="ar"/>
        </w:rPr>
        <w:t>投标人：</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u w:val="single"/>
          <w:lang w:val="en-US" w:eastAsia="zh-CN" w:bidi="ar"/>
        </w:rPr>
        <w:t xml:space="preserve">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（全称并加盖公章）</w:t>
      </w:r>
    </w:p>
    <w:p w14:paraId="6DAB46D5">
      <w:pPr>
        <w:wordWrap w:val="0"/>
        <w:adjustRightInd w:val="0"/>
        <w:snapToGrid w:val="0"/>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u w:val="none"/>
          <w:lang w:val="en-US" w:eastAsia="zh-CN" w:bidi="ar"/>
        </w:rPr>
        <w:t>日期：</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年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月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日</w:t>
      </w:r>
    </w:p>
    <w:p w14:paraId="5C096136">
      <w:pPr>
        <w:rPr>
          <w:rFonts w:hint="eastAsia" w:ascii="宋体" w:hAnsi="宋体" w:eastAsia="宋体" w:cs="宋体"/>
          <w:b/>
          <w:snapToGrid w:val="0"/>
          <w:color w:val="auto"/>
          <w:sz w:val="28"/>
          <w:szCs w:val="28"/>
          <w:highlight w:val="none"/>
          <w:lang w:bidi="ar"/>
        </w:rPr>
      </w:pPr>
      <w:bookmarkStart w:id="116" w:name="_Toc13552"/>
      <w:bookmarkStart w:id="117" w:name="_Toc9123"/>
      <w:bookmarkStart w:id="118" w:name="_Toc7511"/>
      <w:bookmarkStart w:id="119" w:name="_Toc17228"/>
      <w:bookmarkStart w:id="120" w:name="_Toc29538"/>
      <w:r>
        <w:rPr>
          <w:rFonts w:hint="eastAsia" w:ascii="宋体" w:hAnsi="宋体" w:eastAsia="宋体" w:cs="宋体"/>
          <w:b/>
          <w:snapToGrid w:val="0"/>
          <w:color w:val="auto"/>
          <w:sz w:val="28"/>
          <w:szCs w:val="28"/>
          <w:highlight w:val="none"/>
          <w:lang w:bidi="ar"/>
        </w:rPr>
        <w:br w:type="page"/>
      </w:r>
    </w:p>
    <w:p w14:paraId="418C3D9D">
      <w:pPr>
        <w:wordWrap w:val="0"/>
        <w:adjustRightInd w:val="0"/>
        <w:snapToGrid w:val="0"/>
        <w:spacing w:line="360" w:lineRule="auto"/>
        <w:rPr>
          <w:rFonts w:hint="eastAsia" w:ascii="宋体" w:hAnsi="宋体" w:eastAsia="宋体" w:cs="宋体"/>
          <w:bCs/>
          <w:snapToGrid w:val="0"/>
          <w:color w:val="auto"/>
          <w:sz w:val="28"/>
          <w:szCs w:val="28"/>
          <w:highlight w:val="none"/>
          <w:lang w:bidi="ar"/>
        </w:rPr>
      </w:pPr>
      <w:r>
        <w:rPr>
          <w:rFonts w:hint="eastAsia" w:ascii="宋体" w:hAnsi="宋体" w:eastAsia="宋体" w:cs="宋体"/>
          <w:b/>
          <w:snapToGrid w:val="0"/>
          <w:color w:val="auto"/>
          <w:sz w:val="28"/>
          <w:szCs w:val="28"/>
          <w:highlight w:val="none"/>
          <w:lang w:bidi="ar"/>
        </w:rPr>
        <w:t xml:space="preserve">附件3                     </w:t>
      </w:r>
      <w:bookmarkEnd w:id="116"/>
      <w:bookmarkEnd w:id="117"/>
      <w:bookmarkEnd w:id="118"/>
      <w:bookmarkEnd w:id="119"/>
      <w:bookmarkEnd w:id="120"/>
      <w:r>
        <w:rPr>
          <w:rFonts w:hint="eastAsia" w:ascii="宋体" w:hAnsi="宋体" w:eastAsia="宋体" w:cs="宋体"/>
          <w:b/>
          <w:snapToGrid w:val="0"/>
          <w:color w:val="auto"/>
          <w:sz w:val="28"/>
          <w:szCs w:val="28"/>
          <w:highlight w:val="none"/>
          <w:lang w:bidi="ar"/>
        </w:rPr>
        <w:t>开标一览表</w:t>
      </w:r>
      <w:r>
        <w:rPr>
          <w:rFonts w:hint="eastAsia" w:ascii="宋体" w:hAnsi="宋体" w:eastAsia="宋体" w:cs="宋体"/>
          <w:bCs/>
          <w:snapToGrid w:val="0"/>
          <w:color w:val="auto"/>
          <w:sz w:val="28"/>
          <w:szCs w:val="28"/>
          <w:highlight w:val="none"/>
          <w:lang w:bidi="ar"/>
        </w:rPr>
        <w:t>（格式）</w:t>
      </w:r>
    </w:p>
    <w:p w14:paraId="51719E99">
      <w:pPr>
        <w:wordWrap w:val="0"/>
        <w:adjustRightInd w:val="0"/>
        <w:snapToGrid w:val="0"/>
        <w:spacing w:line="360" w:lineRule="auto"/>
        <w:rPr>
          <w:rFonts w:hint="eastAsia" w:ascii="宋体" w:hAnsi="宋体" w:eastAsia="宋体" w:cs="宋体"/>
          <w:bCs/>
          <w:snapToGrid w:val="0"/>
          <w:color w:val="auto"/>
          <w:sz w:val="24"/>
          <w:highlight w:val="none"/>
          <w:lang w:val="en-US" w:eastAsia="zh-CN" w:bidi="ar"/>
        </w:rPr>
      </w:pPr>
      <w:r>
        <w:rPr>
          <w:rFonts w:hint="eastAsia" w:ascii="宋体" w:hAnsi="宋体" w:eastAsia="宋体" w:cs="宋体"/>
          <w:snapToGrid w:val="0"/>
          <w:color w:val="auto"/>
          <w:sz w:val="24"/>
          <w:highlight w:val="none"/>
          <w:lang w:bidi="ar"/>
        </w:rPr>
        <w:t xml:space="preserve">项目编号： </w:t>
      </w:r>
      <w:r>
        <w:rPr>
          <w:rFonts w:hint="eastAsia" w:ascii="宋体" w:hAnsi="宋体" w:eastAsia="宋体" w:cs="宋体"/>
          <w:snapToGrid w:val="0"/>
          <w:color w:val="auto"/>
          <w:sz w:val="24"/>
          <w:highlight w:val="none"/>
          <w:lang w:val="en-US" w:eastAsia="zh-CN" w:bidi="ar"/>
        </w:rPr>
        <w:t xml:space="preserve">                                          单位：元</w:t>
      </w:r>
    </w:p>
    <w:tbl>
      <w:tblPr>
        <w:tblStyle w:val="19"/>
        <w:tblW w:w="88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29"/>
        <w:gridCol w:w="6456"/>
      </w:tblGrid>
      <w:tr w14:paraId="4D27AE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817" w:hRule="atLeast"/>
          <w:jc w:val="center"/>
        </w:trPr>
        <w:tc>
          <w:tcPr>
            <w:tcW w:w="2429" w:type="dxa"/>
            <w:noWrap w:val="0"/>
            <w:vAlign w:val="center"/>
          </w:tcPr>
          <w:p w14:paraId="1937FD7A">
            <w:pPr>
              <w:pStyle w:val="30"/>
              <w:spacing w:line="440" w:lineRule="exact"/>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456" w:type="dxa"/>
            <w:noWrap w:val="0"/>
            <w:vAlign w:val="center"/>
          </w:tcPr>
          <w:p w14:paraId="5F77CB11">
            <w:pPr>
              <w:pStyle w:val="30"/>
              <w:spacing w:line="440" w:lineRule="exact"/>
              <w:ind w:firstLine="0"/>
              <w:rPr>
                <w:rFonts w:hint="eastAsia" w:ascii="宋体" w:hAnsi="宋体" w:eastAsia="宋体" w:cs="宋体"/>
                <w:color w:val="auto"/>
                <w:sz w:val="24"/>
                <w:szCs w:val="24"/>
                <w:highlight w:val="none"/>
              </w:rPr>
            </w:pPr>
          </w:p>
        </w:tc>
      </w:tr>
      <w:tr w14:paraId="17400A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2429" w:type="dxa"/>
            <w:tcBorders>
              <w:bottom w:val="single" w:color="auto" w:sz="4" w:space="0"/>
            </w:tcBorders>
            <w:noWrap w:val="0"/>
            <w:vAlign w:val="center"/>
          </w:tcPr>
          <w:p w14:paraId="33C1AAFA">
            <w:pPr>
              <w:pStyle w:val="30"/>
              <w:spacing w:line="440" w:lineRule="exact"/>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6456" w:type="dxa"/>
            <w:tcBorders>
              <w:bottom w:val="single" w:color="auto" w:sz="4" w:space="0"/>
            </w:tcBorders>
            <w:noWrap w:val="0"/>
            <w:vAlign w:val="center"/>
          </w:tcPr>
          <w:p w14:paraId="31C144FE">
            <w:pPr>
              <w:pStyle w:val="30"/>
              <w:spacing w:line="44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FCAA693">
            <w:pPr>
              <w:pStyle w:val="30"/>
              <w:spacing w:line="44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tc>
      </w:tr>
      <w:tr w14:paraId="312DE7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2429" w:type="dxa"/>
            <w:noWrap w:val="0"/>
            <w:vAlign w:val="center"/>
          </w:tcPr>
          <w:p w14:paraId="3B58E4C8">
            <w:pPr>
              <w:pStyle w:val="30"/>
              <w:spacing w:line="440" w:lineRule="exact"/>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标准</w:t>
            </w:r>
          </w:p>
        </w:tc>
        <w:tc>
          <w:tcPr>
            <w:tcW w:w="6456" w:type="dxa"/>
            <w:noWrap w:val="0"/>
            <w:vAlign w:val="center"/>
          </w:tcPr>
          <w:p w14:paraId="3260FFC2">
            <w:pPr>
              <w:pStyle w:val="30"/>
              <w:spacing w:line="440" w:lineRule="exact"/>
              <w:ind w:firstLine="0"/>
              <w:rPr>
                <w:rFonts w:hint="eastAsia" w:ascii="宋体" w:hAnsi="宋体" w:eastAsia="宋体" w:cs="宋体"/>
                <w:color w:val="auto"/>
                <w:sz w:val="24"/>
                <w:szCs w:val="24"/>
                <w:highlight w:val="none"/>
              </w:rPr>
            </w:pPr>
          </w:p>
        </w:tc>
      </w:tr>
      <w:tr w14:paraId="27A6D3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2429" w:type="dxa"/>
            <w:noWrap w:val="0"/>
            <w:vAlign w:val="center"/>
          </w:tcPr>
          <w:p w14:paraId="5FF725B0">
            <w:pPr>
              <w:pStyle w:val="30"/>
              <w:spacing w:line="440" w:lineRule="exact"/>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6456" w:type="dxa"/>
            <w:noWrap w:val="0"/>
            <w:vAlign w:val="center"/>
          </w:tcPr>
          <w:p w14:paraId="37AA1044">
            <w:pPr>
              <w:pStyle w:val="30"/>
              <w:spacing w:line="440" w:lineRule="exact"/>
              <w:ind w:firstLine="0"/>
              <w:rPr>
                <w:rFonts w:hint="eastAsia" w:ascii="宋体" w:hAnsi="宋体" w:eastAsia="宋体" w:cs="宋体"/>
                <w:color w:val="auto"/>
                <w:sz w:val="24"/>
                <w:szCs w:val="24"/>
                <w:highlight w:val="none"/>
              </w:rPr>
            </w:pPr>
          </w:p>
        </w:tc>
      </w:tr>
      <w:tr w14:paraId="31F176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2429" w:type="dxa"/>
            <w:noWrap w:val="0"/>
            <w:vAlign w:val="center"/>
          </w:tcPr>
          <w:p w14:paraId="38352C26">
            <w:pPr>
              <w:pStyle w:val="30"/>
              <w:spacing w:line="440" w:lineRule="exact"/>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456" w:type="dxa"/>
            <w:noWrap w:val="0"/>
            <w:vAlign w:val="center"/>
          </w:tcPr>
          <w:p w14:paraId="22A2AEBF">
            <w:pPr>
              <w:pStyle w:val="30"/>
              <w:spacing w:line="440" w:lineRule="exact"/>
              <w:ind w:firstLine="0"/>
              <w:rPr>
                <w:rFonts w:hint="eastAsia" w:ascii="宋体" w:hAnsi="宋体" w:eastAsia="宋体" w:cs="宋体"/>
                <w:snapToGrid w:val="0"/>
                <w:color w:val="auto"/>
                <w:sz w:val="24"/>
                <w:szCs w:val="24"/>
                <w:highlight w:val="none"/>
                <w:u w:val="single"/>
                <w:lang w:bidi="ar"/>
              </w:rPr>
            </w:pPr>
          </w:p>
        </w:tc>
      </w:tr>
      <w:tr w14:paraId="20C16C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2429" w:type="dxa"/>
            <w:noWrap w:val="0"/>
            <w:vAlign w:val="center"/>
          </w:tcPr>
          <w:p w14:paraId="20003A91">
            <w:pPr>
              <w:pStyle w:val="30"/>
              <w:spacing w:line="440" w:lineRule="exact"/>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6456" w:type="dxa"/>
            <w:noWrap w:val="0"/>
            <w:vAlign w:val="center"/>
          </w:tcPr>
          <w:p w14:paraId="0ABC587C">
            <w:pPr>
              <w:pStyle w:val="30"/>
              <w:spacing w:line="440" w:lineRule="exact"/>
              <w:ind w:firstLine="0"/>
              <w:rPr>
                <w:rFonts w:hint="eastAsia" w:ascii="宋体" w:hAnsi="宋体" w:eastAsia="宋体" w:cs="宋体"/>
                <w:color w:val="auto"/>
                <w:sz w:val="24"/>
                <w:szCs w:val="24"/>
                <w:highlight w:val="none"/>
              </w:rPr>
            </w:pPr>
          </w:p>
        </w:tc>
      </w:tr>
    </w:tbl>
    <w:p w14:paraId="473545F4">
      <w:pPr>
        <w:wordWrap w:val="0"/>
        <w:adjustRightInd w:val="0"/>
        <w:snapToGrid w:val="0"/>
        <w:spacing w:line="360" w:lineRule="auto"/>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注: 1、报价一经涂改，应在涂改处加盖单位公章或投标人代表签字或盖章，否则其投标作无效标处理。</w:t>
      </w:r>
    </w:p>
    <w:p w14:paraId="3F43664F">
      <w:pPr>
        <w:wordWrap w:val="0"/>
        <w:adjustRightInd w:val="0"/>
        <w:snapToGrid w:val="0"/>
        <w:spacing w:line="360" w:lineRule="auto"/>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2、投标费用为完成本项目服务内容产生的所有费用。</w:t>
      </w:r>
    </w:p>
    <w:p w14:paraId="7A437C3E">
      <w:pPr>
        <w:wordWrap w:val="0"/>
        <w:adjustRightInd w:val="0"/>
        <w:snapToGrid w:val="0"/>
        <w:spacing w:line="360" w:lineRule="auto"/>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3、若认为所投产品符合价格折扣条件的，在相应的产品的“备注”栏内注明符合何种折扣条件,以方便评委评审。</w:t>
      </w:r>
    </w:p>
    <w:p w14:paraId="4FDC49FB">
      <w:pPr>
        <w:wordWrap w:val="0"/>
        <w:adjustRightInd w:val="0"/>
        <w:snapToGrid w:val="0"/>
        <w:spacing w:line="360" w:lineRule="auto"/>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4、投标人按格式填列，不得自行更改。否则引起的不利后果由投标人承担。</w:t>
      </w:r>
    </w:p>
    <w:p w14:paraId="7A0F252B">
      <w:pPr>
        <w:wordWrap w:val="0"/>
        <w:adjustRightInd w:val="0"/>
        <w:snapToGrid w:val="0"/>
        <w:spacing w:line="360" w:lineRule="auto"/>
        <w:ind w:firstLine="1800" w:firstLineChars="750"/>
        <w:rPr>
          <w:rFonts w:hint="eastAsia" w:ascii="宋体" w:hAnsi="宋体" w:eastAsia="宋体" w:cs="宋体"/>
          <w:snapToGrid w:val="0"/>
          <w:color w:val="auto"/>
          <w:sz w:val="24"/>
          <w:highlight w:val="none"/>
          <w:lang w:bidi="ar"/>
        </w:rPr>
      </w:pPr>
    </w:p>
    <w:p w14:paraId="20156F5D">
      <w:pPr>
        <w:wordWrap w:val="0"/>
        <w:adjustRightInd w:val="0"/>
        <w:snapToGrid w:val="0"/>
        <w:spacing w:line="360" w:lineRule="auto"/>
        <w:ind w:firstLine="1920" w:firstLineChars="800"/>
        <w:rPr>
          <w:rFonts w:hint="eastAsia" w:ascii="宋体" w:hAnsi="宋体" w:eastAsia="宋体" w:cs="宋体"/>
          <w:snapToGrid w:val="0"/>
          <w:color w:val="auto"/>
          <w:sz w:val="24"/>
          <w:highlight w:val="none"/>
          <w:u w:val="none"/>
          <w:lang w:eastAsia="zh-CN" w:bidi="ar"/>
        </w:rPr>
      </w:pPr>
      <w:r>
        <w:rPr>
          <w:rFonts w:hint="eastAsia" w:ascii="宋体" w:hAnsi="宋体" w:eastAsia="宋体" w:cs="宋体"/>
          <w:snapToGrid w:val="0"/>
          <w:color w:val="auto"/>
          <w:sz w:val="24"/>
          <w:highlight w:val="none"/>
          <w:lang w:eastAsia="zh-CN" w:bidi="ar"/>
        </w:rPr>
        <w:t>法定代表人或委托代理人</w:t>
      </w:r>
      <w:r>
        <w:rPr>
          <w:rFonts w:hint="eastAsia" w:ascii="宋体" w:hAnsi="宋体" w:eastAsia="宋体" w:cs="宋体"/>
          <w:snapToGrid w:val="0"/>
          <w:color w:val="auto"/>
          <w:sz w:val="24"/>
          <w:highlight w:val="none"/>
          <w:lang w:bidi="ar"/>
        </w:rPr>
        <w:t>：</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u w:val="single"/>
          <w:lang w:val="en-US" w:eastAsia="zh-CN" w:bidi="ar"/>
        </w:rPr>
        <w:t xml:space="preserve">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u w:val="none"/>
          <w:lang w:eastAsia="zh-CN" w:bidi="ar"/>
        </w:rPr>
        <w:t>（签字或盖章）</w:t>
      </w:r>
    </w:p>
    <w:p w14:paraId="547C96C3">
      <w:pPr>
        <w:wordWrap w:val="0"/>
        <w:adjustRightInd w:val="0"/>
        <w:snapToGrid w:val="0"/>
        <w:spacing w:line="360" w:lineRule="auto"/>
        <w:ind w:firstLine="1920" w:firstLineChars="8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投标人：</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（全称并加盖公章）                            </w:t>
      </w:r>
      <w:r>
        <w:rPr>
          <w:rFonts w:hint="eastAsia" w:ascii="宋体" w:hAnsi="宋体" w:eastAsia="宋体" w:cs="宋体"/>
          <w:snapToGrid w:val="0"/>
          <w:color w:val="auto"/>
          <w:sz w:val="24"/>
          <w:highlight w:val="none"/>
          <w:lang w:val="en-US" w:eastAsia="zh-CN" w:bidi="ar"/>
        </w:rPr>
        <w:t>日期：</w:t>
      </w:r>
      <w:r>
        <w:rPr>
          <w:rFonts w:hint="eastAsia" w:ascii="宋体" w:hAnsi="宋体" w:eastAsia="宋体" w:cs="宋体"/>
          <w:snapToGrid w:val="0"/>
          <w:color w:val="auto"/>
          <w:sz w:val="24"/>
          <w:highlight w:val="none"/>
          <w:lang w:bidi="ar"/>
        </w:rPr>
        <w:t xml:space="preserve">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年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月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日 </w:t>
      </w:r>
    </w:p>
    <w:p w14:paraId="7E61B6CF">
      <w:pPr>
        <w:adjustRightInd w:val="0"/>
        <w:snapToGrid w:val="0"/>
        <w:spacing w:line="360" w:lineRule="auto"/>
        <w:outlineLvl w:val="1"/>
        <w:rPr>
          <w:rFonts w:hint="eastAsia" w:ascii="宋体" w:hAnsi="宋体" w:eastAsia="宋体" w:cs="宋体"/>
          <w:color w:val="auto"/>
          <w:sz w:val="28"/>
          <w:szCs w:val="28"/>
          <w:highlight w:val="none"/>
        </w:rPr>
      </w:pPr>
      <w:bookmarkStart w:id="121" w:name="_Toc8427"/>
      <w:bookmarkStart w:id="122" w:name="_Toc11825"/>
      <w:bookmarkStart w:id="123" w:name="_Toc6405"/>
      <w:bookmarkStart w:id="124" w:name="_Toc31693"/>
      <w:bookmarkStart w:id="125" w:name="_Toc14455"/>
      <w:r>
        <w:rPr>
          <w:rFonts w:hint="eastAsia" w:ascii="宋体" w:hAnsi="宋体" w:eastAsia="宋体" w:cs="宋体"/>
          <w:b/>
          <w:snapToGrid w:val="0"/>
          <w:color w:val="auto"/>
          <w:sz w:val="28"/>
          <w:szCs w:val="28"/>
          <w:highlight w:val="none"/>
          <w:lang w:bidi="ar"/>
        </w:rPr>
        <w:br w:type="page"/>
      </w:r>
      <w:r>
        <w:rPr>
          <w:rFonts w:hint="eastAsia" w:ascii="宋体" w:hAnsi="宋体" w:eastAsia="宋体" w:cs="宋体"/>
          <w:b/>
          <w:snapToGrid w:val="0"/>
          <w:color w:val="auto"/>
          <w:sz w:val="28"/>
          <w:szCs w:val="28"/>
          <w:highlight w:val="none"/>
          <w:lang w:bidi="ar"/>
        </w:rPr>
        <w:t>附件4</w:t>
      </w:r>
      <w:r>
        <w:rPr>
          <w:rFonts w:hint="eastAsia" w:ascii="宋体" w:hAnsi="宋体" w:eastAsia="宋体" w:cs="宋体"/>
          <w:b/>
          <w:snapToGrid w:val="0"/>
          <w:color w:val="auto"/>
          <w:sz w:val="28"/>
          <w:szCs w:val="28"/>
          <w:highlight w:val="none"/>
          <w:lang w:val="en-US" w:eastAsia="zh-CN" w:bidi="ar"/>
        </w:rPr>
        <w:t xml:space="preserve">              </w:t>
      </w:r>
      <w:r>
        <w:rPr>
          <w:rFonts w:hint="eastAsia" w:ascii="宋体" w:hAnsi="宋体" w:eastAsia="宋体" w:cs="宋体"/>
          <w:b/>
          <w:bCs/>
          <w:color w:val="auto"/>
          <w:kern w:val="0"/>
          <w:sz w:val="28"/>
          <w:szCs w:val="28"/>
          <w:highlight w:val="none"/>
          <w:lang w:bidi="ar"/>
        </w:rPr>
        <w:t>服务技术响应表</w:t>
      </w:r>
      <w:r>
        <w:rPr>
          <w:rFonts w:hint="eastAsia" w:ascii="宋体" w:hAnsi="宋体" w:eastAsia="宋体" w:cs="宋体"/>
          <w:color w:val="auto"/>
          <w:kern w:val="0"/>
          <w:sz w:val="28"/>
          <w:szCs w:val="28"/>
          <w:highlight w:val="none"/>
          <w:lang w:bidi="ar"/>
        </w:rPr>
        <w:t>（格式）</w:t>
      </w:r>
    </w:p>
    <w:p w14:paraId="441341C4">
      <w:pPr>
        <w:widowControl/>
        <w:jc w:val="left"/>
        <w:rPr>
          <w:rFonts w:hint="eastAsia" w:ascii="宋体" w:hAnsi="宋体" w:eastAsia="宋体" w:cs="宋体"/>
          <w:color w:val="auto"/>
          <w:kern w:val="0"/>
          <w:sz w:val="24"/>
          <w:highlight w:val="none"/>
          <w:lang w:bidi="ar"/>
        </w:rPr>
      </w:pPr>
    </w:p>
    <w:p w14:paraId="3158A6F6">
      <w:pPr>
        <w:widowControl/>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项目编号：</w:t>
      </w:r>
    </w:p>
    <w:tbl>
      <w:tblPr>
        <w:tblStyle w:val="19"/>
        <w:tblW w:w="880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779"/>
        <w:gridCol w:w="1720"/>
        <w:gridCol w:w="1720"/>
        <w:gridCol w:w="1720"/>
      </w:tblGrid>
      <w:tr w14:paraId="6C18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864" w:type="dxa"/>
            <w:noWrap w:val="0"/>
            <w:vAlign w:val="center"/>
          </w:tcPr>
          <w:p w14:paraId="58ED3143">
            <w:pPr>
              <w:widowControl/>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序号</w:t>
            </w:r>
          </w:p>
        </w:tc>
        <w:tc>
          <w:tcPr>
            <w:tcW w:w="2779" w:type="dxa"/>
            <w:noWrap w:val="0"/>
            <w:vAlign w:val="center"/>
          </w:tcPr>
          <w:p w14:paraId="5D2E054D">
            <w:pPr>
              <w:widowControl/>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服务</w:t>
            </w:r>
            <w:r>
              <w:rPr>
                <w:rFonts w:hint="eastAsia" w:ascii="宋体" w:hAnsi="宋体" w:eastAsia="宋体" w:cs="宋体"/>
                <w:color w:val="auto"/>
                <w:kern w:val="0"/>
                <w:sz w:val="24"/>
                <w:highlight w:val="none"/>
                <w:lang w:bidi="ar"/>
              </w:rPr>
              <w:t>名称</w:t>
            </w:r>
          </w:p>
        </w:tc>
        <w:tc>
          <w:tcPr>
            <w:tcW w:w="1720" w:type="dxa"/>
            <w:noWrap w:val="0"/>
            <w:vAlign w:val="center"/>
          </w:tcPr>
          <w:p w14:paraId="71CED300">
            <w:pPr>
              <w:widowControl/>
              <w:jc w:val="center"/>
              <w:rPr>
                <w:rFonts w:hint="eastAsia" w:ascii="宋体" w:hAnsi="宋体" w:eastAsia="宋体" w:cs="宋体"/>
                <w:snapToGrid w:val="0"/>
                <w:color w:val="auto"/>
                <w:sz w:val="24"/>
                <w:highlight w:val="none"/>
                <w:lang w:bidi="ar"/>
              </w:rPr>
            </w:pPr>
            <w:r>
              <w:rPr>
                <w:rFonts w:hint="eastAsia" w:ascii="宋体" w:hAnsi="宋体" w:eastAsia="宋体" w:cs="宋体"/>
                <w:color w:val="auto"/>
                <w:kern w:val="0"/>
                <w:sz w:val="24"/>
                <w:highlight w:val="none"/>
                <w:lang w:bidi="ar"/>
              </w:rPr>
              <w:t>招标文件要求</w:t>
            </w:r>
          </w:p>
        </w:tc>
        <w:tc>
          <w:tcPr>
            <w:tcW w:w="1720" w:type="dxa"/>
            <w:noWrap w:val="0"/>
            <w:vAlign w:val="center"/>
          </w:tcPr>
          <w:p w14:paraId="6F52DEA6">
            <w:pPr>
              <w:widowControl/>
              <w:jc w:val="center"/>
              <w:rPr>
                <w:rFonts w:hint="eastAsia" w:ascii="宋体" w:hAnsi="宋体" w:eastAsia="宋体" w:cs="宋体"/>
                <w:snapToGrid w:val="0"/>
                <w:color w:val="auto"/>
                <w:sz w:val="24"/>
                <w:highlight w:val="none"/>
                <w:lang w:bidi="ar"/>
              </w:rPr>
            </w:pPr>
            <w:r>
              <w:rPr>
                <w:rFonts w:hint="eastAsia" w:ascii="宋体" w:hAnsi="宋体" w:eastAsia="宋体" w:cs="宋体"/>
                <w:color w:val="auto"/>
                <w:kern w:val="0"/>
                <w:sz w:val="24"/>
                <w:highlight w:val="none"/>
                <w:lang w:bidi="ar"/>
              </w:rPr>
              <w:t>投标文件响应</w:t>
            </w:r>
          </w:p>
        </w:tc>
        <w:tc>
          <w:tcPr>
            <w:tcW w:w="1720" w:type="dxa"/>
            <w:noWrap w:val="0"/>
            <w:vAlign w:val="center"/>
          </w:tcPr>
          <w:p w14:paraId="6E1F5BED">
            <w:pPr>
              <w:widowControl/>
              <w:jc w:val="center"/>
              <w:rPr>
                <w:rFonts w:hint="eastAsia" w:ascii="宋体" w:hAnsi="宋体" w:eastAsia="宋体" w:cs="宋体"/>
                <w:snapToGrid w:val="0"/>
                <w:color w:val="auto"/>
                <w:sz w:val="24"/>
                <w:highlight w:val="none"/>
                <w:lang w:bidi="ar"/>
              </w:rPr>
            </w:pPr>
            <w:r>
              <w:rPr>
                <w:rFonts w:hint="eastAsia" w:ascii="宋体" w:hAnsi="宋体" w:eastAsia="宋体" w:cs="宋体"/>
                <w:color w:val="auto"/>
                <w:kern w:val="0"/>
                <w:sz w:val="24"/>
                <w:highlight w:val="none"/>
                <w:lang w:bidi="ar"/>
              </w:rPr>
              <w:t>偏离情况</w:t>
            </w:r>
          </w:p>
        </w:tc>
      </w:tr>
      <w:tr w14:paraId="281F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64" w:type="dxa"/>
            <w:noWrap w:val="0"/>
            <w:vAlign w:val="center"/>
          </w:tcPr>
          <w:p w14:paraId="2B13362A">
            <w:pPr>
              <w:adjustRightInd w:val="0"/>
              <w:snapToGrid w:val="0"/>
              <w:spacing w:line="360" w:lineRule="auto"/>
              <w:jc w:val="center"/>
              <w:outlineLvl w:val="1"/>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1</w:t>
            </w:r>
          </w:p>
        </w:tc>
        <w:tc>
          <w:tcPr>
            <w:tcW w:w="2779" w:type="dxa"/>
            <w:noWrap w:val="0"/>
            <w:vAlign w:val="top"/>
          </w:tcPr>
          <w:p w14:paraId="4C323078">
            <w:pPr>
              <w:adjustRightInd w:val="0"/>
              <w:snapToGrid w:val="0"/>
              <w:spacing w:line="360" w:lineRule="auto"/>
              <w:outlineLvl w:val="1"/>
              <w:rPr>
                <w:rFonts w:hint="eastAsia" w:ascii="宋体" w:hAnsi="宋体" w:eastAsia="宋体" w:cs="宋体"/>
                <w:snapToGrid w:val="0"/>
                <w:color w:val="auto"/>
                <w:sz w:val="24"/>
                <w:highlight w:val="none"/>
                <w:lang w:bidi="ar"/>
              </w:rPr>
            </w:pPr>
          </w:p>
        </w:tc>
        <w:tc>
          <w:tcPr>
            <w:tcW w:w="1720" w:type="dxa"/>
            <w:noWrap w:val="0"/>
            <w:vAlign w:val="top"/>
          </w:tcPr>
          <w:p w14:paraId="2DC411B3">
            <w:pPr>
              <w:adjustRightInd w:val="0"/>
              <w:snapToGrid w:val="0"/>
              <w:spacing w:line="360" w:lineRule="auto"/>
              <w:outlineLvl w:val="1"/>
              <w:rPr>
                <w:rFonts w:hint="eastAsia" w:ascii="宋体" w:hAnsi="宋体" w:eastAsia="宋体" w:cs="宋体"/>
                <w:snapToGrid w:val="0"/>
                <w:color w:val="auto"/>
                <w:sz w:val="24"/>
                <w:highlight w:val="none"/>
                <w:lang w:bidi="ar"/>
              </w:rPr>
            </w:pPr>
          </w:p>
        </w:tc>
        <w:tc>
          <w:tcPr>
            <w:tcW w:w="1720" w:type="dxa"/>
            <w:noWrap w:val="0"/>
            <w:vAlign w:val="top"/>
          </w:tcPr>
          <w:p w14:paraId="0925B44F">
            <w:pPr>
              <w:adjustRightInd w:val="0"/>
              <w:snapToGrid w:val="0"/>
              <w:spacing w:line="360" w:lineRule="auto"/>
              <w:outlineLvl w:val="1"/>
              <w:rPr>
                <w:rFonts w:hint="eastAsia" w:ascii="宋体" w:hAnsi="宋体" w:eastAsia="宋体" w:cs="宋体"/>
                <w:snapToGrid w:val="0"/>
                <w:color w:val="auto"/>
                <w:sz w:val="24"/>
                <w:highlight w:val="none"/>
                <w:lang w:bidi="ar"/>
              </w:rPr>
            </w:pPr>
          </w:p>
        </w:tc>
        <w:tc>
          <w:tcPr>
            <w:tcW w:w="1720" w:type="dxa"/>
            <w:noWrap w:val="0"/>
            <w:vAlign w:val="top"/>
          </w:tcPr>
          <w:p w14:paraId="2DDB5ECE">
            <w:pPr>
              <w:adjustRightInd w:val="0"/>
              <w:snapToGrid w:val="0"/>
              <w:spacing w:line="360" w:lineRule="auto"/>
              <w:outlineLvl w:val="1"/>
              <w:rPr>
                <w:rFonts w:hint="eastAsia" w:ascii="宋体" w:hAnsi="宋体" w:eastAsia="宋体" w:cs="宋体"/>
                <w:snapToGrid w:val="0"/>
                <w:color w:val="auto"/>
                <w:sz w:val="24"/>
                <w:highlight w:val="none"/>
                <w:lang w:bidi="ar"/>
              </w:rPr>
            </w:pPr>
          </w:p>
        </w:tc>
      </w:tr>
      <w:tr w14:paraId="7D84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64" w:type="dxa"/>
            <w:noWrap w:val="0"/>
            <w:vAlign w:val="center"/>
          </w:tcPr>
          <w:p w14:paraId="769C47E8">
            <w:pPr>
              <w:adjustRightInd w:val="0"/>
              <w:snapToGrid w:val="0"/>
              <w:spacing w:line="360" w:lineRule="auto"/>
              <w:jc w:val="center"/>
              <w:outlineLvl w:val="1"/>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2</w:t>
            </w:r>
          </w:p>
        </w:tc>
        <w:tc>
          <w:tcPr>
            <w:tcW w:w="2779" w:type="dxa"/>
            <w:noWrap w:val="0"/>
            <w:vAlign w:val="top"/>
          </w:tcPr>
          <w:p w14:paraId="16E2C489">
            <w:pPr>
              <w:adjustRightInd w:val="0"/>
              <w:snapToGrid w:val="0"/>
              <w:spacing w:line="360" w:lineRule="auto"/>
              <w:outlineLvl w:val="1"/>
              <w:rPr>
                <w:rFonts w:hint="eastAsia" w:ascii="宋体" w:hAnsi="宋体" w:eastAsia="宋体" w:cs="宋体"/>
                <w:snapToGrid w:val="0"/>
                <w:color w:val="auto"/>
                <w:sz w:val="24"/>
                <w:highlight w:val="none"/>
                <w:lang w:bidi="ar"/>
              </w:rPr>
            </w:pPr>
          </w:p>
        </w:tc>
        <w:tc>
          <w:tcPr>
            <w:tcW w:w="1720" w:type="dxa"/>
            <w:noWrap w:val="0"/>
            <w:vAlign w:val="top"/>
          </w:tcPr>
          <w:p w14:paraId="50B22ABB">
            <w:pPr>
              <w:adjustRightInd w:val="0"/>
              <w:snapToGrid w:val="0"/>
              <w:spacing w:line="360" w:lineRule="auto"/>
              <w:outlineLvl w:val="1"/>
              <w:rPr>
                <w:rFonts w:hint="eastAsia" w:ascii="宋体" w:hAnsi="宋体" w:eastAsia="宋体" w:cs="宋体"/>
                <w:snapToGrid w:val="0"/>
                <w:color w:val="auto"/>
                <w:sz w:val="24"/>
                <w:highlight w:val="none"/>
                <w:lang w:bidi="ar"/>
              </w:rPr>
            </w:pPr>
          </w:p>
        </w:tc>
        <w:tc>
          <w:tcPr>
            <w:tcW w:w="1720" w:type="dxa"/>
            <w:noWrap w:val="0"/>
            <w:vAlign w:val="top"/>
          </w:tcPr>
          <w:p w14:paraId="4315B8E1">
            <w:pPr>
              <w:adjustRightInd w:val="0"/>
              <w:snapToGrid w:val="0"/>
              <w:spacing w:line="360" w:lineRule="auto"/>
              <w:outlineLvl w:val="1"/>
              <w:rPr>
                <w:rFonts w:hint="eastAsia" w:ascii="宋体" w:hAnsi="宋体" w:eastAsia="宋体" w:cs="宋体"/>
                <w:snapToGrid w:val="0"/>
                <w:color w:val="auto"/>
                <w:sz w:val="24"/>
                <w:highlight w:val="none"/>
                <w:lang w:bidi="ar"/>
              </w:rPr>
            </w:pPr>
          </w:p>
        </w:tc>
        <w:tc>
          <w:tcPr>
            <w:tcW w:w="1720" w:type="dxa"/>
            <w:noWrap w:val="0"/>
            <w:vAlign w:val="top"/>
          </w:tcPr>
          <w:p w14:paraId="71FA96EA">
            <w:pPr>
              <w:adjustRightInd w:val="0"/>
              <w:snapToGrid w:val="0"/>
              <w:spacing w:line="360" w:lineRule="auto"/>
              <w:outlineLvl w:val="1"/>
              <w:rPr>
                <w:rFonts w:hint="eastAsia" w:ascii="宋体" w:hAnsi="宋体" w:eastAsia="宋体" w:cs="宋体"/>
                <w:snapToGrid w:val="0"/>
                <w:color w:val="auto"/>
                <w:sz w:val="24"/>
                <w:highlight w:val="none"/>
                <w:lang w:bidi="ar"/>
              </w:rPr>
            </w:pPr>
          </w:p>
        </w:tc>
      </w:tr>
      <w:tr w14:paraId="2A59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64" w:type="dxa"/>
            <w:noWrap w:val="0"/>
            <w:vAlign w:val="center"/>
          </w:tcPr>
          <w:p w14:paraId="1F923A7D">
            <w:pPr>
              <w:adjustRightInd w:val="0"/>
              <w:snapToGrid w:val="0"/>
              <w:spacing w:line="360" w:lineRule="auto"/>
              <w:jc w:val="center"/>
              <w:outlineLvl w:val="1"/>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w:t>
            </w:r>
          </w:p>
        </w:tc>
        <w:tc>
          <w:tcPr>
            <w:tcW w:w="2779" w:type="dxa"/>
            <w:noWrap w:val="0"/>
            <w:vAlign w:val="top"/>
          </w:tcPr>
          <w:p w14:paraId="7D5CC036">
            <w:pPr>
              <w:adjustRightInd w:val="0"/>
              <w:snapToGrid w:val="0"/>
              <w:spacing w:line="360" w:lineRule="auto"/>
              <w:outlineLvl w:val="1"/>
              <w:rPr>
                <w:rFonts w:hint="eastAsia" w:ascii="宋体" w:hAnsi="宋体" w:eastAsia="宋体" w:cs="宋体"/>
                <w:snapToGrid w:val="0"/>
                <w:color w:val="auto"/>
                <w:sz w:val="24"/>
                <w:highlight w:val="none"/>
                <w:lang w:bidi="ar"/>
              </w:rPr>
            </w:pPr>
          </w:p>
        </w:tc>
        <w:tc>
          <w:tcPr>
            <w:tcW w:w="1720" w:type="dxa"/>
            <w:noWrap w:val="0"/>
            <w:vAlign w:val="top"/>
          </w:tcPr>
          <w:p w14:paraId="3C38A2D2">
            <w:pPr>
              <w:adjustRightInd w:val="0"/>
              <w:snapToGrid w:val="0"/>
              <w:spacing w:line="360" w:lineRule="auto"/>
              <w:outlineLvl w:val="1"/>
              <w:rPr>
                <w:rFonts w:hint="eastAsia" w:ascii="宋体" w:hAnsi="宋体" w:eastAsia="宋体" w:cs="宋体"/>
                <w:snapToGrid w:val="0"/>
                <w:color w:val="auto"/>
                <w:sz w:val="24"/>
                <w:highlight w:val="none"/>
                <w:lang w:bidi="ar"/>
              </w:rPr>
            </w:pPr>
          </w:p>
        </w:tc>
        <w:tc>
          <w:tcPr>
            <w:tcW w:w="1720" w:type="dxa"/>
            <w:noWrap w:val="0"/>
            <w:vAlign w:val="top"/>
          </w:tcPr>
          <w:p w14:paraId="390D7DF9">
            <w:pPr>
              <w:adjustRightInd w:val="0"/>
              <w:snapToGrid w:val="0"/>
              <w:spacing w:line="360" w:lineRule="auto"/>
              <w:outlineLvl w:val="1"/>
              <w:rPr>
                <w:rFonts w:hint="eastAsia" w:ascii="宋体" w:hAnsi="宋体" w:eastAsia="宋体" w:cs="宋体"/>
                <w:snapToGrid w:val="0"/>
                <w:color w:val="auto"/>
                <w:sz w:val="24"/>
                <w:highlight w:val="none"/>
                <w:lang w:bidi="ar"/>
              </w:rPr>
            </w:pPr>
          </w:p>
        </w:tc>
        <w:tc>
          <w:tcPr>
            <w:tcW w:w="1720" w:type="dxa"/>
            <w:noWrap w:val="0"/>
            <w:vAlign w:val="top"/>
          </w:tcPr>
          <w:p w14:paraId="5F9DDB73">
            <w:pPr>
              <w:adjustRightInd w:val="0"/>
              <w:snapToGrid w:val="0"/>
              <w:spacing w:line="360" w:lineRule="auto"/>
              <w:outlineLvl w:val="1"/>
              <w:rPr>
                <w:rFonts w:hint="eastAsia" w:ascii="宋体" w:hAnsi="宋体" w:eastAsia="宋体" w:cs="宋体"/>
                <w:snapToGrid w:val="0"/>
                <w:color w:val="auto"/>
                <w:sz w:val="24"/>
                <w:highlight w:val="none"/>
                <w:lang w:bidi="ar"/>
              </w:rPr>
            </w:pPr>
          </w:p>
        </w:tc>
      </w:tr>
    </w:tbl>
    <w:p w14:paraId="52E4F2C3">
      <w:pPr>
        <w:widowControl/>
        <w:jc w:val="left"/>
        <w:rPr>
          <w:rFonts w:hint="eastAsia" w:ascii="宋体" w:hAnsi="宋体" w:eastAsia="宋体" w:cs="宋体"/>
          <w:color w:val="auto"/>
          <w:kern w:val="0"/>
          <w:sz w:val="24"/>
          <w:highlight w:val="none"/>
          <w:lang w:bidi="ar"/>
        </w:rPr>
      </w:pPr>
    </w:p>
    <w:p w14:paraId="4E36A74B">
      <w:pPr>
        <w:widowControl/>
        <w:spacing w:line="360" w:lineRule="auto"/>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注：1.投标人必须如实完整填写表格，“偏离情况”是指“正偏离”、“负偏离”或“无偏离”。 </w:t>
      </w:r>
    </w:p>
    <w:p w14:paraId="658A5CD6">
      <w:pPr>
        <w:pStyle w:val="17"/>
        <w:ind w:firstLine="480"/>
        <w:rPr>
          <w:rFonts w:hint="eastAsia" w:ascii="宋体" w:hAnsi="宋体" w:eastAsia="宋体" w:cs="宋体"/>
          <w:color w:val="auto"/>
          <w:highlight w:val="none"/>
        </w:rPr>
      </w:pPr>
    </w:p>
    <w:p w14:paraId="0489E7AA">
      <w:pPr>
        <w:wordWrap w:val="0"/>
        <w:adjustRightInd w:val="0"/>
        <w:snapToGrid w:val="0"/>
        <w:spacing w:line="360" w:lineRule="auto"/>
        <w:ind w:firstLine="1800" w:firstLineChars="750"/>
        <w:rPr>
          <w:rFonts w:hint="eastAsia" w:ascii="宋体" w:hAnsi="宋体" w:eastAsia="宋体" w:cs="宋体"/>
          <w:snapToGrid w:val="0"/>
          <w:color w:val="auto"/>
          <w:sz w:val="24"/>
          <w:highlight w:val="none"/>
          <w:lang w:bidi="ar"/>
        </w:rPr>
      </w:pPr>
    </w:p>
    <w:p w14:paraId="0FAE2B26">
      <w:pPr>
        <w:wordWrap w:val="0"/>
        <w:adjustRightInd w:val="0"/>
        <w:snapToGrid w:val="0"/>
        <w:spacing w:line="360" w:lineRule="auto"/>
        <w:ind w:firstLine="1800" w:firstLineChars="750"/>
        <w:rPr>
          <w:rFonts w:hint="eastAsia" w:ascii="宋体" w:hAnsi="宋体" w:eastAsia="宋体" w:cs="宋体"/>
          <w:snapToGrid w:val="0"/>
          <w:color w:val="auto"/>
          <w:sz w:val="24"/>
          <w:highlight w:val="none"/>
          <w:lang w:bidi="ar"/>
        </w:rPr>
      </w:pPr>
    </w:p>
    <w:p w14:paraId="5A125C17">
      <w:pPr>
        <w:wordWrap w:val="0"/>
        <w:adjustRightInd w:val="0"/>
        <w:snapToGrid w:val="0"/>
        <w:spacing w:line="360" w:lineRule="auto"/>
        <w:ind w:firstLine="1800" w:firstLineChars="750"/>
        <w:rPr>
          <w:rFonts w:hint="eastAsia" w:ascii="宋体" w:hAnsi="宋体" w:eastAsia="宋体" w:cs="宋体"/>
          <w:snapToGrid w:val="0"/>
          <w:color w:val="auto"/>
          <w:sz w:val="24"/>
          <w:highlight w:val="none"/>
          <w:lang w:bidi="ar"/>
        </w:rPr>
      </w:pPr>
    </w:p>
    <w:p w14:paraId="528ECFB9">
      <w:pPr>
        <w:wordWrap w:val="0"/>
        <w:adjustRightInd w:val="0"/>
        <w:snapToGrid w:val="0"/>
        <w:spacing w:line="360" w:lineRule="auto"/>
        <w:ind w:firstLine="1800" w:firstLineChars="750"/>
        <w:rPr>
          <w:rFonts w:hint="eastAsia" w:ascii="宋体" w:hAnsi="宋体" w:eastAsia="宋体" w:cs="宋体"/>
          <w:snapToGrid w:val="0"/>
          <w:color w:val="auto"/>
          <w:sz w:val="24"/>
          <w:highlight w:val="none"/>
          <w:lang w:bidi="ar"/>
        </w:rPr>
      </w:pPr>
    </w:p>
    <w:p w14:paraId="5B3A5F6B">
      <w:pPr>
        <w:wordWrap w:val="0"/>
        <w:adjustRightInd w:val="0"/>
        <w:snapToGrid w:val="0"/>
        <w:spacing w:line="360" w:lineRule="auto"/>
        <w:ind w:firstLine="1800" w:firstLineChars="750"/>
        <w:rPr>
          <w:rFonts w:hint="eastAsia" w:ascii="宋体" w:hAnsi="宋体" w:eastAsia="宋体" w:cs="宋体"/>
          <w:snapToGrid w:val="0"/>
          <w:color w:val="auto"/>
          <w:sz w:val="24"/>
          <w:highlight w:val="none"/>
          <w:u w:val="single"/>
          <w:lang w:bidi="ar"/>
        </w:rPr>
      </w:pPr>
      <w:r>
        <w:rPr>
          <w:rFonts w:hint="eastAsia" w:ascii="宋体" w:hAnsi="宋体" w:eastAsia="宋体" w:cs="宋体"/>
          <w:snapToGrid w:val="0"/>
          <w:color w:val="auto"/>
          <w:sz w:val="24"/>
          <w:highlight w:val="none"/>
          <w:lang w:bidi="ar"/>
        </w:rPr>
        <w:t xml:space="preserve"> </w:t>
      </w:r>
      <w:r>
        <w:rPr>
          <w:rFonts w:hint="eastAsia" w:ascii="宋体" w:hAnsi="宋体" w:eastAsia="宋体" w:cs="宋体"/>
          <w:snapToGrid w:val="0"/>
          <w:color w:val="auto"/>
          <w:sz w:val="24"/>
          <w:highlight w:val="none"/>
          <w:lang w:eastAsia="zh-CN" w:bidi="ar"/>
        </w:rPr>
        <w:t>法定代表人或委托代理人</w:t>
      </w:r>
      <w:r>
        <w:rPr>
          <w:rFonts w:hint="eastAsia" w:ascii="宋体" w:hAnsi="宋体" w:eastAsia="宋体" w:cs="宋体"/>
          <w:snapToGrid w:val="0"/>
          <w:color w:val="auto"/>
          <w:sz w:val="24"/>
          <w:highlight w:val="none"/>
          <w:lang w:bidi="ar"/>
        </w:rPr>
        <w:t>：</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u w:val="single"/>
          <w:lang w:val="en-US" w:eastAsia="zh-CN" w:bidi="ar"/>
        </w:rPr>
        <w:t xml:space="preserve">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u w:val="none"/>
          <w:lang w:eastAsia="zh-CN" w:bidi="ar"/>
        </w:rPr>
        <w:t>（签字或盖章）</w:t>
      </w:r>
    </w:p>
    <w:p w14:paraId="75B4C757">
      <w:pPr>
        <w:wordWrap w:val="0"/>
        <w:adjustRightInd w:val="0"/>
        <w:snapToGrid w:val="0"/>
        <w:spacing w:line="360" w:lineRule="auto"/>
        <w:ind w:firstLine="1920" w:firstLineChars="8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投标人：</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（全称并加盖公章）                                 </w:t>
      </w:r>
      <w:r>
        <w:rPr>
          <w:rFonts w:hint="eastAsia" w:ascii="宋体" w:hAnsi="宋体" w:eastAsia="宋体" w:cs="宋体"/>
          <w:snapToGrid w:val="0"/>
          <w:color w:val="auto"/>
          <w:sz w:val="24"/>
          <w:highlight w:val="none"/>
          <w:lang w:val="en-US" w:eastAsia="zh-CN" w:bidi="ar"/>
        </w:rPr>
        <w:t>日期：</w:t>
      </w:r>
      <w:r>
        <w:rPr>
          <w:rFonts w:hint="eastAsia" w:ascii="宋体" w:hAnsi="宋体" w:eastAsia="宋体" w:cs="宋体"/>
          <w:snapToGrid w:val="0"/>
          <w:color w:val="auto"/>
          <w:sz w:val="24"/>
          <w:highlight w:val="none"/>
          <w:lang w:bidi="ar"/>
        </w:rPr>
        <w:t xml:space="preserve">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年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月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日  </w:t>
      </w:r>
    </w:p>
    <w:p w14:paraId="05091773">
      <w:pPr>
        <w:adjustRightInd w:val="0"/>
        <w:snapToGrid w:val="0"/>
        <w:spacing w:line="360" w:lineRule="auto"/>
        <w:outlineLvl w:val="1"/>
        <w:rPr>
          <w:rFonts w:hint="eastAsia" w:ascii="宋体" w:hAnsi="宋体" w:eastAsia="宋体" w:cs="宋体"/>
          <w:b/>
          <w:snapToGrid w:val="0"/>
          <w:color w:val="auto"/>
          <w:sz w:val="28"/>
          <w:szCs w:val="28"/>
          <w:highlight w:val="none"/>
          <w:lang w:bidi="ar"/>
        </w:rPr>
      </w:pPr>
      <w:r>
        <w:rPr>
          <w:rFonts w:hint="eastAsia" w:ascii="宋体" w:hAnsi="宋体" w:eastAsia="宋体" w:cs="宋体"/>
          <w:b/>
          <w:snapToGrid w:val="0"/>
          <w:color w:val="auto"/>
          <w:sz w:val="24"/>
          <w:highlight w:val="none"/>
          <w:lang w:bidi="ar"/>
        </w:rPr>
        <w:br w:type="page"/>
      </w:r>
      <w:r>
        <w:rPr>
          <w:rFonts w:hint="eastAsia" w:ascii="宋体" w:hAnsi="宋体" w:eastAsia="宋体" w:cs="宋体"/>
          <w:b/>
          <w:snapToGrid w:val="0"/>
          <w:color w:val="auto"/>
          <w:sz w:val="28"/>
          <w:szCs w:val="28"/>
          <w:highlight w:val="none"/>
          <w:lang w:bidi="ar"/>
        </w:rPr>
        <w:t xml:space="preserve">附件5               </w:t>
      </w:r>
      <w:bookmarkEnd w:id="121"/>
      <w:bookmarkEnd w:id="122"/>
      <w:bookmarkEnd w:id="123"/>
      <w:bookmarkEnd w:id="124"/>
      <w:bookmarkEnd w:id="125"/>
      <w:r>
        <w:rPr>
          <w:rFonts w:hint="eastAsia" w:ascii="宋体" w:hAnsi="宋体" w:eastAsia="宋体" w:cs="宋体"/>
          <w:b/>
          <w:snapToGrid w:val="0"/>
          <w:color w:val="auto"/>
          <w:sz w:val="28"/>
          <w:szCs w:val="28"/>
          <w:highlight w:val="none"/>
          <w:lang w:bidi="ar"/>
        </w:rPr>
        <w:t xml:space="preserve"> 商务响应表</w:t>
      </w:r>
      <w:r>
        <w:rPr>
          <w:rFonts w:hint="eastAsia" w:ascii="宋体" w:hAnsi="宋体" w:eastAsia="宋体" w:cs="宋体"/>
          <w:bCs/>
          <w:snapToGrid w:val="0"/>
          <w:color w:val="auto"/>
          <w:sz w:val="28"/>
          <w:szCs w:val="28"/>
          <w:highlight w:val="none"/>
          <w:lang w:bidi="ar"/>
        </w:rPr>
        <w:t>（格式）</w:t>
      </w:r>
    </w:p>
    <w:p w14:paraId="7C7DAD9F">
      <w:pPr>
        <w:wordWrap w:val="0"/>
        <w:adjustRightInd w:val="0"/>
        <w:snapToGrid w:val="0"/>
        <w:spacing w:before="50" w:after="156" w:afterLines="50" w:line="360" w:lineRule="auto"/>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 xml:space="preserve">项目编号：    </w:t>
      </w:r>
    </w:p>
    <w:tbl>
      <w:tblPr>
        <w:tblStyle w:val="19"/>
        <w:tblW w:w="0" w:type="auto"/>
        <w:jc w:val="center"/>
        <w:tblLayout w:type="fixed"/>
        <w:tblCellMar>
          <w:top w:w="0" w:type="dxa"/>
          <w:left w:w="108" w:type="dxa"/>
          <w:bottom w:w="0" w:type="dxa"/>
          <w:right w:w="108" w:type="dxa"/>
        </w:tblCellMar>
      </w:tblPr>
      <w:tblGrid>
        <w:gridCol w:w="2192"/>
        <w:gridCol w:w="2053"/>
        <w:gridCol w:w="1719"/>
        <w:gridCol w:w="2558"/>
      </w:tblGrid>
      <w:tr w14:paraId="376D18EB">
        <w:tblPrEx>
          <w:tblCellMar>
            <w:top w:w="0" w:type="dxa"/>
            <w:left w:w="108" w:type="dxa"/>
            <w:bottom w:w="0" w:type="dxa"/>
            <w:right w:w="108" w:type="dxa"/>
          </w:tblCellMar>
        </w:tblPrEx>
        <w:trPr>
          <w:trHeight w:val="642" w:hRule="atLeast"/>
          <w:jc w:val="center"/>
        </w:trPr>
        <w:tc>
          <w:tcPr>
            <w:tcW w:w="2192" w:type="dxa"/>
            <w:tcBorders>
              <w:top w:val="single" w:color="auto" w:sz="4" w:space="0"/>
              <w:left w:val="single" w:color="auto" w:sz="4" w:space="0"/>
              <w:bottom w:val="single" w:color="auto" w:sz="4" w:space="0"/>
              <w:right w:val="single" w:color="auto" w:sz="4" w:space="0"/>
            </w:tcBorders>
            <w:noWrap w:val="0"/>
            <w:vAlign w:val="center"/>
          </w:tcPr>
          <w:p w14:paraId="214AEE05">
            <w:pPr>
              <w:jc w:val="center"/>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项目</w:t>
            </w:r>
          </w:p>
        </w:tc>
        <w:tc>
          <w:tcPr>
            <w:tcW w:w="2053" w:type="dxa"/>
            <w:tcBorders>
              <w:top w:val="single" w:color="auto" w:sz="4" w:space="0"/>
              <w:left w:val="nil"/>
              <w:bottom w:val="single" w:color="auto" w:sz="4" w:space="0"/>
              <w:right w:val="single" w:color="auto" w:sz="4" w:space="0"/>
            </w:tcBorders>
            <w:noWrap w:val="0"/>
            <w:vAlign w:val="center"/>
          </w:tcPr>
          <w:p w14:paraId="1E715193">
            <w:pPr>
              <w:jc w:val="center"/>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招标文件要求</w:t>
            </w:r>
          </w:p>
        </w:tc>
        <w:tc>
          <w:tcPr>
            <w:tcW w:w="1719" w:type="dxa"/>
            <w:tcBorders>
              <w:top w:val="single" w:color="auto" w:sz="4" w:space="0"/>
              <w:left w:val="nil"/>
              <w:bottom w:val="single" w:color="auto" w:sz="4" w:space="0"/>
              <w:right w:val="single" w:color="auto" w:sz="4" w:space="0"/>
            </w:tcBorders>
            <w:noWrap w:val="0"/>
            <w:vAlign w:val="center"/>
          </w:tcPr>
          <w:p w14:paraId="66AAC9B7">
            <w:pPr>
              <w:jc w:val="center"/>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是否响应</w:t>
            </w:r>
          </w:p>
        </w:tc>
        <w:tc>
          <w:tcPr>
            <w:tcW w:w="2558" w:type="dxa"/>
            <w:tcBorders>
              <w:top w:val="single" w:color="auto" w:sz="4" w:space="0"/>
              <w:left w:val="nil"/>
              <w:bottom w:val="single" w:color="auto" w:sz="4" w:space="0"/>
              <w:right w:val="single" w:color="auto" w:sz="4" w:space="0"/>
            </w:tcBorders>
            <w:noWrap w:val="0"/>
            <w:vAlign w:val="center"/>
          </w:tcPr>
          <w:p w14:paraId="28B9F235">
            <w:pPr>
              <w:jc w:val="center"/>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投标人的承诺或说明</w:t>
            </w:r>
          </w:p>
        </w:tc>
      </w:tr>
      <w:tr w14:paraId="796501AF">
        <w:tblPrEx>
          <w:tblCellMar>
            <w:top w:w="0" w:type="dxa"/>
            <w:left w:w="108" w:type="dxa"/>
            <w:bottom w:w="0" w:type="dxa"/>
            <w:right w:w="108" w:type="dxa"/>
          </w:tblCellMar>
        </w:tblPrEx>
        <w:trPr>
          <w:trHeight w:val="762" w:hRule="atLeast"/>
          <w:jc w:val="center"/>
        </w:trPr>
        <w:tc>
          <w:tcPr>
            <w:tcW w:w="2192" w:type="dxa"/>
            <w:tcBorders>
              <w:top w:val="single" w:color="auto" w:sz="4" w:space="0"/>
              <w:left w:val="single" w:color="auto" w:sz="4" w:space="0"/>
              <w:bottom w:val="single" w:color="auto" w:sz="4" w:space="0"/>
              <w:right w:val="single" w:color="auto" w:sz="4" w:space="0"/>
            </w:tcBorders>
            <w:noWrap w:val="0"/>
            <w:vAlign w:val="center"/>
          </w:tcPr>
          <w:p w14:paraId="57D25D03">
            <w:pPr>
              <w:widowControl/>
              <w:snapToGrid w:val="0"/>
              <w:spacing w:line="380" w:lineRule="exact"/>
              <w:outlineLvl w:val="0"/>
              <w:rPr>
                <w:rFonts w:hint="eastAsia" w:ascii="宋体" w:hAnsi="宋体" w:eastAsia="宋体" w:cs="宋体"/>
                <w:color w:val="auto"/>
                <w:kern w:val="2"/>
                <w:sz w:val="24"/>
                <w:szCs w:val="24"/>
                <w:highlight w:val="none"/>
                <w:lang w:val="en-US" w:eastAsia="zh-CN" w:bidi="ar-SA"/>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1BC34AF2">
            <w:pPr>
              <w:adjustRightInd w:val="0"/>
              <w:snapToGrid w:val="0"/>
              <w:spacing w:before="156" w:beforeLines="50" w:line="360" w:lineRule="auto"/>
              <w:jc w:val="center"/>
              <w:rPr>
                <w:rFonts w:hint="eastAsia" w:ascii="宋体" w:hAnsi="宋体" w:eastAsia="宋体" w:cs="宋体"/>
                <w:color w:val="auto"/>
                <w:sz w:val="24"/>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653BA2A9">
            <w:pPr>
              <w:adjustRightInd w:val="0"/>
              <w:snapToGrid w:val="0"/>
              <w:spacing w:before="156" w:beforeLines="50" w:line="360" w:lineRule="auto"/>
              <w:jc w:val="center"/>
              <w:rPr>
                <w:rFonts w:hint="eastAsia" w:ascii="宋体" w:hAnsi="宋体" w:eastAsia="宋体" w:cs="宋体"/>
                <w:color w:val="auto"/>
                <w:sz w:val="24"/>
                <w:highlight w:val="none"/>
              </w:rPr>
            </w:pPr>
          </w:p>
        </w:tc>
        <w:tc>
          <w:tcPr>
            <w:tcW w:w="2558" w:type="dxa"/>
            <w:tcBorders>
              <w:top w:val="single" w:color="auto" w:sz="4" w:space="0"/>
              <w:left w:val="single" w:color="auto" w:sz="4" w:space="0"/>
              <w:bottom w:val="single" w:color="auto" w:sz="4" w:space="0"/>
              <w:right w:val="single" w:color="auto" w:sz="4" w:space="0"/>
            </w:tcBorders>
            <w:noWrap w:val="0"/>
            <w:vAlign w:val="center"/>
          </w:tcPr>
          <w:p w14:paraId="0C24A87D">
            <w:pPr>
              <w:adjustRightInd w:val="0"/>
              <w:snapToGrid w:val="0"/>
              <w:spacing w:before="156" w:beforeLines="50" w:line="360" w:lineRule="auto"/>
              <w:jc w:val="center"/>
              <w:rPr>
                <w:rFonts w:hint="eastAsia" w:ascii="宋体" w:hAnsi="宋体" w:eastAsia="宋体" w:cs="宋体"/>
                <w:color w:val="auto"/>
                <w:sz w:val="24"/>
                <w:highlight w:val="none"/>
              </w:rPr>
            </w:pPr>
          </w:p>
        </w:tc>
      </w:tr>
      <w:tr w14:paraId="0915F1CF">
        <w:tblPrEx>
          <w:tblCellMar>
            <w:top w:w="0" w:type="dxa"/>
            <w:left w:w="108" w:type="dxa"/>
            <w:bottom w:w="0" w:type="dxa"/>
            <w:right w:w="108" w:type="dxa"/>
          </w:tblCellMar>
        </w:tblPrEx>
        <w:trPr>
          <w:trHeight w:val="938" w:hRule="atLeast"/>
          <w:jc w:val="center"/>
        </w:trPr>
        <w:tc>
          <w:tcPr>
            <w:tcW w:w="2192" w:type="dxa"/>
            <w:tcBorders>
              <w:top w:val="single" w:color="auto" w:sz="4" w:space="0"/>
              <w:left w:val="single" w:color="auto" w:sz="4" w:space="0"/>
              <w:bottom w:val="single" w:color="auto" w:sz="4" w:space="0"/>
              <w:right w:val="single" w:color="auto" w:sz="4" w:space="0"/>
            </w:tcBorders>
            <w:noWrap w:val="0"/>
            <w:vAlign w:val="center"/>
          </w:tcPr>
          <w:p w14:paraId="696F8308">
            <w:pPr>
              <w:widowControl/>
              <w:snapToGrid w:val="0"/>
              <w:spacing w:line="380" w:lineRule="exact"/>
              <w:outlineLvl w:val="0"/>
              <w:rPr>
                <w:rFonts w:hint="eastAsia" w:ascii="宋体" w:hAnsi="宋体" w:eastAsia="宋体" w:cs="宋体"/>
                <w:color w:val="auto"/>
                <w:kern w:val="2"/>
                <w:sz w:val="24"/>
                <w:szCs w:val="24"/>
                <w:highlight w:val="none"/>
                <w:lang w:val="en-US" w:eastAsia="zh-CN" w:bidi="ar-SA"/>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4422E23F">
            <w:pPr>
              <w:adjustRightInd w:val="0"/>
              <w:snapToGrid w:val="0"/>
              <w:spacing w:before="156" w:beforeLines="50" w:line="360" w:lineRule="auto"/>
              <w:jc w:val="center"/>
              <w:rPr>
                <w:rFonts w:hint="eastAsia" w:ascii="宋体" w:hAnsi="宋体" w:eastAsia="宋体" w:cs="宋体"/>
                <w:color w:val="auto"/>
                <w:sz w:val="24"/>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447933D6">
            <w:pPr>
              <w:adjustRightInd w:val="0"/>
              <w:snapToGrid w:val="0"/>
              <w:spacing w:before="156" w:beforeLines="50" w:line="360" w:lineRule="auto"/>
              <w:ind w:left="86"/>
              <w:jc w:val="center"/>
              <w:rPr>
                <w:rFonts w:hint="eastAsia" w:ascii="宋体" w:hAnsi="宋体" w:eastAsia="宋体" w:cs="宋体"/>
                <w:color w:val="auto"/>
                <w:sz w:val="24"/>
                <w:highlight w:val="none"/>
              </w:rPr>
            </w:pPr>
          </w:p>
        </w:tc>
        <w:tc>
          <w:tcPr>
            <w:tcW w:w="2558" w:type="dxa"/>
            <w:tcBorders>
              <w:top w:val="single" w:color="auto" w:sz="4" w:space="0"/>
              <w:left w:val="single" w:color="auto" w:sz="4" w:space="0"/>
              <w:bottom w:val="single" w:color="auto" w:sz="4" w:space="0"/>
              <w:right w:val="single" w:color="auto" w:sz="4" w:space="0"/>
            </w:tcBorders>
            <w:noWrap w:val="0"/>
            <w:vAlign w:val="center"/>
          </w:tcPr>
          <w:p w14:paraId="160781E7">
            <w:pPr>
              <w:adjustRightInd w:val="0"/>
              <w:snapToGrid w:val="0"/>
              <w:spacing w:before="156" w:beforeLines="50" w:line="360" w:lineRule="auto"/>
              <w:ind w:left="86"/>
              <w:jc w:val="center"/>
              <w:rPr>
                <w:rFonts w:hint="eastAsia" w:ascii="宋体" w:hAnsi="宋体" w:eastAsia="宋体" w:cs="宋体"/>
                <w:color w:val="auto"/>
                <w:sz w:val="24"/>
                <w:highlight w:val="none"/>
              </w:rPr>
            </w:pPr>
          </w:p>
        </w:tc>
      </w:tr>
      <w:tr w14:paraId="27EE45A4">
        <w:tblPrEx>
          <w:tblCellMar>
            <w:top w:w="0" w:type="dxa"/>
            <w:left w:w="108" w:type="dxa"/>
            <w:bottom w:w="0" w:type="dxa"/>
            <w:right w:w="108" w:type="dxa"/>
          </w:tblCellMar>
        </w:tblPrEx>
        <w:trPr>
          <w:trHeight w:val="938" w:hRule="atLeast"/>
          <w:jc w:val="center"/>
        </w:trPr>
        <w:tc>
          <w:tcPr>
            <w:tcW w:w="2192" w:type="dxa"/>
            <w:tcBorders>
              <w:top w:val="single" w:color="auto" w:sz="4" w:space="0"/>
              <w:left w:val="single" w:color="auto" w:sz="4" w:space="0"/>
              <w:bottom w:val="single" w:color="auto" w:sz="4" w:space="0"/>
              <w:right w:val="single" w:color="auto" w:sz="4" w:space="0"/>
            </w:tcBorders>
            <w:noWrap w:val="0"/>
            <w:vAlign w:val="center"/>
          </w:tcPr>
          <w:p w14:paraId="6B279263">
            <w:pPr>
              <w:widowControl/>
              <w:snapToGrid w:val="0"/>
              <w:spacing w:line="380" w:lineRule="exact"/>
              <w:outlineLvl w:val="0"/>
              <w:rPr>
                <w:rFonts w:hint="eastAsia" w:ascii="宋体" w:hAnsi="宋体" w:eastAsia="宋体" w:cs="宋体"/>
                <w:color w:val="auto"/>
                <w:kern w:val="2"/>
                <w:sz w:val="24"/>
                <w:szCs w:val="24"/>
                <w:highlight w:val="none"/>
                <w:lang w:val="en-US" w:eastAsia="zh-CN" w:bidi="ar-SA"/>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6E5D9F98">
            <w:pPr>
              <w:adjustRightInd w:val="0"/>
              <w:snapToGrid w:val="0"/>
              <w:spacing w:before="156" w:beforeLines="50" w:line="360" w:lineRule="auto"/>
              <w:jc w:val="center"/>
              <w:rPr>
                <w:rFonts w:hint="eastAsia" w:ascii="宋体" w:hAnsi="宋体" w:eastAsia="宋体" w:cs="宋体"/>
                <w:snapToGrid w:val="0"/>
                <w:color w:val="auto"/>
                <w:sz w:val="24"/>
                <w:highlight w:val="none"/>
                <w:lang w:bidi="ar"/>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5D6CCACB">
            <w:pPr>
              <w:adjustRightInd w:val="0"/>
              <w:snapToGrid w:val="0"/>
              <w:spacing w:before="156" w:beforeLines="50" w:line="360" w:lineRule="auto"/>
              <w:ind w:left="86"/>
              <w:jc w:val="center"/>
              <w:rPr>
                <w:rFonts w:hint="eastAsia" w:ascii="宋体" w:hAnsi="宋体" w:eastAsia="宋体" w:cs="宋体"/>
                <w:snapToGrid w:val="0"/>
                <w:color w:val="auto"/>
                <w:sz w:val="24"/>
                <w:highlight w:val="none"/>
                <w:lang w:bidi="ar"/>
              </w:rPr>
            </w:pPr>
          </w:p>
        </w:tc>
        <w:tc>
          <w:tcPr>
            <w:tcW w:w="2558" w:type="dxa"/>
            <w:tcBorders>
              <w:top w:val="single" w:color="auto" w:sz="4" w:space="0"/>
              <w:left w:val="single" w:color="auto" w:sz="4" w:space="0"/>
              <w:bottom w:val="single" w:color="auto" w:sz="4" w:space="0"/>
              <w:right w:val="single" w:color="auto" w:sz="4" w:space="0"/>
            </w:tcBorders>
            <w:noWrap w:val="0"/>
            <w:vAlign w:val="center"/>
          </w:tcPr>
          <w:p w14:paraId="3E5CE862">
            <w:pPr>
              <w:adjustRightInd w:val="0"/>
              <w:snapToGrid w:val="0"/>
              <w:spacing w:before="156" w:beforeLines="50" w:line="360" w:lineRule="auto"/>
              <w:ind w:left="86"/>
              <w:jc w:val="center"/>
              <w:rPr>
                <w:rFonts w:hint="eastAsia" w:ascii="宋体" w:hAnsi="宋体" w:eastAsia="宋体" w:cs="宋体"/>
                <w:snapToGrid w:val="0"/>
                <w:color w:val="auto"/>
                <w:sz w:val="24"/>
                <w:highlight w:val="none"/>
                <w:lang w:bidi="ar"/>
              </w:rPr>
            </w:pPr>
          </w:p>
        </w:tc>
      </w:tr>
      <w:tr w14:paraId="43EF43D2">
        <w:tblPrEx>
          <w:tblCellMar>
            <w:top w:w="0" w:type="dxa"/>
            <w:left w:w="108" w:type="dxa"/>
            <w:bottom w:w="0" w:type="dxa"/>
            <w:right w:w="108" w:type="dxa"/>
          </w:tblCellMar>
        </w:tblPrEx>
        <w:trPr>
          <w:trHeight w:val="820" w:hRule="atLeast"/>
          <w:jc w:val="center"/>
        </w:trPr>
        <w:tc>
          <w:tcPr>
            <w:tcW w:w="2192" w:type="dxa"/>
            <w:tcBorders>
              <w:top w:val="single" w:color="auto" w:sz="4" w:space="0"/>
              <w:left w:val="single" w:color="auto" w:sz="4" w:space="0"/>
              <w:bottom w:val="single" w:color="auto" w:sz="4" w:space="0"/>
              <w:right w:val="single" w:color="auto" w:sz="4" w:space="0"/>
            </w:tcBorders>
            <w:noWrap w:val="0"/>
            <w:vAlign w:val="center"/>
          </w:tcPr>
          <w:p w14:paraId="77769278">
            <w:pPr>
              <w:widowControl/>
              <w:snapToGrid w:val="0"/>
              <w:spacing w:line="380" w:lineRule="exact"/>
              <w:outlineLvl w:val="0"/>
              <w:rPr>
                <w:rFonts w:hint="eastAsia" w:ascii="宋体" w:hAnsi="宋体" w:eastAsia="宋体" w:cs="宋体"/>
                <w:color w:val="auto"/>
                <w:kern w:val="2"/>
                <w:sz w:val="24"/>
                <w:szCs w:val="24"/>
                <w:highlight w:val="none"/>
                <w:lang w:val="en-US" w:eastAsia="zh-CN" w:bidi="ar-SA"/>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292F73D9">
            <w:pPr>
              <w:adjustRightInd w:val="0"/>
              <w:snapToGrid w:val="0"/>
              <w:spacing w:before="156" w:beforeLines="50" w:line="360" w:lineRule="auto"/>
              <w:jc w:val="center"/>
              <w:rPr>
                <w:rFonts w:hint="eastAsia" w:ascii="宋体" w:hAnsi="宋体" w:eastAsia="宋体" w:cs="宋体"/>
                <w:color w:val="auto"/>
                <w:sz w:val="24"/>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1DB17479">
            <w:pPr>
              <w:adjustRightInd w:val="0"/>
              <w:snapToGrid w:val="0"/>
              <w:spacing w:before="156" w:beforeLines="50" w:line="360" w:lineRule="auto"/>
              <w:jc w:val="center"/>
              <w:rPr>
                <w:rFonts w:hint="eastAsia" w:ascii="宋体" w:hAnsi="宋体" w:eastAsia="宋体" w:cs="宋体"/>
                <w:color w:val="auto"/>
                <w:sz w:val="24"/>
                <w:highlight w:val="none"/>
              </w:rPr>
            </w:pPr>
          </w:p>
        </w:tc>
        <w:tc>
          <w:tcPr>
            <w:tcW w:w="2558" w:type="dxa"/>
            <w:tcBorders>
              <w:top w:val="single" w:color="auto" w:sz="4" w:space="0"/>
              <w:left w:val="single" w:color="auto" w:sz="4" w:space="0"/>
              <w:bottom w:val="single" w:color="auto" w:sz="4" w:space="0"/>
              <w:right w:val="single" w:color="auto" w:sz="4" w:space="0"/>
            </w:tcBorders>
            <w:noWrap w:val="0"/>
            <w:vAlign w:val="center"/>
          </w:tcPr>
          <w:p w14:paraId="52AA5510">
            <w:pPr>
              <w:adjustRightInd w:val="0"/>
              <w:snapToGrid w:val="0"/>
              <w:spacing w:before="156" w:beforeLines="50" w:line="360" w:lineRule="auto"/>
              <w:jc w:val="center"/>
              <w:rPr>
                <w:rFonts w:hint="eastAsia" w:ascii="宋体" w:hAnsi="宋体" w:eastAsia="宋体" w:cs="宋体"/>
                <w:color w:val="auto"/>
                <w:sz w:val="24"/>
                <w:highlight w:val="none"/>
              </w:rPr>
            </w:pPr>
          </w:p>
        </w:tc>
      </w:tr>
      <w:tr w14:paraId="44679E5B">
        <w:tblPrEx>
          <w:tblCellMar>
            <w:top w:w="0" w:type="dxa"/>
            <w:left w:w="108" w:type="dxa"/>
            <w:bottom w:w="0" w:type="dxa"/>
            <w:right w:w="108" w:type="dxa"/>
          </w:tblCellMar>
        </w:tblPrEx>
        <w:trPr>
          <w:trHeight w:val="828" w:hRule="atLeast"/>
          <w:jc w:val="center"/>
        </w:trPr>
        <w:tc>
          <w:tcPr>
            <w:tcW w:w="2192" w:type="dxa"/>
            <w:tcBorders>
              <w:top w:val="single" w:color="auto" w:sz="4" w:space="0"/>
              <w:left w:val="single" w:color="auto" w:sz="4" w:space="0"/>
              <w:bottom w:val="single" w:color="auto" w:sz="4" w:space="0"/>
              <w:right w:val="single" w:color="auto" w:sz="4" w:space="0"/>
            </w:tcBorders>
            <w:noWrap w:val="0"/>
            <w:vAlign w:val="center"/>
          </w:tcPr>
          <w:p w14:paraId="660B06B3">
            <w:pPr>
              <w:widowControl/>
              <w:snapToGrid w:val="0"/>
              <w:spacing w:line="380" w:lineRule="exac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32908993">
            <w:pPr>
              <w:adjustRightInd w:val="0"/>
              <w:snapToGrid w:val="0"/>
              <w:spacing w:before="156" w:beforeLines="50" w:line="360" w:lineRule="auto"/>
              <w:jc w:val="center"/>
              <w:rPr>
                <w:rFonts w:hint="eastAsia" w:ascii="宋体" w:hAnsi="宋体" w:eastAsia="宋体" w:cs="宋体"/>
                <w:color w:val="auto"/>
                <w:sz w:val="24"/>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54BC4D14">
            <w:pPr>
              <w:adjustRightInd w:val="0"/>
              <w:snapToGrid w:val="0"/>
              <w:spacing w:before="156" w:beforeLines="50" w:line="360" w:lineRule="auto"/>
              <w:jc w:val="center"/>
              <w:rPr>
                <w:rFonts w:hint="eastAsia" w:ascii="宋体" w:hAnsi="宋体" w:eastAsia="宋体" w:cs="宋体"/>
                <w:color w:val="auto"/>
                <w:sz w:val="24"/>
                <w:highlight w:val="none"/>
              </w:rPr>
            </w:pPr>
          </w:p>
        </w:tc>
        <w:tc>
          <w:tcPr>
            <w:tcW w:w="2558" w:type="dxa"/>
            <w:tcBorders>
              <w:top w:val="single" w:color="auto" w:sz="4" w:space="0"/>
              <w:left w:val="single" w:color="auto" w:sz="4" w:space="0"/>
              <w:bottom w:val="single" w:color="auto" w:sz="4" w:space="0"/>
              <w:right w:val="single" w:color="auto" w:sz="4" w:space="0"/>
            </w:tcBorders>
            <w:noWrap w:val="0"/>
            <w:vAlign w:val="center"/>
          </w:tcPr>
          <w:p w14:paraId="309FD692">
            <w:pPr>
              <w:adjustRightInd w:val="0"/>
              <w:snapToGrid w:val="0"/>
              <w:spacing w:before="156" w:beforeLines="50" w:line="360" w:lineRule="auto"/>
              <w:jc w:val="center"/>
              <w:rPr>
                <w:rFonts w:hint="eastAsia" w:ascii="宋体" w:hAnsi="宋体" w:eastAsia="宋体" w:cs="宋体"/>
                <w:color w:val="auto"/>
                <w:sz w:val="24"/>
                <w:highlight w:val="none"/>
              </w:rPr>
            </w:pPr>
          </w:p>
        </w:tc>
      </w:tr>
    </w:tbl>
    <w:p w14:paraId="4BF3A3C5">
      <w:pPr>
        <w:wordWrap w:val="0"/>
        <w:adjustRightInd w:val="0"/>
        <w:snapToGrid w:val="0"/>
        <w:spacing w:before="156" w:after="156" w:line="360" w:lineRule="auto"/>
        <w:ind w:firstLine="420"/>
        <w:rPr>
          <w:rFonts w:hint="eastAsia" w:ascii="宋体" w:hAnsi="宋体" w:eastAsia="宋体" w:cs="宋体"/>
          <w:b/>
          <w:snapToGrid w:val="0"/>
          <w:color w:val="auto"/>
          <w:sz w:val="24"/>
          <w:highlight w:val="none"/>
          <w:lang w:bidi="ar"/>
        </w:rPr>
      </w:pPr>
    </w:p>
    <w:p w14:paraId="2A104E92">
      <w:pPr>
        <w:wordWrap w:val="0"/>
        <w:adjustRightInd w:val="0"/>
        <w:snapToGrid w:val="0"/>
        <w:spacing w:before="50" w:after="156" w:afterLines="50" w:line="360" w:lineRule="auto"/>
        <w:outlineLvl w:val="1"/>
        <w:rPr>
          <w:rFonts w:hint="eastAsia" w:ascii="宋体" w:hAnsi="宋体" w:eastAsia="宋体" w:cs="宋体"/>
          <w:b/>
          <w:snapToGrid w:val="0"/>
          <w:color w:val="auto"/>
          <w:sz w:val="24"/>
          <w:highlight w:val="none"/>
          <w:lang w:bidi="ar"/>
        </w:rPr>
      </w:pPr>
    </w:p>
    <w:p w14:paraId="00E2ACFC">
      <w:pPr>
        <w:wordWrap w:val="0"/>
        <w:adjustRightInd w:val="0"/>
        <w:snapToGrid w:val="0"/>
        <w:spacing w:line="360" w:lineRule="auto"/>
        <w:ind w:firstLine="1800" w:firstLineChars="750"/>
        <w:rPr>
          <w:rFonts w:hint="eastAsia" w:ascii="宋体" w:hAnsi="宋体" w:eastAsia="宋体" w:cs="宋体"/>
          <w:snapToGrid w:val="0"/>
          <w:color w:val="auto"/>
          <w:sz w:val="24"/>
          <w:highlight w:val="none"/>
          <w:u w:val="single"/>
          <w:lang w:bidi="ar"/>
        </w:rPr>
      </w:pPr>
      <w:r>
        <w:rPr>
          <w:rFonts w:hint="eastAsia" w:ascii="宋体" w:hAnsi="宋体" w:eastAsia="宋体" w:cs="宋体"/>
          <w:snapToGrid w:val="0"/>
          <w:color w:val="auto"/>
          <w:sz w:val="24"/>
          <w:highlight w:val="none"/>
          <w:lang w:bidi="ar"/>
        </w:rPr>
        <w:t xml:space="preserve"> </w:t>
      </w:r>
      <w:r>
        <w:rPr>
          <w:rFonts w:hint="eastAsia" w:ascii="宋体" w:hAnsi="宋体" w:eastAsia="宋体" w:cs="宋体"/>
          <w:snapToGrid w:val="0"/>
          <w:color w:val="auto"/>
          <w:sz w:val="24"/>
          <w:highlight w:val="none"/>
          <w:lang w:eastAsia="zh-CN" w:bidi="ar"/>
        </w:rPr>
        <w:t>法定代表人或委托代理人</w:t>
      </w:r>
      <w:r>
        <w:rPr>
          <w:rFonts w:hint="eastAsia" w:ascii="宋体" w:hAnsi="宋体" w:eastAsia="宋体" w:cs="宋体"/>
          <w:snapToGrid w:val="0"/>
          <w:color w:val="auto"/>
          <w:sz w:val="24"/>
          <w:highlight w:val="none"/>
          <w:lang w:bidi="ar"/>
        </w:rPr>
        <w:t>：</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u w:val="single"/>
          <w:lang w:val="en-US" w:eastAsia="zh-CN" w:bidi="ar"/>
        </w:rPr>
        <w:t xml:space="preserve">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u w:val="none"/>
          <w:lang w:eastAsia="zh-CN" w:bidi="ar"/>
        </w:rPr>
        <w:t>（签字或盖章）</w:t>
      </w:r>
    </w:p>
    <w:p w14:paraId="55C066CE">
      <w:pPr>
        <w:wordWrap w:val="0"/>
        <w:adjustRightInd w:val="0"/>
        <w:snapToGrid w:val="0"/>
        <w:spacing w:line="360" w:lineRule="auto"/>
        <w:ind w:firstLine="1920" w:firstLineChars="8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投标人：</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（全称并加盖公章）                         </w:t>
      </w:r>
      <w:r>
        <w:rPr>
          <w:rFonts w:hint="eastAsia" w:ascii="宋体" w:hAnsi="宋体" w:eastAsia="宋体" w:cs="宋体"/>
          <w:snapToGrid w:val="0"/>
          <w:color w:val="auto"/>
          <w:sz w:val="24"/>
          <w:highlight w:val="none"/>
          <w:lang w:val="en-US" w:eastAsia="zh-CN" w:bidi="ar"/>
        </w:rPr>
        <w:t>日期：</w:t>
      </w:r>
      <w:r>
        <w:rPr>
          <w:rFonts w:hint="eastAsia" w:ascii="宋体" w:hAnsi="宋体" w:eastAsia="宋体" w:cs="宋体"/>
          <w:snapToGrid w:val="0"/>
          <w:color w:val="auto"/>
          <w:sz w:val="24"/>
          <w:highlight w:val="none"/>
          <w:lang w:bidi="ar"/>
        </w:rPr>
        <w:t xml:space="preserve">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年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月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日 </w:t>
      </w:r>
    </w:p>
    <w:p w14:paraId="5720A77A">
      <w:pPr>
        <w:wordWrap w:val="0"/>
        <w:adjustRightInd w:val="0"/>
        <w:snapToGrid w:val="0"/>
        <w:spacing w:before="50" w:after="156" w:afterLines="50" w:line="360" w:lineRule="auto"/>
        <w:outlineLvl w:val="1"/>
        <w:rPr>
          <w:rFonts w:hint="eastAsia" w:ascii="宋体" w:hAnsi="宋体" w:eastAsia="宋体" w:cs="宋体"/>
          <w:b/>
          <w:snapToGrid w:val="0"/>
          <w:color w:val="auto"/>
          <w:sz w:val="24"/>
          <w:highlight w:val="none"/>
          <w:lang w:bidi="ar"/>
        </w:rPr>
      </w:pPr>
    </w:p>
    <w:p w14:paraId="6E6B11BE">
      <w:pPr>
        <w:wordWrap w:val="0"/>
        <w:adjustRightInd w:val="0"/>
        <w:snapToGrid w:val="0"/>
        <w:spacing w:before="50" w:after="156" w:afterLines="50" w:line="360" w:lineRule="auto"/>
        <w:rPr>
          <w:rFonts w:hint="eastAsia" w:ascii="宋体" w:hAnsi="宋体" w:eastAsia="宋体" w:cs="宋体"/>
          <w:b/>
          <w:snapToGrid w:val="0"/>
          <w:color w:val="auto"/>
          <w:sz w:val="24"/>
          <w:highlight w:val="none"/>
          <w:lang w:bidi="ar"/>
        </w:rPr>
      </w:pPr>
      <w:r>
        <w:rPr>
          <w:rFonts w:hint="eastAsia" w:ascii="宋体" w:hAnsi="宋体" w:eastAsia="宋体" w:cs="宋体"/>
          <w:b/>
          <w:snapToGrid w:val="0"/>
          <w:color w:val="auto"/>
          <w:sz w:val="24"/>
          <w:highlight w:val="none"/>
          <w:lang w:bidi="ar"/>
        </w:rPr>
        <w:br w:type="page"/>
      </w:r>
      <w:bookmarkStart w:id="126" w:name="_Toc19963"/>
      <w:bookmarkStart w:id="127" w:name="_Toc5483"/>
      <w:bookmarkStart w:id="128" w:name="_Toc9371"/>
      <w:bookmarkStart w:id="129" w:name="_Toc13005"/>
      <w:bookmarkStart w:id="130" w:name="_Toc26699"/>
    </w:p>
    <w:p w14:paraId="6D627721">
      <w:pPr>
        <w:wordWrap w:val="0"/>
        <w:adjustRightInd w:val="0"/>
        <w:snapToGrid w:val="0"/>
        <w:spacing w:before="50" w:after="156" w:afterLines="50" w:line="360" w:lineRule="auto"/>
        <w:outlineLvl w:val="1"/>
        <w:rPr>
          <w:rFonts w:hint="eastAsia" w:ascii="宋体" w:hAnsi="宋体" w:eastAsia="宋体" w:cs="宋体"/>
          <w:bCs/>
          <w:snapToGrid w:val="0"/>
          <w:color w:val="auto"/>
          <w:sz w:val="28"/>
          <w:szCs w:val="28"/>
          <w:highlight w:val="none"/>
          <w:lang w:bidi="ar"/>
        </w:rPr>
      </w:pPr>
      <w:r>
        <w:rPr>
          <w:rFonts w:hint="eastAsia" w:ascii="宋体" w:hAnsi="宋体" w:eastAsia="宋体" w:cs="宋体"/>
          <w:b/>
          <w:snapToGrid w:val="0"/>
          <w:color w:val="auto"/>
          <w:sz w:val="28"/>
          <w:szCs w:val="28"/>
          <w:highlight w:val="none"/>
          <w:lang w:bidi="ar"/>
        </w:rPr>
        <w:t>附件</w:t>
      </w:r>
      <w:r>
        <w:rPr>
          <w:rFonts w:hint="eastAsia" w:ascii="宋体" w:hAnsi="宋体" w:eastAsia="宋体" w:cs="宋体"/>
          <w:b/>
          <w:snapToGrid w:val="0"/>
          <w:color w:val="auto"/>
          <w:sz w:val="28"/>
          <w:szCs w:val="28"/>
          <w:highlight w:val="none"/>
          <w:lang w:val="en-US" w:eastAsia="zh-CN" w:bidi="ar"/>
        </w:rPr>
        <w:t>6</w:t>
      </w:r>
      <w:r>
        <w:rPr>
          <w:rFonts w:hint="eastAsia" w:ascii="宋体" w:hAnsi="宋体" w:eastAsia="宋体" w:cs="宋体"/>
          <w:b/>
          <w:snapToGrid w:val="0"/>
          <w:color w:val="auto"/>
          <w:sz w:val="28"/>
          <w:szCs w:val="28"/>
          <w:highlight w:val="none"/>
          <w:lang w:bidi="ar"/>
        </w:rPr>
        <w:t xml:space="preserve">          法定代表人身份证明</w:t>
      </w:r>
      <w:r>
        <w:rPr>
          <w:rFonts w:hint="eastAsia" w:ascii="宋体" w:hAnsi="宋体" w:eastAsia="宋体" w:cs="宋体"/>
          <w:bCs/>
          <w:snapToGrid w:val="0"/>
          <w:color w:val="auto"/>
          <w:sz w:val="28"/>
          <w:szCs w:val="28"/>
          <w:highlight w:val="none"/>
          <w:lang w:bidi="ar"/>
        </w:rPr>
        <w:t>（格式）</w:t>
      </w:r>
      <w:bookmarkEnd w:id="126"/>
      <w:bookmarkEnd w:id="127"/>
      <w:bookmarkEnd w:id="128"/>
      <w:bookmarkEnd w:id="129"/>
      <w:bookmarkEnd w:id="130"/>
    </w:p>
    <w:p w14:paraId="4F5CC3BA">
      <w:pPr>
        <w:wordWrap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 xml:space="preserve"> </w:t>
      </w:r>
    </w:p>
    <w:p w14:paraId="6A919EE0">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投标人名称：</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  </w:t>
      </w:r>
    </w:p>
    <w:p w14:paraId="6C3392E4">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地址：</w:t>
      </w:r>
      <w:r>
        <w:rPr>
          <w:rFonts w:hint="eastAsia" w:ascii="宋体" w:hAnsi="宋体" w:eastAsia="宋体" w:cs="宋体"/>
          <w:snapToGrid w:val="0"/>
          <w:color w:val="auto"/>
          <w:sz w:val="24"/>
          <w:highlight w:val="none"/>
          <w:u w:val="single"/>
          <w:lang w:bidi="ar"/>
        </w:rPr>
        <w:t xml:space="preserve">                               </w:t>
      </w:r>
    </w:p>
    <w:p w14:paraId="0071A3B2">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成立时间：</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年</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月</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日</w:t>
      </w:r>
    </w:p>
    <w:p w14:paraId="35E2EEE0">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经营期限：</w:t>
      </w:r>
      <w:r>
        <w:rPr>
          <w:rFonts w:hint="eastAsia" w:ascii="宋体" w:hAnsi="宋体" w:eastAsia="宋体" w:cs="宋体"/>
          <w:snapToGrid w:val="0"/>
          <w:color w:val="auto"/>
          <w:sz w:val="24"/>
          <w:highlight w:val="none"/>
          <w:u w:val="single"/>
          <w:lang w:bidi="ar"/>
        </w:rPr>
        <w:t xml:space="preserve">                  </w:t>
      </w:r>
    </w:p>
    <w:p w14:paraId="3B028AFC">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姓名：</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，性别：</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，年龄：</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，职务：</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系</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（投标人名称）的法定代表人。</w:t>
      </w:r>
    </w:p>
    <w:p w14:paraId="33368AF7">
      <w:pPr>
        <w:wordWrap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 xml:space="preserve"> </w:t>
      </w:r>
    </w:p>
    <w:p w14:paraId="0C3B02B8">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特此证明。</w:t>
      </w:r>
    </w:p>
    <w:p w14:paraId="57269D1A">
      <w:pPr>
        <w:wordWrap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 xml:space="preserve"> </w:t>
      </w:r>
      <w:r>
        <w:rPr>
          <w:rFonts w:hint="eastAsia" w:ascii="宋体" w:hAnsi="宋体" w:eastAsia="宋体" w:cs="宋体"/>
          <w:b/>
          <w:snapToGrid w:val="0"/>
          <w:color w:val="auto"/>
          <w:sz w:val="24"/>
          <w:highlight w:val="none"/>
          <w:lang w:bidi="ar"/>
        </w:rPr>
        <w:t xml:space="preserve"> </w:t>
      </w:r>
    </w:p>
    <w:tbl>
      <w:tblPr>
        <w:tblStyle w:val="19"/>
        <w:tblW w:w="0" w:type="auto"/>
        <w:jc w:val="center"/>
        <w:tblLayout w:type="fixed"/>
        <w:tblCellMar>
          <w:top w:w="0" w:type="dxa"/>
          <w:left w:w="108" w:type="dxa"/>
          <w:bottom w:w="0" w:type="dxa"/>
          <w:right w:w="108" w:type="dxa"/>
        </w:tblCellMar>
      </w:tblPr>
      <w:tblGrid>
        <w:gridCol w:w="5328"/>
      </w:tblGrid>
      <w:tr w14:paraId="3949DD6C">
        <w:tblPrEx>
          <w:tblCellMar>
            <w:top w:w="0" w:type="dxa"/>
            <w:left w:w="108" w:type="dxa"/>
            <w:bottom w:w="0" w:type="dxa"/>
            <w:right w:w="108" w:type="dxa"/>
          </w:tblCellMar>
        </w:tblPrEx>
        <w:trPr>
          <w:trHeight w:val="2800" w:hRule="atLeast"/>
          <w:jc w:val="center"/>
        </w:trPr>
        <w:tc>
          <w:tcPr>
            <w:tcW w:w="5328" w:type="dxa"/>
            <w:tcBorders>
              <w:top w:val="single" w:color="auto" w:sz="4" w:space="0"/>
              <w:left w:val="single" w:color="auto" w:sz="4" w:space="0"/>
              <w:bottom w:val="single" w:color="auto" w:sz="4" w:space="0"/>
              <w:right w:val="single" w:color="auto" w:sz="4" w:space="0"/>
            </w:tcBorders>
            <w:noWrap w:val="0"/>
            <w:vAlign w:val="top"/>
          </w:tcPr>
          <w:p w14:paraId="126E96E4">
            <w:pPr>
              <w:widowControl/>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此处请附法定代表人身份证正反面</w:t>
            </w:r>
          </w:p>
          <w:p w14:paraId="182E5665">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 </w:t>
            </w:r>
          </w:p>
        </w:tc>
      </w:tr>
    </w:tbl>
    <w:p w14:paraId="18CA6D57">
      <w:pPr>
        <w:wordWrap w:val="0"/>
        <w:adjustRightInd w:val="0"/>
        <w:snapToGrid w:val="0"/>
        <w:spacing w:before="312" w:beforeLines="100" w:after="312" w:afterLines="100" w:line="360" w:lineRule="auto"/>
        <w:jc w:val="center"/>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 xml:space="preserve"> </w:t>
      </w:r>
    </w:p>
    <w:p w14:paraId="744A24C2">
      <w:pPr>
        <w:wordWrap w:val="0"/>
        <w:adjustRightInd w:val="0"/>
        <w:snapToGrid w:val="0"/>
        <w:spacing w:before="312" w:beforeLines="100" w:after="312" w:afterLines="100" w:line="360" w:lineRule="auto"/>
        <w:jc w:val="center"/>
        <w:rPr>
          <w:rFonts w:hint="eastAsia" w:ascii="宋体" w:hAnsi="宋体" w:eastAsia="宋体" w:cs="宋体"/>
          <w:color w:val="auto"/>
          <w:sz w:val="24"/>
          <w:highlight w:val="none"/>
        </w:rPr>
      </w:pPr>
      <w:r>
        <w:rPr>
          <w:rFonts w:hint="eastAsia" w:ascii="宋体" w:hAnsi="宋体" w:eastAsia="宋体" w:cs="宋体"/>
          <w:b/>
          <w:snapToGrid w:val="0"/>
          <w:color w:val="auto"/>
          <w:sz w:val="24"/>
          <w:highlight w:val="none"/>
          <w:lang w:bidi="ar"/>
        </w:rPr>
        <w:t xml:space="preserve">  </w:t>
      </w:r>
    </w:p>
    <w:p w14:paraId="7F4C138B">
      <w:pPr>
        <w:wordWrap w:val="0"/>
        <w:adjustRightInd w:val="0"/>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 xml:space="preserve"> </w:t>
      </w:r>
    </w:p>
    <w:p w14:paraId="55EBE21F">
      <w:pPr>
        <w:wordWrap w:val="0"/>
        <w:adjustRightInd w:val="0"/>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投标人：</w:t>
      </w:r>
      <w:r>
        <w:rPr>
          <w:rFonts w:hint="eastAsia" w:ascii="宋体" w:hAnsi="宋体" w:eastAsia="宋体" w:cs="宋体"/>
          <w:snapToGrid w:val="0"/>
          <w:color w:val="auto"/>
          <w:sz w:val="24"/>
          <w:highlight w:val="none"/>
          <w:u w:val="single"/>
          <w:lang w:bidi="ar"/>
        </w:rPr>
        <w:t xml:space="preserve">______     __      </w:t>
      </w:r>
      <w:r>
        <w:rPr>
          <w:rFonts w:hint="eastAsia" w:ascii="宋体" w:hAnsi="宋体" w:eastAsia="宋体" w:cs="宋体"/>
          <w:snapToGrid w:val="0"/>
          <w:color w:val="auto"/>
          <w:sz w:val="24"/>
          <w:highlight w:val="none"/>
          <w:lang w:bidi="ar"/>
        </w:rPr>
        <w:t>（全称并加盖公章）</w:t>
      </w:r>
    </w:p>
    <w:p w14:paraId="38FC1A30">
      <w:pPr>
        <w:wordWrap w:val="0"/>
        <w:adjustRightInd w:val="0"/>
        <w:snapToGrid w:val="0"/>
        <w:spacing w:line="360" w:lineRule="auto"/>
        <w:rPr>
          <w:rFonts w:hint="eastAsia" w:ascii="宋体" w:hAnsi="宋体" w:eastAsia="宋体" w:cs="宋体"/>
          <w:b/>
          <w:snapToGrid w:val="0"/>
          <w:color w:val="auto"/>
          <w:sz w:val="28"/>
          <w:szCs w:val="28"/>
          <w:highlight w:val="none"/>
          <w:lang w:bidi="ar"/>
        </w:rPr>
      </w:pPr>
      <w:bookmarkStart w:id="131" w:name="_Toc25341"/>
      <w:bookmarkStart w:id="132" w:name="_Toc27258"/>
      <w:bookmarkStart w:id="133" w:name="_Toc5446"/>
      <w:bookmarkStart w:id="134" w:name="_Toc17089"/>
      <w:bookmarkStart w:id="135" w:name="_Toc15431"/>
      <w:r>
        <w:rPr>
          <w:rFonts w:hint="eastAsia" w:ascii="宋体" w:hAnsi="宋体" w:eastAsia="宋体" w:cs="宋体"/>
          <w:snapToGrid w:val="0"/>
          <w:color w:val="auto"/>
          <w:sz w:val="24"/>
          <w:highlight w:val="none"/>
          <w:lang w:bidi="ar"/>
        </w:rPr>
        <w:t xml:space="preserve">    </w:t>
      </w:r>
      <w:r>
        <w:rPr>
          <w:rFonts w:hint="eastAsia" w:ascii="宋体" w:hAnsi="宋体" w:eastAsia="宋体" w:cs="宋体"/>
          <w:snapToGrid w:val="0"/>
          <w:color w:val="auto"/>
          <w:sz w:val="24"/>
          <w:highlight w:val="none"/>
          <w:lang w:val="en-US" w:eastAsia="zh-CN" w:bidi="ar"/>
        </w:rPr>
        <w:t xml:space="preserve">                      日期：</w:t>
      </w:r>
      <w:r>
        <w:rPr>
          <w:rFonts w:hint="eastAsia" w:ascii="宋体" w:hAnsi="宋体" w:eastAsia="宋体" w:cs="宋体"/>
          <w:snapToGrid w:val="0"/>
          <w:color w:val="auto"/>
          <w:sz w:val="24"/>
          <w:highlight w:val="none"/>
          <w:lang w:bidi="ar"/>
        </w:rPr>
        <w:t xml:space="preserve">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年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月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日 </w:t>
      </w:r>
      <w:r>
        <w:rPr>
          <w:rFonts w:hint="eastAsia" w:ascii="宋体" w:hAnsi="宋体" w:eastAsia="宋体" w:cs="宋体"/>
          <w:b/>
          <w:snapToGrid w:val="0"/>
          <w:color w:val="auto"/>
          <w:sz w:val="24"/>
          <w:highlight w:val="none"/>
          <w:lang w:bidi="ar"/>
        </w:rPr>
        <w:br w:type="page"/>
      </w:r>
      <w:r>
        <w:rPr>
          <w:rFonts w:hint="eastAsia" w:ascii="宋体" w:hAnsi="宋体" w:eastAsia="宋体" w:cs="宋体"/>
          <w:b/>
          <w:snapToGrid w:val="0"/>
          <w:color w:val="auto"/>
          <w:sz w:val="28"/>
          <w:szCs w:val="28"/>
          <w:highlight w:val="none"/>
          <w:lang w:bidi="ar"/>
        </w:rPr>
        <w:t>附件</w:t>
      </w:r>
      <w:r>
        <w:rPr>
          <w:rFonts w:hint="eastAsia" w:ascii="宋体" w:hAnsi="宋体" w:eastAsia="宋体" w:cs="宋体"/>
          <w:b/>
          <w:snapToGrid w:val="0"/>
          <w:color w:val="auto"/>
          <w:sz w:val="28"/>
          <w:szCs w:val="28"/>
          <w:highlight w:val="none"/>
          <w:lang w:val="en-US" w:eastAsia="zh-CN" w:bidi="ar"/>
        </w:rPr>
        <w:t>7</w:t>
      </w:r>
      <w:r>
        <w:rPr>
          <w:rFonts w:hint="eastAsia" w:ascii="宋体" w:hAnsi="宋体" w:eastAsia="宋体" w:cs="宋体"/>
          <w:b/>
          <w:snapToGrid w:val="0"/>
          <w:color w:val="auto"/>
          <w:sz w:val="28"/>
          <w:szCs w:val="28"/>
          <w:highlight w:val="none"/>
          <w:lang w:bidi="ar"/>
        </w:rPr>
        <w:t xml:space="preserve">               法定代表人授权书</w:t>
      </w:r>
      <w:r>
        <w:rPr>
          <w:rFonts w:hint="eastAsia" w:ascii="宋体" w:hAnsi="宋体" w:eastAsia="宋体" w:cs="宋体"/>
          <w:bCs/>
          <w:snapToGrid w:val="0"/>
          <w:color w:val="auto"/>
          <w:sz w:val="28"/>
          <w:szCs w:val="28"/>
          <w:highlight w:val="none"/>
          <w:lang w:bidi="ar"/>
        </w:rPr>
        <w:t>（格式）</w:t>
      </w:r>
      <w:bookmarkEnd w:id="131"/>
      <w:bookmarkEnd w:id="132"/>
      <w:bookmarkEnd w:id="133"/>
      <w:bookmarkEnd w:id="134"/>
      <w:bookmarkEnd w:id="135"/>
    </w:p>
    <w:p w14:paraId="6E18F3FE">
      <w:pPr>
        <w:wordWrap w:val="0"/>
        <w:adjustRightInd w:val="0"/>
        <w:snapToGrid w:val="0"/>
        <w:spacing w:line="360" w:lineRule="auto"/>
        <w:rPr>
          <w:rFonts w:hint="eastAsia" w:ascii="宋体" w:hAnsi="宋体" w:eastAsia="宋体" w:cs="宋体"/>
          <w:snapToGrid w:val="0"/>
          <w:color w:val="auto"/>
          <w:sz w:val="24"/>
          <w:highlight w:val="none"/>
          <w:lang w:bidi="ar"/>
        </w:rPr>
      </w:pPr>
    </w:p>
    <w:p w14:paraId="4ECA95EF">
      <w:pPr>
        <w:wordWrap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致：</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（采购人名称）</w:t>
      </w:r>
      <w:r>
        <w:rPr>
          <w:rFonts w:hint="eastAsia" w:ascii="宋体" w:hAnsi="宋体" w:eastAsia="宋体" w:cs="宋体"/>
          <w:b/>
          <w:snapToGrid w:val="0"/>
          <w:color w:val="auto"/>
          <w:sz w:val="24"/>
          <w:highlight w:val="none"/>
          <w:lang w:bidi="ar"/>
        </w:rPr>
        <w:t xml:space="preserve"> </w:t>
      </w:r>
      <w:r>
        <w:rPr>
          <w:rFonts w:hint="eastAsia" w:ascii="宋体" w:hAnsi="宋体" w:eastAsia="宋体" w:cs="宋体"/>
          <w:snapToGrid w:val="0"/>
          <w:color w:val="auto"/>
          <w:sz w:val="24"/>
          <w:highlight w:val="none"/>
          <w:lang w:bidi="ar"/>
        </w:rPr>
        <w:t>：</w:t>
      </w:r>
    </w:p>
    <w:p w14:paraId="594BACCE">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我</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（姓名）系</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（投标人名称）的法定代表人，现委托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（姓名）为我方代理人。代理人根据本授权，以我方的名义参加</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项目（项目编号：</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）的投标活动，并代表我方全权办理针对上述项目的投标、开标、评标、签约等具体事务和签署相关文件。</w:t>
      </w:r>
    </w:p>
    <w:p w14:paraId="314F931A">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我方对代理人的签名负全部责任。在撤销授权的书面通知以前，本授权书一直有效。代理人在授权书有效期内签署的所有文件不因授权的撤销而失效。</w:t>
      </w:r>
    </w:p>
    <w:p w14:paraId="52100B22">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如果本次采购活动现场变更采购方式，本授权书有效。</w:t>
      </w:r>
    </w:p>
    <w:p w14:paraId="5D4E2E33">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代理人无转委托权。</w:t>
      </w:r>
    </w:p>
    <w:p w14:paraId="5A8ADEAE">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委托期限：</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 </w:t>
      </w:r>
    </w:p>
    <w:p w14:paraId="2B19A90C">
      <w:pPr>
        <w:wordWrap w:val="0"/>
        <w:adjustRightInd w:val="0"/>
        <w:snapToGrid w:val="0"/>
        <w:spacing w:line="360" w:lineRule="auto"/>
        <w:ind w:left="559" w:leftChars="266"/>
        <w:rPr>
          <w:rFonts w:hint="eastAsia" w:ascii="宋体" w:hAnsi="宋体" w:eastAsia="宋体" w:cs="宋体"/>
          <w:snapToGrid w:val="0"/>
          <w:color w:val="auto"/>
          <w:sz w:val="24"/>
          <w:highlight w:val="none"/>
          <w:u w:val="single"/>
          <w:lang w:bidi="ar"/>
        </w:rPr>
      </w:pPr>
      <w:r>
        <w:rPr>
          <w:rFonts w:hint="eastAsia" w:ascii="宋体" w:hAnsi="宋体" w:eastAsia="宋体" w:cs="宋体"/>
          <w:snapToGrid w:val="0"/>
          <w:color w:val="auto"/>
          <w:sz w:val="24"/>
          <w:highlight w:val="none"/>
          <w:lang w:bidi="ar"/>
        </w:rPr>
        <w:t>委托代理人签名：</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      法定代表人签名：</w:t>
      </w:r>
      <w:r>
        <w:rPr>
          <w:rFonts w:hint="eastAsia" w:ascii="宋体" w:hAnsi="宋体" w:eastAsia="宋体" w:cs="宋体"/>
          <w:snapToGrid w:val="0"/>
          <w:color w:val="auto"/>
          <w:sz w:val="24"/>
          <w:highlight w:val="none"/>
          <w:u w:val="single"/>
          <w:lang w:bidi="ar"/>
        </w:rPr>
        <w:t xml:space="preserve">     </w:t>
      </w:r>
    </w:p>
    <w:p w14:paraId="6C0A0AF0">
      <w:pPr>
        <w:wordWrap w:val="0"/>
        <w:adjustRightInd w:val="0"/>
        <w:snapToGrid w:val="0"/>
        <w:spacing w:line="360" w:lineRule="auto"/>
        <w:ind w:left="559" w:leftChars="266"/>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职务：</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               职务：</w:t>
      </w:r>
      <w:r>
        <w:rPr>
          <w:rFonts w:hint="eastAsia" w:ascii="宋体" w:hAnsi="宋体" w:eastAsia="宋体" w:cs="宋体"/>
          <w:snapToGrid w:val="0"/>
          <w:color w:val="auto"/>
          <w:sz w:val="24"/>
          <w:highlight w:val="none"/>
          <w:u w:val="single"/>
          <w:lang w:bidi="ar"/>
        </w:rPr>
        <w:t xml:space="preserve">           </w:t>
      </w:r>
    </w:p>
    <w:p w14:paraId="6965C6B2">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委托代理人身份证号码：</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                                                    </w:t>
      </w:r>
    </w:p>
    <w:tbl>
      <w:tblPr>
        <w:tblStyle w:val="19"/>
        <w:tblW w:w="0" w:type="auto"/>
        <w:jc w:val="center"/>
        <w:tblLayout w:type="fixed"/>
        <w:tblCellMar>
          <w:top w:w="0" w:type="dxa"/>
          <w:left w:w="108" w:type="dxa"/>
          <w:bottom w:w="0" w:type="dxa"/>
          <w:right w:w="108" w:type="dxa"/>
        </w:tblCellMar>
      </w:tblPr>
      <w:tblGrid>
        <w:gridCol w:w="5508"/>
      </w:tblGrid>
      <w:tr w14:paraId="6B56FE3B">
        <w:tblPrEx>
          <w:tblCellMar>
            <w:top w:w="0" w:type="dxa"/>
            <w:left w:w="108" w:type="dxa"/>
            <w:bottom w:w="0" w:type="dxa"/>
            <w:right w:w="108" w:type="dxa"/>
          </w:tblCellMar>
        </w:tblPrEx>
        <w:trPr>
          <w:trHeight w:val="2642" w:hRule="atLeast"/>
          <w:jc w:val="center"/>
        </w:trPr>
        <w:tc>
          <w:tcPr>
            <w:tcW w:w="5508" w:type="dxa"/>
            <w:tcBorders>
              <w:top w:val="single" w:color="auto" w:sz="4" w:space="0"/>
              <w:left w:val="single" w:color="auto" w:sz="4" w:space="0"/>
              <w:bottom w:val="single" w:color="auto" w:sz="4" w:space="0"/>
              <w:right w:val="single" w:color="auto" w:sz="4" w:space="0"/>
            </w:tcBorders>
            <w:noWrap w:val="0"/>
            <w:vAlign w:val="top"/>
          </w:tcPr>
          <w:p w14:paraId="70B4F4DB">
            <w:pPr>
              <w:widowControl/>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此处请附委托代理人身份证正反面</w:t>
            </w:r>
          </w:p>
          <w:p w14:paraId="179B0FEF">
            <w:pPr>
              <w:adjustRightInd w:val="0"/>
              <w:snapToGrid w:val="0"/>
              <w:spacing w:line="360" w:lineRule="auto"/>
              <w:jc w:val="left"/>
              <w:rPr>
                <w:rFonts w:hint="eastAsia" w:ascii="宋体" w:hAnsi="宋体" w:eastAsia="宋体" w:cs="宋体"/>
                <w:color w:val="auto"/>
                <w:sz w:val="24"/>
                <w:highlight w:val="none"/>
              </w:rPr>
            </w:pPr>
          </w:p>
        </w:tc>
      </w:tr>
    </w:tbl>
    <w:p w14:paraId="1C923B93">
      <w:pPr>
        <w:wordWrap w:val="0"/>
        <w:adjustRightInd w:val="0"/>
        <w:snapToGrid w:val="0"/>
        <w:spacing w:line="360" w:lineRule="auto"/>
        <w:rPr>
          <w:rFonts w:hint="eastAsia" w:ascii="宋体" w:hAnsi="宋体" w:eastAsia="宋体" w:cs="宋体"/>
          <w:snapToGrid w:val="0"/>
          <w:color w:val="auto"/>
          <w:sz w:val="24"/>
          <w:highlight w:val="none"/>
          <w:lang w:bidi="ar"/>
        </w:rPr>
      </w:pPr>
    </w:p>
    <w:p w14:paraId="21C4081B">
      <w:pPr>
        <w:wordWrap w:val="0"/>
        <w:adjustRightInd w:val="0"/>
        <w:snapToGrid w:val="0"/>
        <w:spacing w:line="360" w:lineRule="auto"/>
        <w:jc w:val="right"/>
        <w:rPr>
          <w:rFonts w:hint="eastAsia" w:ascii="宋体" w:hAnsi="宋体" w:eastAsia="宋体" w:cs="宋体"/>
          <w:snapToGrid w:val="0"/>
          <w:color w:val="auto"/>
          <w:sz w:val="24"/>
          <w:highlight w:val="none"/>
          <w:lang w:val="en-US" w:eastAsia="zh-CN" w:bidi="ar"/>
        </w:rPr>
      </w:pPr>
      <w:r>
        <w:rPr>
          <w:rFonts w:hint="eastAsia" w:ascii="宋体" w:hAnsi="宋体" w:eastAsia="宋体" w:cs="宋体"/>
          <w:snapToGrid w:val="0"/>
          <w:color w:val="auto"/>
          <w:sz w:val="24"/>
          <w:highlight w:val="none"/>
          <w:lang w:val="en-US" w:eastAsia="zh-CN" w:bidi="ar"/>
        </w:rPr>
        <w:t xml:space="preserve">                         </w:t>
      </w:r>
    </w:p>
    <w:p w14:paraId="35CE25E6">
      <w:pPr>
        <w:wordWrap w:val="0"/>
        <w:adjustRightInd w:val="0"/>
        <w:snapToGrid w:val="0"/>
        <w:spacing w:line="360" w:lineRule="auto"/>
        <w:jc w:val="right"/>
        <w:rPr>
          <w:rFonts w:hint="eastAsia" w:ascii="宋体" w:hAnsi="宋体" w:eastAsia="宋体" w:cs="宋体"/>
          <w:snapToGrid w:val="0"/>
          <w:color w:val="auto"/>
          <w:sz w:val="24"/>
          <w:highlight w:val="none"/>
          <w:lang w:val="en-US" w:eastAsia="zh-CN" w:bidi="ar"/>
        </w:rPr>
      </w:pPr>
    </w:p>
    <w:p w14:paraId="6FF48109">
      <w:pPr>
        <w:wordWrap/>
        <w:adjustRightInd w:val="0"/>
        <w:snapToGrid w:val="0"/>
        <w:spacing w:line="360" w:lineRule="auto"/>
        <w:jc w:val="left"/>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val="en-US" w:eastAsia="zh-CN" w:bidi="ar"/>
        </w:rPr>
        <w:t xml:space="preserve">                  </w:t>
      </w:r>
      <w:r>
        <w:rPr>
          <w:rFonts w:hint="eastAsia" w:ascii="宋体" w:hAnsi="宋体" w:eastAsia="宋体" w:cs="宋体"/>
          <w:snapToGrid w:val="0"/>
          <w:color w:val="auto"/>
          <w:sz w:val="24"/>
          <w:highlight w:val="none"/>
          <w:lang w:bidi="ar"/>
        </w:rPr>
        <w:t>投标人：</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（全称并加盖公章）             </w:t>
      </w:r>
    </w:p>
    <w:p w14:paraId="00968297">
      <w:pPr>
        <w:wordWrap w:val="0"/>
        <w:adjustRightInd w:val="0"/>
        <w:snapToGrid w:val="0"/>
        <w:spacing w:before="50" w:after="156" w:afterLines="50" w:line="360" w:lineRule="auto"/>
        <w:outlineLvl w:val="1"/>
        <w:rPr>
          <w:rFonts w:hint="eastAsia" w:ascii="宋体" w:hAnsi="宋体" w:eastAsia="宋体" w:cs="宋体"/>
          <w:b/>
          <w:snapToGrid w:val="0"/>
          <w:color w:val="auto"/>
          <w:sz w:val="28"/>
          <w:szCs w:val="28"/>
          <w:highlight w:val="none"/>
          <w:lang w:bidi="ar"/>
        </w:rPr>
      </w:pPr>
      <w:r>
        <w:rPr>
          <w:rFonts w:hint="eastAsia" w:ascii="宋体" w:hAnsi="宋体" w:eastAsia="宋体" w:cs="宋体"/>
          <w:snapToGrid w:val="0"/>
          <w:color w:val="auto"/>
          <w:sz w:val="24"/>
          <w:highlight w:val="none"/>
          <w:lang w:bidi="ar"/>
        </w:rPr>
        <w:t xml:space="preserve">  </w:t>
      </w:r>
      <w:bookmarkStart w:id="136" w:name="_Toc13163"/>
      <w:bookmarkStart w:id="137" w:name="_Toc29278"/>
      <w:bookmarkStart w:id="138" w:name="_Toc31901"/>
      <w:bookmarkStart w:id="139" w:name="_Toc10282"/>
      <w:bookmarkStart w:id="140" w:name="_Toc4801"/>
      <w:r>
        <w:rPr>
          <w:rFonts w:hint="eastAsia" w:ascii="宋体" w:hAnsi="宋体" w:eastAsia="宋体" w:cs="宋体"/>
          <w:snapToGrid w:val="0"/>
          <w:color w:val="auto"/>
          <w:sz w:val="24"/>
          <w:highlight w:val="none"/>
          <w:lang w:val="en-US" w:eastAsia="zh-CN" w:bidi="ar"/>
        </w:rPr>
        <w:t xml:space="preserve">                日期：</w:t>
      </w:r>
      <w:r>
        <w:rPr>
          <w:rFonts w:hint="eastAsia" w:ascii="宋体" w:hAnsi="宋体" w:eastAsia="宋体" w:cs="宋体"/>
          <w:snapToGrid w:val="0"/>
          <w:color w:val="auto"/>
          <w:sz w:val="24"/>
          <w:highlight w:val="none"/>
          <w:lang w:bidi="ar"/>
        </w:rPr>
        <w:t xml:space="preserve">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年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月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日 </w:t>
      </w:r>
      <w:r>
        <w:rPr>
          <w:rFonts w:hint="eastAsia" w:ascii="宋体" w:hAnsi="宋体" w:eastAsia="宋体" w:cs="宋体"/>
          <w:b/>
          <w:snapToGrid w:val="0"/>
          <w:color w:val="auto"/>
          <w:sz w:val="24"/>
          <w:highlight w:val="none"/>
          <w:lang w:bidi="ar"/>
        </w:rPr>
        <w:br w:type="page"/>
      </w:r>
      <w:r>
        <w:rPr>
          <w:rFonts w:hint="eastAsia" w:ascii="宋体" w:hAnsi="宋体" w:eastAsia="宋体" w:cs="宋体"/>
          <w:b/>
          <w:snapToGrid w:val="0"/>
          <w:color w:val="auto"/>
          <w:sz w:val="28"/>
          <w:szCs w:val="28"/>
          <w:highlight w:val="none"/>
          <w:lang w:bidi="ar"/>
        </w:rPr>
        <w:t>附件</w:t>
      </w:r>
      <w:r>
        <w:rPr>
          <w:rFonts w:hint="eastAsia" w:ascii="宋体" w:hAnsi="宋体" w:eastAsia="宋体" w:cs="宋体"/>
          <w:b/>
          <w:snapToGrid w:val="0"/>
          <w:color w:val="auto"/>
          <w:sz w:val="28"/>
          <w:szCs w:val="28"/>
          <w:highlight w:val="none"/>
          <w:lang w:val="en-US" w:eastAsia="zh-CN" w:bidi="ar"/>
        </w:rPr>
        <w:t>8</w:t>
      </w:r>
      <w:r>
        <w:rPr>
          <w:rFonts w:hint="eastAsia" w:ascii="宋体" w:hAnsi="宋体" w:eastAsia="宋体" w:cs="宋体"/>
          <w:b/>
          <w:snapToGrid w:val="0"/>
          <w:color w:val="auto"/>
          <w:sz w:val="28"/>
          <w:szCs w:val="28"/>
          <w:highlight w:val="none"/>
          <w:lang w:bidi="ar"/>
        </w:rPr>
        <w:t xml:space="preserve">            技术（服务）方案（格式自拟）</w:t>
      </w:r>
    </w:p>
    <w:p w14:paraId="365ECC62">
      <w:pPr>
        <w:wordWrap w:val="0"/>
        <w:adjustRightInd w:val="0"/>
        <w:snapToGrid w:val="0"/>
        <w:spacing w:before="50" w:after="156" w:afterLines="50" w:line="360" w:lineRule="auto"/>
        <w:rPr>
          <w:rFonts w:hint="eastAsia" w:ascii="宋体" w:hAnsi="宋体" w:eastAsia="宋体" w:cs="宋体"/>
          <w:b/>
          <w:snapToGrid w:val="0"/>
          <w:color w:val="auto"/>
          <w:sz w:val="24"/>
          <w:highlight w:val="none"/>
          <w:lang w:bidi="ar"/>
        </w:rPr>
      </w:pPr>
      <w:r>
        <w:rPr>
          <w:rFonts w:hint="eastAsia" w:ascii="宋体" w:hAnsi="宋体" w:eastAsia="宋体" w:cs="宋体"/>
          <w:b/>
          <w:snapToGrid w:val="0"/>
          <w:color w:val="auto"/>
          <w:sz w:val="24"/>
          <w:highlight w:val="none"/>
          <w:lang w:bidi="ar"/>
        </w:rPr>
        <w:t xml:space="preserve"> 投标人根据招标文件技术要求内容自行编制技术（服务）方案，但不能存在严重不科学、不合理之处，否则按未实质性响应招标文件进行处理。</w:t>
      </w:r>
    </w:p>
    <w:p w14:paraId="66777585">
      <w:pPr>
        <w:rPr>
          <w:rFonts w:hint="eastAsia" w:ascii="宋体" w:hAnsi="宋体" w:eastAsia="宋体" w:cs="宋体"/>
          <w:b/>
          <w:snapToGrid w:val="0"/>
          <w:color w:val="auto"/>
          <w:sz w:val="24"/>
          <w:highlight w:val="none"/>
          <w:lang w:bidi="ar"/>
        </w:rPr>
      </w:pPr>
    </w:p>
    <w:p w14:paraId="5F9C1B2D">
      <w:pPr>
        <w:rPr>
          <w:rFonts w:hint="eastAsia" w:ascii="宋体" w:hAnsi="宋体" w:eastAsia="宋体" w:cs="宋体"/>
          <w:b/>
          <w:snapToGrid w:val="0"/>
          <w:color w:val="auto"/>
          <w:sz w:val="28"/>
          <w:szCs w:val="28"/>
          <w:highlight w:val="none"/>
          <w:lang w:bidi="ar"/>
        </w:rPr>
      </w:pPr>
      <w:r>
        <w:rPr>
          <w:rFonts w:hint="eastAsia" w:ascii="宋体" w:hAnsi="宋体" w:eastAsia="宋体" w:cs="宋体"/>
          <w:b/>
          <w:snapToGrid w:val="0"/>
          <w:color w:val="auto"/>
          <w:sz w:val="28"/>
          <w:szCs w:val="28"/>
          <w:highlight w:val="none"/>
          <w:lang w:bidi="ar"/>
        </w:rPr>
        <w:br w:type="page"/>
      </w:r>
    </w:p>
    <w:p w14:paraId="609D68BA">
      <w:pPr>
        <w:wordWrap w:val="0"/>
        <w:adjustRightInd w:val="0"/>
        <w:snapToGrid w:val="0"/>
        <w:spacing w:line="360" w:lineRule="auto"/>
        <w:jc w:val="both"/>
        <w:rPr>
          <w:rFonts w:hint="eastAsia" w:ascii="宋体" w:hAnsi="宋体" w:eastAsia="宋体" w:cs="宋体"/>
          <w:b/>
          <w:color w:val="auto"/>
          <w:sz w:val="24"/>
          <w:highlight w:val="none"/>
          <w:lang w:bidi="ar"/>
        </w:rPr>
      </w:pPr>
      <w:r>
        <w:rPr>
          <w:rFonts w:hint="eastAsia" w:ascii="宋体" w:hAnsi="宋体" w:eastAsia="宋体" w:cs="宋体"/>
          <w:b/>
          <w:snapToGrid w:val="0"/>
          <w:color w:val="auto"/>
          <w:sz w:val="28"/>
          <w:szCs w:val="28"/>
          <w:highlight w:val="none"/>
          <w:lang w:bidi="ar"/>
        </w:rPr>
        <w:t xml:space="preserve">附件9   </w:t>
      </w:r>
      <w:r>
        <w:rPr>
          <w:rFonts w:hint="eastAsia" w:ascii="宋体" w:hAnsi="宋体" w:eastAsia="宋体" w:cs="宋体"/>
          <w:b/>
          <w:snapToGrid w:val="0"/>
          <w:color w:val="auto"/>
          <w:sz w:val="28"/>
          <w:szCs w:val="28"/>
          <w:highlight w:val="none"/>
          <w:lang w:val="en-US" w:eastAsia="zh-CN" w:bidi="ar"/>
        </w:rPr>
        <w:t xml:space="preserve">              </w:t>
      </w:r>
      <w:r>
        <w:rPr>
          <w:rFonts w:hint="eastAsia" w:ascii="宋体" w:hAnsi="宋体" w:eastAsia="宋体" w:cs="宋体"/>
          <w:b/>
          <w:snapToGrid w:val="0"/>
          <w:color w:val="auto"/>
          <w:sz w:val="28"/>
          <w:szCs w:val="28"/>
          <w:highlight w:val="none"/>
          <w:lang w:bidi="ar"/>
        </w:rPr>
        <w:t>证明文件</w:t>
      </w:r>
      <w:bookmarkEnd w:id="136"/>
      <w:bookmarkEnd w:id="137"/>
      <w:bookmarkEnd w:id="138"/>
      <w:bookmarkEnd w:id="139"/>
      <w:bookmarkEnd w:id="140"/>
    </w:p>
    <w:p w14:paraId="3206E066">
      <w:pPr>
        <w:adjustRightInd w:val="0"/>
        <w:snapToGrid w:val="0"/>
        <w:spacing w:line="360" w:lineRule="auto"/>
        <w:ind w:firstLine="482" w:firstLineChars="200"/>
        <w:rPr>
          <w:rFonts w:hint="eastAsia" w:ascii="宋体" w:hAnsi="宋体" w:eastAsia="宋体" w:cs="宋体"/>
          <w:b/>
          <w:color w:val="auto"/>
          <w:sz w:val="24"/>
          <w:highlight w:val="none"/>
          <w:lang w:bidi="ar"/>
        </w:rPr>
      </w:pPr>
    </w:p>
    <w:p w14:paraId="022F9DC3">
      <w:pPr>
        <w:adjustRightInd w:val="0"/>
        <w:snapToGrid w:val="0"/>
        <w:spacing w:line="360" w:lineRule="auto"/>
        <w:ind w:firstLine="482" w:firstLineChars="200"/>
        <w:rPr>
          <w:rFonts w:hint="eastAsia"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9.1投标人根据招标公告“二、申请人的资格要求”及第三章投标人须知“一说明 4投标人应提交的证明文件”要求内容提供相关证明材料。</w:t>
      </w:r>
    </w:p>
    <w:p w14:paraId="1CC7F791">
      <w:pPr>
        <w:adjustRightInd w:val="0"/>
        <w:snapToGrid w:val="0"/>
        <w:spacing w:line="360" w:lineRule="auto"/>
        <w:ind w:firstLine="482" w:firstLineChars="200"/>
        <w:rPr>
          <w:rFonts w:hint="eastAsia" w:ascii="宋体" w:hAnsi="宋体" w:eastAsia="宋体" w:cs="宋体"/>
          <w:b/>
          <w:color w:val="auto"/>
          <w:sz w:val="24"/>
          <w:highlight w:val="none"/>
          <w:lang w:bidi="ar"/>
        </w:rPr>
      </w:pPr>
    </w:p>
    <w:p w14:paraId="41A46600">
      <w:pPr>
        <w:adjustRightInd w:val="0"/>
        <w:snapToGrid w:val="0"/>
        <w:spacing w:line="360" w:lineRule="auto"/>
        <w:ind w:firstLine="482" w:firstLineChars="200"/>
        <w:rPr>
          <w:rFonts w:hint="eastAsia"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 xml:space="preserve">9.2          </w:t>
      </w:r>
      <w:r>
        <w:rPr>
          <w:rFonts w:hint="eastAsia" w:ascii="宋体" w:hAnsi="宋体" w:eastAsia="宋体" w:cs="宋体"/>
          <w:b/>
          <w:color w:val="auto"/>
          <w:sz w:val="24"/>
          <w:highlight w:val="none"/>
          <w:lang w:val="en-US" w:eastAsia="zh-CN" w:bidi="ar"/>
        </w:rPr>
        <w:t xml:space="preserve">     </w:t>
      </w:r>
      <w:r>
        <w:rPr>
          <w:rFonts w:hint="eastAsia" w:ascii="宋体" w:hAnsi="宋体" w:eastAsia="宋体" w:cs="宋体"/>
          <w:b/>
          <w:color w:val="auto"/>
          <w:sz w:val="24"/>
          <w:highlight w:val="none"/>
          <w:lang w:bidi="ar"/>
        </w:rPr>
        <w:t>驻马店市政府采购投标人信用承诺函</w:t>
      </w:r>
    </w:p>
    <w:p w14:paraId="0E2AF354">
      <w:pPr>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致（采购人或政府采购代理机构）  ：</w:t>
      </w:r>
    </w:p>
    <w:p w14:paraId="704D9750">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单位名称（自然人姓名）：       </w:t>
      </w:r>
    </w:p>
    <w:p w14:paraId="5E9240FE">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统一社会信用代码（身份证号码）：    </w:t>
      </w:r>
    </w:p>
    <w:p w14:paraId="5D645ABD">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        </w:t>
      </w:r>
    </w:p>
    <w:p w14:paraId="5D4CBDBA">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联系地址和电话：   </w:t>
      </w:r>
    </w:p>
    <w:p w14:paraId="7BE03CA3">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AEA8F24">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（一）具有独立承担民事责任的能力；</w:t>
      </w:r>
    </w:p>
    <w:p w14:paraId="1ED3D974">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（二）具有良好的商业信誉和健全的财务会计制度；</w:t>
      </w:r>
    </w:p>
    <w:p w14:paraId="5EB30C21">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（三）具有履行合同所必需的设备和专业技术能力；</w:t>
      </w:r>
    </w:p>
    <w:p w14:paraId="2999516C">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（四）有依法缴纳税收和社会保障资金的良好记录；</w:t>
      </w:r>
    </w:p>
    <w:p w14:paraId="41DD1323">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（五）参加政府采购活动前三年内，在经营活动中没有重大违法记录；</w:t>
      </w:r>
    </w:p>
    <w:p w14:paraId="611E8C16">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（六）未被列入严重失信主体名单、失信被执行人、税收违法黑名单、政府采购严重违法失信行为记录名单，未曾作出虚假承诺；</w:t>
      </w:r>
    </w:p>
    <w:p w14:paraId="32F4B407">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（七）符合法律、行政法规规定的其他条件。</w:t>
      </w:r>
    </w:p>
    <w:p w14:paraId="52C95655">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我单位（本人）保证上述承诺事项的真实性，如有弄虚作假或其他违法违规行为，愿意承担一切法律责任，并承担因此所造成的一切损失。</w:t>
      </w:r>
    </w:p>
    <w:p w14:paraId="3AA83246">
      <w:pPr>
        <w:spacing w:line="600" w:lineRule="exact"/>
        <w:ind w:firstLine="3360" w:firstLineChars="1400"/>
        <w:rPr>
          <w:rFonts w:hint="eastAsia" w:ascii="宋体" w:hAnsi="宋体" w:eastAsia="宋体" w:cs="宋体"/>
          <w:color w:val="auto"/>
          <w:sz w:val="24"/>
          <w:highlight w:val="none"/>
        </w:rPr>
      </w:pPr>
    </w:p>
    <w:p w14:paraId="1BEFBE8B">
      <w:pPr>
        <w:spacing w:line="600" w:lineRule="exact"/>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14:paraId="0CC658BA">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法定代表人、负责人、自然人或授权代表(签字)：</w:t>
      </w:r>
    </w:p>
    <w:p w14:paraId="3FE6A2C9">
      <w:pPr>
        <w:spacing w:line="600" w:lineRule="exact"/>
        <w:ind w:firstLine="2640" w:firstLineChars="1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日</w:t>
      </w:r>
      <w:r>
        <w:rPr>
          <w:rFonts w:hint="eastAsia" w:ascii="宋体" w:hAnsi="宋体" w:eastAsia="宋体" w:cs="宋体"/>
          <w:color w:val="auto"/>
          <w:sz w:val="24"/>
          <w:highlight w:val="none"/>
        </w:rPr>
        <w:t>期： 年  月  日</w:t>
      </w:r>
    </w:p>
    <w:p w14:paraId="271FDB5A">
      <w:pPr>
        <w:spacing w:line="600" w:lineRule="exact"/>
        <w:rPr>
          <w:rFonts w:hint="eastAsia" w:ascii="宋体" w:hAnsi="宋体" w:eastAsia="宋体" w:cs="宋体"/>
          <w:color w:val="auto"/>
          <w:sz w:val="24"/>
          <w:highlight w:val="none"/>
        </w:rPr>
      </w:pPr>
    </w:p>
    <w:p w14:paraId="2B1BBF23">
      <w:pPr>
        <w:spacing w:line="600" w:lineRule="exact"/>
        <w:rPr>
          <w:rFonts w:hint="eastAsia" w:ascii="宋体" w:hAnsi="宋体" w:eastAsia="宋体" w:cs="宋体"/>
          <w:color w:val="auto"/>
          <w:sz w:val="24"/>
          <w:highlight w:val="none"/>
        </w:rPr>
      </w:pPr>
    </w:p>
    <w:p w14:paraId="17D6876A">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注：1.投标人须在投标文件中按此模板提供承诺函，未提供视为未实质性响应招标文件要求，按无效投标处理。</w:t>
      </w:r>
    </w:p>
    <w:p w14:paraId="0D10C5E8">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2.投标人的法定代表人或者授权代表的签字或盖章应真实、有效，如由授权代表签字或盖章的，应提供“法定代表人授权书”。</w:t>
      </w:r>
    </w:p>
    <w:p w14:paraId="59B0A701">
      <w:pPr>
        <w:widowControl/>
        <w:spacing w:line="360" w:lineRule="auto"/>
        <w:jc w:val="left"/>
        <w:rPr>
          <w:rFonts w:hint="eastAsia" w:ascii="宋体" w:hAnsi="宋体" w:eastAsia="宋体" w:cs="宋体"/>
          <w:color w:val="auto"/>
          <w:sz w:val="24"/>
          <w:highlight w:val="none"/>
        </w:rPr>
      </w:pPr>
    </w:p>
    <w:p w14:paraId="6D75A825">
      <w:pPr>
        <w:adjustRightInd w:val="0"/>
        <w:snapToGrid w:val="0"/>
        <w:spacing w:line="240" w:lineRule="auto"/>
        <w:ind w:firstLine="482" w:firstLineChars="200"/>
        <w:rPr>
          <w:rFonts w:hint="eastAsia"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9.3其它证明其具有良好商业信誉的材料（如要求需提供）</w:t>
      </w:r>
    </w:p>
    <w:p w14:paraId="00D61001">
      <w:pPr>
        <w:adjustRightInd w:val="0"/>
        <w:snapToGrid w:val="0"/>
        <w:spacing w:line="240" w:lineRule="auto"/>
        <w:ind w:firstLine="482" w:firstLineChars="200"/>
        <w:rPr>
          <w:rFonts w:hint="eastAsia" w:ascii="宋体" w:hAnsi="宋体" w:eastAsia="宋体" w:cs="宋体"/>
          <w:b/>
          <w:color w:val="auto"/>
          <w:sz w:val="24"/>
          <w:highlight w:val="none"/>
          <w:lang w:bidi="ar"/>
        </w:rPr>
      </w:pPr>
    </w:p>
    <w:p w14:paraId="2454AC4D">
      <w:pPr>
        <w:adjustRightInd w:val="0"/>
        <w:snapToGrid w:val="0"/>
        <w:spacing w:line="240" w:lineRule="auto"/>
        <w:ind w:firstLine="482" w:firstLineChars="200"/>
        <w:rPr>
          <w:rFonts w:hint="eastAsia"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9.4荣誉证书或资格文件扫描件（如有）</w:t>
      </w:r>
    </w:p>
    <w:p w14:paraId="1CF8E55F">
      <w:pPr>
        <w:adjustRightInd w:val="0"/>
        <w:snapToGrid w:val="0"/>
        <w:spacing w:line="240" w:lineRule="auto"/>
        <w:ind w:firstLine="482" w:firstLineChars="200"/>
        <w:rPr>
          <w:rFonts w:hint="eastAsia" w:ascii="宋体" w:hAnsi="宋体" w:eastAsia="宋体" w:cs="宋体"/>
          <w:b/>
          <w:color w:val="auto"/>
          <w:sz w:val="24"/>
          <w:highlight w:val="none"/>
          <w:lang w:bidi="ar"/>
        </w:rPr>
      </w:pPr>
    </w:p>
    <w:p w14:paraId="563E6467">
      <w:pPr>
        <w:adjustRightInd w:val="0"/>
        <w:snapToGrid w:val="0"/>
        <w:spacing w:line="240" w:lineRule="auto"/>
        <w:ind w:firstLine="482" w:firstLineChars="200"/>
        <w:rPr>
          <w:rFonts w:hint="eastAsia"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9.5投标人情况介绍（主要经营范围等，格式自拟）</w:t>
      </w:r>
    </w:p>
    <w:p w14:paraId="19028C14">
      <w:pPr>
        <w:adjustRightInd w:val="0"/>
        <w:snapToGrid w:val="0"/>
        <w:spacing w:line="240" w:lineRule="auto"/>
        <w:ind w:firstLine="482" w:firstLineChars="200"/>
        <w:rPr>
          <w:rFonts w:hint="eastAsia" w:ascii="宋体" w:hAnsi="宋体" w:eastAsia="宋体" w:cs="宋体"/>
          <w:b/>
          <w:color w:val="auto"/>
          <w:sz w:val="24"/>
          <w:highlight w:val="none"/>
          <w:lang w:bidi="ar"/>
        </w:rPr>
      </w:pPr>
    </w:p>
    <w:p w14:paraId="5EF08031">
      <w:pPr>
        <w:adjustRightInd w:val="0"/>
        <w:snapToGrid w:val="0"/>
        <w:spacing w:line="240" w:lineRule="auto"/>
        <w:ind w:firstLine="482" w:firstLineChars="200"/>
        <w:rPr>
          <w:rFonts w:hint="eastAsia"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9.6业绩证明文件（如要求需提供）</w:t>
      </w:r>
    </w:p>
    <w:p w14:paraId="74F5074D">
      <w:pPr>
        <w:adjustRightInd w:val="0"/>
        <w:snapToGrid w:val="0"/>
        <w:spacing w:line="240" w:lineRule="auto"/>
        <w:rPr>
          <w:rFonts w:hint="eastAsia" w:ascii="宋体" w:hAnsi="宋体" w:eastAsia="宋体" w:cs="宋体"/>
          <w:b/>
          <w:color w:val="auto"/>
          <w:sz w:val="24"/>
          <w:highlight w:val="none"/>
          <w:lang w:bidi="ar"/>
        </w:rPr>
      </w:pPr>
    </w:p>
    <w:p w14:paraId="1E988967">
      <w:pPr>
        <w:adjustRightInd w:val="0"/>
        <w:snapToGrid w:val="0"/>
        <w:spacing w:line="240" w:lineRule="auto"/>
        <w:ind w:firstLine="482" w:firstLineChars="200"/>
        <w:rPr>
          <w:rFonts w:hint="eastAsia"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9.</w:t>
      </w:r>
      <w:r>
        <w:rPr>
          <w:rFonts w:hint="eastAsia" w:ascii="宋体" w:hAnsi="宋体" w:eastAsia="宋体" w:cs="宋体"/>
          <w:b/>
          <w:color w:val="auto"/>
          <w:sz w:val="24"/>
          <w:highlight w:val="none"/>
          <w:lang w:val="en-US" w:eastAsia="zh-CN" w:bidi="ar"/>
        </w:rPr>
        <w:t>7</w:t>
      </w:r>
      <w:r>
        <w:rPr>
          <w:rFonts w:hint="eastAsia" w:ascii="宋体" w:hAnsi="宋体" w:eastAsia="宋体" w:cs="宋体"/>
          <w:b/>
          <w:color w:val="auto"/>
          <w:sz w:val="24"/>
          <w:highlight w:val="none"/>
          <w:lang w:bidi="ar"/>
        </w:rPr>
        <w:t>投标人认为需要提交的其他证明材料。</w:t>
      </w:r>
    </w:p>
    <w:p w14:paraId="5675AE68">
      <w:pPr>
        <w:adjustRightInd w:val="0"/>
        <w:snapToGrid w:val="0"/>
        <w:spacing w:line="360" w:lineRule="auto"/>
        <w:rPr>
          <w:rFonts w:hint="eastAsia" w:ascii="宋体" w:hAnsi="宋体" w:eastAsia="宋体" w:cs="宋体"/>
          <w:b/>
          <w:color w:val="auto"/>
          <w:sz w:val="24"/>
          <w:highlight w:val="none"/>
          <w:lang w:bidi="ar"/>
        </w:rPr>
      </w:pPr>
      <w:r>
        <w:rPr>
          <w:rFonts w:hint="eastAsia" w:ascii="宋体" w:hAnsi="宋体" w:eastAsia="宋体" w:cs="宋体"/>
          <w:b/>
          <w:color w:val="auto"/>
          <w:sz w:val="24"/>
          <w:highlight w:val="none"/>
          <w:lang w:bidi="ar"/>
        </w:rPr>
        <w:br w:type="page"/>
      </w:r>
      <w:r>
        <w:rPr>
          <w:rFonts w:hint="eastAsia" w:ascii="宋体" w:hAnsi="宋体" w:eastAsia="宋体" w:cs="宋体"/>
          <w:b/>
          <w:color w:val="auto"/>
          <w:sz w:val="24"/>
          <w:highlight w:val="none"/>
          <w:lang w:bidi="ar"/>
        </w:rPr>
        <w:t>9.</w:t>
      </w:r>
      <w:r>
        <w:rPr>
          <w:rFonts w:hint="eastAsia" w:ascii="宋体" w:hAnsi="宋体" w:eastAsia="宋体" w:cs="宋体"/>
          <w:b/>
          <w:color w:val="auto"/>
          <w:sz w:val="24"/>
          <w:highlight w:val="none"/>
          <w:lang w:val="en-US" w:eastAsia="zh-CN" w:bidi="ar"/>
        </w:rPr>
        <w:t>8</w:t>
      </w:r>
      <w:r>
        <w:rPr>
          <w:rFonts w:hint="eastAsia" w:ascii="宋体" w:hAnsi="宋体" w:eastAsia="宋体" w:cs="宋体"/>
          <w:b/>
          <w:color w:val="auto"/>
          <w:sz w:val="24"/>
          <w:highlight w:val="none"/>
          <w:lang w:bidi="ar"/>
        </w:rPr>
        <w:t>项目组人员（主要从业人员及其技术资格）一览表</w:t>
      </w:r>
    </w:p>
    <w:p w14:paraId="2562D0E2">
      <w:pPr>
        <w:snapToGri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（根据项目需要设定）</w:t>
      </w:r>
    </w:p>
    <w:p w14:paraId="444B3D60">
      <w:pPr>
        <w:wordWrap w:val="0"/>
        <w:snapToGri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tbl>
      <w:tblPr>
        <w:tblStyle w:val="19"/>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7"/>
        <w:gridCol w:w="1220"/>
        <w:gridCol w:w="1374"/>
        <w:gridCol w:w="1967"/>
        <w:gridCol w:w="2766"/>
      </w:tblGrid>
      <w:tr w14:paraId="67006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57" w:type="dxa"/>
            <w:tcBorders>
              <w:top w:val="single" w:color="auto" w:sz="4" w:space="0"/>
              <w:left w:val="single" w:color="auto" w:sz="4" w:space="0"/>
              <w:bottom w:val="single" w:color="auto" w:sz="4" w:space="0"/>
              <w:right w:val="single" w:color="auto" w:sz="4" w:space="0"/>
            </w:tcBorders>
            <w:noWrap w:val="0"/>
            <w:vAlign w:val="center"/>
          </w:tcPr>
          <w:p w14:paraId="224FBF56">
            <w:pPr>
              <w:snapToGri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8B44A43">
            <w:pPr>
              <w:snapToGri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284A270">
            <w:pPr>
              <w:snapToGrid w:val="0"/>
              <w:spacing w:line="4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年龄</w:t>
            </w:r>
          </w:p>
        </w:tc>
        <w:tc>
          <w:tcPr>
            <w:tcW w:w="1967" w:type="dxa"/>
            <w:tcBorders>
              <w:top w:val="single" w:color="auto" w:sz="4" w:space="0"/>
              <w:left w:val="single" w:color="auto" w:sz="4" w:space="0"/>
              <w:bottom w:val="single" w:color="auto" w:sz="4" w:space="0"/>
              <w:right w:val="single" w:color="auto" w:sz="4" w:space="0"/>
            </w:tcBorders>
            <w:noWrap w:val="0"/>
            <w:vAlign w:val="center"/>
          </w:tcPr>
          <w:p w14:paraId="6FB63510">
            <w:pPr>
              <w:snapToGri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专业技术资格</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22615B87">
            <w:pPr>
              <w:snapToGrid w:val="0"/>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证书编号</w:t>
            </w:r>
          </w:p>
        </w:tc>
      </w:tr>
      <w:tr w14:paraId="6EB79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57" w:type="dxa"/>
            <w:tcBorders>
              <w:top w:val="single" w:color="auto" w:sz="4" w:space="0"/>
              <w:left w:val="single" w:color="auto" w:sz="4" w:space="0"/>
              <w:bottom w:val="single" w:color="auto" w:sz="4" w:space="0"/>
              <w:right w:val="single" w:color="auto" w:sz="4" w:space="0"/>
            </w:tcBorders>
            <w:noWrap w:val="0"/>
            <w:vAlign w:val="top"/>
          </w:tcPr>
          <w:p w14:paraId="60AA4F78">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2DAC9411">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c>
          <w:tcPr>
            <w:tcW w:w="1374" w:type="dxa"/>
            <w:tcBorders>
              <w:top w:val="single" w:color="auto" w:sz="4" w:space="0"/>
              <w:left w:val="single" w:color="auto" w:sz="4" w:space="0"/>
              <w:bottom w:val="single" w:color="auto" w:sz="4" w:space="0"/>
              <w:right w:val="single" w:color="auto" w:sz="4" w:space="0"/>
            </w:tcBorders>
            <w:noWrap w:val="0"/>
            <w:vAlign w:val="top"/>
          </w:tcPr>
          <w:p w14:paraId="4063A1B4">
            <w:pPr>
              <w:snapToGrid w:val="0"/>
              <w:spacing w:line="460" w:lineRule="exact"/>
              <w:ind w:firstLine="560" w:firstLineChars="200"/>
              <w:rPr>
                <w:rFonts w:hint="eastAsia" w:ascii="宋体" w:hAnsi="宋体" w:eastAsia="宋体" w:cs="宋体"/>
                <w:color w:val="auto"/>
                <w:sz w:val="28"/>
                <w:szCs w:val="28"/>
                <w:highlight w:val="none"/>
              </w:rPr>
            </w:pPr>
          </w:p>
        </w:tc>
        <w:tc>
          <w:tcPr>
            <w:tcW w:w="1967" w:type="dxa"/>
            <w:tcBorders>
              <w:top w:val="single" w:color="auto" w:sz="4" w:space="0"/>
              <w:left w:val="single" w:color="auto" w:sz="4" w:space="0"/>
              <w:bottom w:val="single" w:color="auto" w:sz="4" w:space="0"/>
              <w:right w:val="single" w:color="auto" w:sz="4" w:space="0"/>
            </w:tcBorders>
            <w:noWrap w:val="0"/>
            <w:vAlign w:val="top"/>
          </w:tcPr>
          <w:p w14:paraId="4DB64A26">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c>
          <w:tcPr>
            <w:tcW w:w="2766" w:type="dxa"/>
            <w:tcBorders>
              <w:top w:val="single" w:color="auto" w:sz="4" w:space="0"/>
              <w:left w:val="single" w:color="auto" w:sz="4" w:space="0"/>
              <w:bottom w:val="single" w:color="auto" w:sz="4" w:space="0"/>
              <w:right w:val="single" w:color="auto" w:sz="4" w:space="0"/>
            </w:tcBorders>
            <w:noWrap w:val="0"/>
            <w:vAlign w:val="top"/>
          </w:tcPr>
          <w:p w14:paraId="762C96CB">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r>
      <w:tr w14:paraId="13910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57" w:type="dxa"/>
            <w:tcBorders>
              <w:top w:val="single" w:color="auto" w:sz="4" w:space="0"/>
              <w:left w:val="single" w:color="auto" w:sz="4" w:space="0"/>
              <w:bottom w:val="single" w:color="auto" w:sz="4" w:space="0"/>
              <w:right w:val="single" w:color="auto" w:sz="4" w:space="0"/>
            </w:tcBorders>
            <w:noWrap w:val="0"/>
            <w:vAlign w:val="top"/>
          </w:tcPr>
          <w:p w14:paraId="1B3A547A">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009A8B1B">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c>
          <w:tcPr>
            <w:tcW w:w="1374" w:type="dxa"/>
            <w:tcBorders>
              <w:top w:val="single" w:color="auto" w:sz="4" w:space="0"/>
              <w:left w:val="single" w:color="auto" w:sz="4" w:space="0"/>
              <w:bottom w:val="single" w:color="auto" w:sz="4" w:space="0"/>
              <w:right w:val="single" w:color="auto" w:sz="4" w:space="0"/>
            </w:tcBorders>
            <w:noWrap w:val="0"/>
            <w:vAlign w:val="top"/>
          </w:tcPr>
          <w:p w14:paraId="44D60AD9">
            <w:pPr>
              <w:snapToGrid w:val="0"/>
              <w:spacing w:line="460" w:lineRule="exact"/>
              <w:ind w:firstLine="560" w:firstLineChars="200"/>
              <w:rPr>
                <w:rFonts w:hint="eastAsia" w:ascii="宋体" w:hAnsi="宋体" w:eastAsia="宋体" w:cs="宋体"/>
                <w:color w:val="auto"/>
                <w:sz w:val="28"/>
                <w:szCs w:val="28"/>
                <w:highlight w:val="none"/>
              </w:rPr>
            </w:pPr>
          </w:p>
        </w:tc>
        <w:tc>
          <w:tcPr>
            <w:tcW w:w="1967" w:type="dxa"/>
            <w:tcBorders>
              <w:top w:val="single" w:color="auto" w:sz="4" w:space="0"/>
              <w:left w:val="single" w:color="auto" w:sz="4" w:space="0"/>
              <w:bottom w:val="single" w:color="auto" w:sz="4" w:space="0"/>
              <w:right w:val="single" w:color="auto" w:sz="4" w:space="0"/>
            </w:tcBorders>
            <w:noWrap w:val="0"/>
            <w:vAlign w:val="top"/>
          </w:tcPr>
          <w:p w14:paraId="749AB069">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c>
          <w:tcPr>
            <w:tcW w:w="2766" w:type="dxa"/>
            <w:tcBorders>
              <w:top w:val="single" w:color="auto" w:sz="4" w:space="0"/>
              <w:left w:val="single" w:color="auto" w:sz="4" w:space="0"/>
              <w:bottom w:val="single" w:color="auto" w:sz="4" w:space="0"/>
              <w:right w:val="single" w:color="auto" w:sz="4" w:space="0"/>
            </w:tcBorders>
            <w:noWrap w:val="0"/>
            <w:vAlign w:val="top"/>
          </w:tcPr>
          <w:p w14:paraId="1AF718F8">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r>
      <w:tr w14:paraId="39A56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57" w:type="dxa"/>
            <w:tcBorders>
              <w:top w:val="single" w:color="auto" w:sz="4" w:space="0"/>
              <w:left w:val="single" w:color="auto" w:sz="4" w:space="0"/>
              <w:bottom w:val="single" w:color="auto" w:sz="4" w:space="0"/>
              <w:right w:val="single" w:color="auto" w:sz="4" w:space="0"/>
            </w:tcBorders>
            <w:noWrap w:val="0"/>
            <w:vAlign w:val="top"/>
          </w:tcPr>
          <w:p w14:paraId="6185A445">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3F1E231A">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c>
          <w:tcPr>
            <w:tcW w:w="1374" w:type="dxa"/>
            <w:tcBorders>
              <w:top w:val="single" w:color="auto" w:sz="4" w:space="0"/>
              <w:left w:val="single" w:color="auto" w:sz="4" w:space="0"/>
              <w:bottom w:val="single" w:color="auto" w:sz="4" w:space="0"/>
              <w:right w:val="single" w:color="auto" w:sz="4" w:space="0"/>
            </w:tcBorders>
            <w:noWrap w:val="0"/>
            <w:vAlign w:val="top"/>
          </w:tcPr>
          <w:p w14:paraId="65417DB7">
            <w:pPr>
              <w:snapToGrid w:val="0"/>
              <w:spacing w:line="460" w:lineRule="exact"/>
              <w:ind w:firstLine="560" w:firstLineChars="200"/>
              <w:rPr>
                <w:rFonts w:hint="eastAsia" w:ascii="宋体" w:hAnsi="宋体" w:eastAsia="宋体" w:cs="宋体"/>
                <w:color w:val="auto"/>
                <w:sz w:val="28"/>
                <w:szCs w:val="28"/>
                <w:highlight w:val="none"/>
              </w:rPr>
            </w:pPr>
          </w:p>
        </w:tc>
        <w:tc>
          <w:tcPr>
            <w:tcW w:w="1967" w:type="dxa"/>
            <w:tcBorders>
              <w:top w:val="single" w:color="auto" w:sz="4" w:space="0"/>
              <w:left w:val="single" w:color="auto" w:sz="4" w:space="0"/>
              <w:bottom w:val="single" w:color="auto" w:sz="4" w:space="0"/>
              <w:right w:val="single" w:color="auto" w:sz="4" w:space="0"/>
            </w:tcBorders>
            <w:noWrap w:val="0"/>
            <w:vAlign w:val="top"/>
          </w:tcPr>
          <w:p w14:paraId="259C8A17">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c>
          <w:tcPr>
            <w:tcW w:w="2766" w:type="dxa"/>
            <w:tcBorders>
              <w:top w:val="single" w:color="auto" w:sz="4" w:space="0"/>
              <w:left w:val="single" w:color="auto" w:sz="4" w:space="0"/>
              <w:bottom w:val="single" w:color="auto" w:sz="4" w:space="0"/>
              <w:right w:val="single" w:color="auto" w:sz="4" w:space="0"/>
            </w:tcBorders>
            <w:noWrap w:val="0"/>
            <w:vAlign w:val="top"/>
          </w:tcPr>
          <w:p w14:paraId="4F2F6E87">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r>
      <w:tr w14:paraId="4ACB6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57" w:type="dxa"/>
            <w:tcBorders>
              <w:top w:val="single" w:color="auto" w:sz="4" w:space="0"/>
              <w:left w:val="single" w:color="auto" w:sz="4" w:space="0"/>
              <w:bottom w:val="single" w:color="auto" w:sz="4" w:space="0"/>
              <w:right w:val="single" w:color="auto" w:sz="4" w:space="0"/>
            </w:tcBorders>
            <w:noWrap w:val="0"/>
            <w:vAlign w:val="top"/>
          </w:tcPr>
          <w:p w14:paraId="178CA42F">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21FCDD83">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c>
          <w:tcPr>
            <w:tcW w:w="1374" w:type="dxa"/>
            <w:tcBorders>
              <w:top w:val="single" w:color="auto" w:sz="4" w:space="0"/>
              <w:left w:val="single" w:color="auto" w:sz="4" w:space="0"/>
              <w:bottom w:val="single" w:color="auto" w:sz="4" w:space="0"/>
              <w:right w:val="single" w:color="auto" w:sz="4" w:space="0"/>
            </w:tcBorders>
            <w:noWrap w:val="0"/>
            <w:vAlign w:val="top"/>
          </w:tcPr>
          <w:p w14:paraId="0A337FB5">
            <w:pPr>
              <w:snapToGrid w:val="0"/>
              <w:spacing w:line="460" w:lineRule="exact"/>
              <w:ind w:firstLine="560" w:firstLineChars="200"/>
              <w:rPr>
                <w:rFonts w:hint="eastAsia" w:ascii="宋体" w:hAnsi="宋体" w:eastAsia="宋体" w:cs="宋体"/>
                <w:color w:val="auto"/>
                <w:sz w:val="28"/>
                <w:szCs w:val="28"/>
                <w:highlight w:val="none"/>
              </w:rPr>
            </w:pPr>
          </w:p>
        </w:tc>
        <w:tc>
          <w:tcPr>
            <w:tcW w:w="1967" w:type="dxa"/>
            <w:tcBorders>
              <w:top w:val="single" w:color="auto" w:sz="4" w:space="0"/>
              <w:left w:val="single" w:color="auto" w:sz="4" w:space="0"/>
              <w:bottom w:val="single" w:color="auto" w:sz="4" w:space="0"/>
              <w:right w:val="single" w:color="auto" w:sz="4" w:space="0"/>
            </w:tcBorders>
            <w:noWrap w:val="0"/>
            <w:vAlign w:val="top"/>
          </w:tcPr>
          <w:p w14:paraId="6DB87DAD">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c>
          <w:tcPr>
            <w:tcW w:w="2766" w:type="dxa"/>
            <w:tcBorders>
              <w:top w:val="single" w:color="auto" w:sz="4" w:space="0"/>
              <w:left w:val="single" w:color="auto" w:sz="4" w:space="0"/>
              <w:bottom w:val="single" w:color="auto" w:sz="4" w:space="0"/>
              <w:right w:val="single" w:color="auto" w:sz="4" w:space="0"/>
            </w:tcBorders>
            <w:noWrap w:val="0"/>
            <w:vAlign w:val="top"/>
          </w:tcPr>
          <w:p w14:paraId="47055D73">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r>
      <w:tr w14:paraId="62521A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57" w:type="dxa"/>
            <w:tcBorders>
              <w:top w:val="single" w:color="auto" w:sz="4" w:space="0"/>
              <w:left w:val="single" w:color="auto" w:sz="4" w:space="0"/>
              <w:bottom w:val="single" w:color="auto" w:sz="4" w:space="0"/>
              <w:right w:val="single" w:color="auto" w:sz="4" w:space="0"/>
            </w:tcBorders>
            <w:noWrap w:val="0"/>
            <w:vAlign w:val="top"/>
          </w:tcPr>
          <w:p w14:paraId="69BF45F9">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678BB4AF">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c>
          <w:tcPr>
            <w:tcW w:w="1374" w:type="dxa"/>
            <w:tcBorders>
              <w:top w:val="single" w:color="auto" w:sz="4" w:space="0"/>
              <w:left w:val="single" w:color="auto" w:sz="4" w:space="0"/>
              <w:bottom w:val="single" w:color="auto" w:sz="4" w:space="0"/>
              <w:right w:val="single" w:color="auto" w:sz="4" w:space="0"/>
            </w:tcBorders>
            <w:noWrap w:val="0"/>
            <w:vAlign w:val="top"/>
          </w:tcPr>
          <w:p w14:paraId="7BFB6216">
            <w:pPr>
              <w:snapToGrid w:val="0"/>
              <w:spacing w:line="460" w:lineRule="exact"/>
              <w:ind w:firstLine="560" w:firstLineChars="200"/>
              <w:rPr>
                <w:rFonts w:hint="eastAsia" w:ascii="宋体" w:hAnsi="宋体" w:eastAsia="宋体" w:cs="宋体"/>
                <w:color w:val="auto"/>
                <w:sz w:val="28"/>
                <w:szCs w:val="28"/>
                <w:highlight w:val="none"/>
              </w:rPr>
            </w:pPr>
          </w:p>
        </w:tc>
        <w:tc>
          <w:tcPr>
            <w:tcW w:w="1967" w:type="dxa"/>
            <w:tcBorders>
              <w:top w:val="single" w:color="auto" w:sz="4" w:space="0"/>
              <w:left w:val="single" w:color="auto" w:sz="4" w:space="0"/>
              <w:bottom w:val="single" w:color="auto" w:sz="4" w:space="0"/>
              <w:right w:val="single" w:color="auto" w:sz="4" w:space="0"/>
            </w:tcBorders>
            <w:noWrap w:val="0"/>
            <w:vAlign w:val="top"/>
          </w:tcPr>
          <w:p w14:paraId="7864AFFB">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c>
          <w:tcPr>
            <w:tcW w:w="2766" w:type="dxa"/>
            <w:tcBorders>
              <w:top w:val="single" w:color="auto" w:sz="4" w:space="0"/>
              <w:left w:val="single" w:color="auto" w:sz="4" w:space="0"/>
              <w:bottom w:val="single" w:color="auto" w:sz="4" w:space="0"/>
              <w:right w:val="single" w:color="auto" w:sz="4" w:space="0"/>
            </w:tcBorders>
            <w:noWrap w:val="0"/>
            <w:vAlign w:val="top"/>
          </w:tcPr>
          <w:p w14:paraId="48E816E1">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r>
      <w:tr w14:paraId="23E8F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57" w:type="dxa"/>
            <w:tcBorders>
              <w:top w:val="single" w:color="auto" w:sz="4" w:space="0"/>
              <w:left w:val="single" w:color="auto" w:sz="4" w:space="0"/>
              <w:bottom w:val="single" w:color="auto" w:sz="4" w:space="0"/>
              <w:right w:val="single" w:color="auto" w:sz="4" w:space="0"/>
            </w:tcBorders>
            <w:noWrap w:val="0"/>
            <w:vAlign w:val="top"/>
          </w:tcPr>
          <w:p w14:paraId="5802E322">
            <w:pPr>
              <w:snapToGrid w:val="0"/>
              <w:spacing w:line="460" w:lineRule="exact"/>
              <w:ind w:firstLine="560" w:firstLineChars="200"/>
              <w:rPr>
                <w:rFonts w:hint="eastAsia" w:ascii="宋体" w:hAnsi="宋体" w:eastAsia="宋体" w:cs="宋体"/>
                <w:color w:val="auto"/>
                <w:sz w:val="28"/>
                <w:szCs w:val="28"/>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top"/>
          </w:tcPr>
          <w:p w14:paraId="07CBC158">
            <w:pPr>
              <w:snapToGrid w:val="0"/>
              <w:spacing w:line="460" w:lineRule="exact"/>
              <w:ind w:firstLine="560" w:firstLineChars="200"/>
              <w:rPr>
                <w:rFonts w:hint="eastAsia" w:ascii="宋体" w:hAnsi="宋体" w:eastAsia="宋体" w:cs="宋体"/>
                <w:color w:val="auto"/>
                <w:sz w:val="28"/>
                <w:szCs w:val="28"/>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top"/>
          </w:tcPr>
          <w:p w14:paraId="689DB011">
            <w:pPr>
              <w:snapToGrid w:val="0"/>
              <w:spacing w:line="460" w:lineRule="exact"/>
              <w:ind w:firstLine="560" w:firstLineChars="200"/>
              <w:rPr>
                <w:rFonts w:hint="eastAsia" w:ascii="宋体" w:hAnsi="宋体" w:eastAsia="宋体" w:cs="宋体"/>
                <w:color w:val="auto"/>
                <w:sz w:val="28"/>
                <w:szCs w:val="28"/>
                <w:highlight w:val="none"/>
              </w:rPr>
            </w:pPr>
          </w:p>
        </w:tc>
        <w:tc>
          <w:tcPr>
            <w:tcW w:w="1967" w:type="dxa"/>
            <w:tcBorders>
              <w:top w:val="single" w:color="auto" w:sz="4" w:space="0"/>
              <w:left w:val="single" w:color="auto" w:sz="4" w:space="0"/>
              <w:bottom w:val="single" w:color="auto" w:sz="4" w:space="0"/>
              <w:right w:val="single" w:color="auto" w:sz="4" w:space="0"/>
            </w:tcBorders>
            <w:noWrap w:val="0"/>
            <w:vAlign w:val="top"/>
          </w:tcPr>
          <w:p w14:paraId="1865E0DD">
            <w:pPr>
              <w:snapToGrid w:val="0"/>
              <w:spacing w:line="460" w:lineRule="exact"/>
              <w:ind w:firstLine="560" w:firstLineChars="200"/>
              <w:rPr>
                <w:rFonts w:hint="eastAsia" w:ascii="宋体" w:hAnsi="宋体" w:eastAsia="宋体" w:cs="宋体"/>
                <w:color w:val="auto"/>
                <w:sz w:val="28"/>
                <w:szCs w:val="28"/>
                <w:highlight w:val="none"/>
              </w:rPr>
            </w:pPr>
          </w:p>
        </w:tc>
        <w:tc>
          <w:tcPr>
            <w:tcW w:w="2766" w:type="dxa"/>
            <w:tcBorders>
              <w:top w:val="single" w:color="auto" w:sz="4" w:space="0"/>
              <w:left w:val="single" w:color="auto" w:sz="4" w:space="0"/>
              <w:bottom w:val="single" w:color="auto" w:sz="4" w:space="0"/>
              <w:right w:val="single" w:color="auto" w:sz="4" w:space="0"/>
            </w:tcBorders>
            <w:noWrap w:val="0"/>
            <w:vAlign w:val="top"/>
          </w:tcPr>
          <w:p w14:paraId="3E6022B3">
            <w:pPr>
              <w:snapToGrid w:val="0"/>
              <w:spacing w:line="460" w:lineRule="exact"/>
              <w:ind w:firstLine="560" w:firstLineChars="200"/>
              <w:rPr>
                <w:rFonts w:hint="eastAsia" w:ascii="宋体" w:hAnsi="宋体" w:eastAsia="宋体" w:cs="宋体"/>
                <w:color w:val="auto"/>
                <w:sz w:val="28"/>
                <w:szCs w:val="28"/>
                <w:highlight w:val="none"/>
              </w:rPr>
            </w:pPr>
          </w:p>
        </w:tc>
      </w:tr>
      <w:tr w14:paraId="5A126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57" w:type="dxa"/>
            <w:tcBorders>
              <w:top w:val="single" w:color="auto" w:sz="4" w:space="0"/>
              <w:left w:val="single" w:color="auto" w:sz="4" w:space="0"/>
              <w:bottom w:val="single" w:color="auto" w:sz="4" w:space="0"/>
              <w:right w:val="single" w:color="auto" w:sz="4" w:space="0"/>
            </w:tcBorders>
            <w:noWrap w:val="0"/>
            <w:vAlign w:val="top"/>
          </w:tcPr>
          <w:p w14:paraId="094A53EA">
            <w:pPr>
              <w:snapToGrid w:val="0"/>
              <w:spacing w:line="460" w:lineRule="exact"/>
              <w:ind w:firstLine="560" w:firstLineChars="200"/>
              <w:rPr>
                <w:rFonts w:hint="eastAsia" w:ascii="宋体" w:hAnsi="宋体" w:eastAsia="宋体" w:cs="宋体"/>
                <w:color w:val="auto"/>
                <w:sz w:val="28"/>
                <w:szCs w:val="28"/>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top"/>
          </w:tcPr>
          <w:p w14:paraId="26AC7EAC">
            <w:pPr>
              <w:snapToGrid w:val="0"/>
              <w:spacing w:line="460" w:lineRule="exact"/>
              <w:ind w:firstLine="560" w:firstLineChars="200"/>
              <w:rPr>
                <w:rFonts w:hint="eastAsia" w:ascii="宋体" w:hAnsi="宋体" w:eastAsia="宋体" w:cs="宋体"/>
                <w:color w:val="auto"/>
                <w:sz w:val="28"/>
                <w:szCs w:val="28"/>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top"/>
          </w:tcPr>
          <w:p w14:paraId="1429590E">
            <w:pPr>
              <w:snapToGrid w:val="0"/>
              <w:spacing w:line="460" w:lineRule="exact"/>
              <w:ind w:firstLine="560" w:firstLineChars="200"/>
              <w:rPr>
                <w:rFonts w:hint="eastAsia" w:ascii="宋体" w:hAnsi="宋体" w:eastAsia="宋体" w:cs="宋体"/>
                <w:color w:val="auto"/>
                <w:sz w:val="28"/>
                <w:szCs w:val="28"/>
                <w:highlight w:val="none"/>
              </w:rPr>
            </w:pPr>
          </w:p>
        </w:tc>
        <w:tc>
          <w:tcPr>
            <w:tcW w:w="1967" w:type="dxa"/>
            <w:tcBorders>
              <w:top w:val="single" w:color="auto" w:sz="4" w:space="0"/>
              <w:left w:val="single" w:color="auto" w:sz="4" w:space="0"/>
              <w:bottom w:val="single" w:color="auto" w:sz="4" w:space="0"/>
              <w:right w:val="single" w:color="auto" w:sz="4" w:space="0"/>
            </w:tcBorders>
            <w:noWrap w:val="0"/>
            <w:vAlign w:val="top"/>
          </w:tcPr>
          <w:p w14:paraId="05D7422A">
            <w:pPr>
              <w:snapToGrid w:val="0"/>
              <w:spacing w:line="460" w:lineRule="exact"/>
              <w:ind w:firstLine="560" w:firstLineChars="200"/>
              <w:rPr>
                <w:rFonts w:hint="eastAsia" w:ascii="宋体" w:hAnsi="宋体" w:eastAsia="宋体" w:cs="宋体"/>
                <w:color w:val="auto"/>
                <w:sz w:val="28"/>
                <w:szCs w:val="28"/>
                <w:highlight w:val="none"/>
              </w:rPr>
            </w:pPr>
          </w:p>
        </w:tc>
        <w:tc>
          <w:tcPr>
            <w:tcW w:w="2766" w:type="dxa"/>
            <w:tcBorders>
              <w:top w:val="single" w:color="auto" w:sz="4" w:space="0"/>
              <w:left w:val="single" w:color="auto" w:sz="4" w:space="0"/>
              <w:bottom w:val="single" w:color="auto" w:sz="4" w:space="0"/>
              <w:right w:val="single" w:color="auto" w:sz="4" w:space="0"/>
            </w:tcBorders>
            <w:noWrap w:val="0"/>
            <w:vAlign w:val="top"/>
          </w:tcPr>
          <w:p w14:paraId="3E94F51D">
            <w:pPr>
              <w:snapToGrid w:val="0"/>
              <w:spacing w:line="460" w:lineRule="exact"/>
              <w:ind w:firstLine="560" w:firstLineChars="200"/>
              <w:rPr>
                <w:rFonts w:hint="eastAsia" w:ascii="宋体" w:hAnsi="宋体" w:eastAsia="宋体" w:cs="宋体"/>
                <w:color w:val="auto"/>
                <w:sz w:val="28"/>
                <w:szCs w:val="28"/>
                <w:highlight w:val="none"/>
              </w:rPr>
            </w:pPr>
          </w:p>
        </w:tc>
      </w:tr>
      <w:tr w14:paraId="73970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57" w:type="dxa"/>
            <w:tcBorders>
              <w:top w:val="single" w:color="auto" w:sz="4" w:space="0"/>
              <w:left w:val="single" w:color="auto" w:sz="4" w:space="0"/>
              <w:bottom w:val="single" w:color="auto" w:sz="4" w:space="0"/>
              <w:right w:val="single" w:color="auto" w:sz="4" w:space="0"/>
            </w:tcBorders>
            <w:noWrap w:val="0"/>
            <w:vAlign w:val="top"/>
          </w:tcPr>
          <w:p w14:paraId="5C0FE010">
            <w:pPr>
              <w:snapToGrid w:val="0"/>
              <w:spacing w:line="460" w:lineRule="exact"/>
              <w:ind w:firstLine="560" w:firstLineChars="200"/>
              <w:rPr>
                <w:rFonts w:hint="eastAsia" w:ascii="宋体" w:hAnsi="宋体" w:eastAsia="宋体" w:cs="宋体"/>
                <w:color w:val="auto"/>
                <w:sz w:val="28"/>
                <w:szCs w:val="28"/>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top"/>
          </w:tcPr>
          <w:p w14:paraId="057B1B5A">
            <w:pPr>
              <w:snapToGrid w:val="0"/>
              <w:spacing w:line="460" w:lineRule="exact"/>
              <w:ind w:firstLine="560" w:firstLineChars="200"/>
              <w:rPr>
                <w:rFonts w:hint="eastAsia" w:ascii="宋体" w:hAnsi="宋体" w:eastAsia="宋体" w:cs="宋体"/>
                <w:color w:val="auto"/>
                <w:sz w:val="28"/>
                <w:szCs w:val="28"/>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top"/>
          </w:tcPr>
          <w:p w14:paraId="24E6DB93">
            <w:pPr>
              <w:snapToGrid w:val="0"/>
              <w:spacing w:line="460" w:lineRule="exact"/>
              <w:ind w:firstLine="560" w:firstLineChars="200"/>
              <w:rPr>
                <w:rFonts w:hint="eastAsia" w:ascii="宋体" w:hAnsi="宋体" w:eastAsia="宋体" w:cs="宋体"/>
                <w:color w:val="auto"/>
                <w:sz w:val="28"/>
                <w:szCs w:val="28"/>
                <w:highlight w:val="none"/>
              </w:rPr>
            </w:pPr>
          </w:p>
        </w:tc>
        <w:tc>
          <w:tcPr>
            <w:tcW w:w="1967" w:type="dxa"/>
            <w:tcBorders>
              <w:top w:val="single" w:color="auto" w:sz="4" w:space="0"/>
              <w:left w:val="single" w:color="auto" w:sz="4" w:space="0"/>
              <w:bottom w:val="single" w:color="auto" w:sz="4" w:space="0"/>
              <w:right w:val="single" w:color="auto" w:sz="4" w:space="0"/>
            </w:tcBorders>
            <w:noWrap w:val="0"/>
            <w:vAlign w:val="top"/>
          </w:tcPr>
          <w:p w14:paraId="5673BEFD">
            <w:pPr>
              <w:snapToGrid w:val="0"/>
              <w:spacing w:line="460" w:lineRule="exact"/>
              <w:ind w:firstLine="560" w:firstLineChars="200"/>
              <w:rPr>
                <w:rFonts w:hint="eastAsia" w:ascii="宋体" w:hAnsi="宋体" w:eastAsia="宋体" w:cs="宋体"/>
                <w:color w:val="auto"/>
                <w:sz w:val="28"/>
                <w:szCs w:val="28"/>
                <w:highlight w:val="none"/>
              </w:rPr>
            </w:pPr>
          </w:p>
        </w:tc>
        <w:tc>
          <w:tcPr>
            <w:tcW w:w="2766" w:type="dxa"/>
            <w:tcBorders>
              <w:top w:val="single" w:color="auto" w:sz="4" w:space="0"/>
              <w:left w:val="single" w:color="auto" w:sz="4" w:space="0"/>
              <w:bottom w:val="single" w:color="auto" w:sz="4" w:space="0"/>
              <w:right w:val="single" w:color="auto" w:sz="4" w:space="0"/>
            </w:tcBorders>
            <w:noWrap w:val="0"/>
            <w:vAlign w:val="top"/>
          </w:tcPr>
          <w:p w14:paraId="6759550D">
            <w:pPr>
              <w:snapToGrid w:val="0"/>
              <w:spacing w:line="460" w:lineRule="exact"/>
              <w:ind w:firstLine="560" w:firstLineChars="200"/>
              <w:rPr>
                <w:rFonts w:hint="eastAsia" w:ascii="宋体" w:hAnsi="宋体" w:eastAsia="宋体" w:cs="宋体"/>
                <w:color w:val="auto"/>
                <w:sz w:val="28"/>
                <w:szCs w:val="28"/>
                <w:highlight w:val="none"/>
              </w:rPr>
            </w:pPr>
          </w:p>
        </w:tc>
      </w:tr>
      <w:tr w14:paraId="7A48C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57" w:type="dxa"/>
            <w:tcBorders>
              <w:top w:val="single" w:color="auto" w:sz="4" w:space="0"/>
              <w:left w:val="single" w:color="auto" w:sz="4" w:space="0"/>
              <w:bottom w:val="single" w:color="auto" w:sz="4" w:space="0"/>
              <w:right w:val="single" w:color="auto" w:sz="4" w:space="0"/>
            </w:tcBorders>
            <w:noWrap w:val="0"/>
            <w:vAlign w:val="top"/>
          </w:tcPr>
          <w:p w14:paraId="0F353352">
            <w:pPr>
              <w:snapToGrid w:val="0"/>
              <w:spacing w:line="460" w:lineRule="exact"/>
              <w:ind w:firstLine="560" w:firstLineChars="200"/>
              <w:rPr>
                <w:rFonts w:hint="eastAsia" w:ascii="宋体" w:hAnsi="宋体" w:eastAsia="宋体" w:cs="宋体"/>
                <w:color w:val="auto"/>
                <w:sz w:val="28"/>
                <w:szCs w:val="28"/>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top"/>
          </w:tcPr>
          <w:p w14:paraId="58B106D3">
            <w:pPr>
              <w:snapToGrid w:val="0"/>
              <w:spacing w:line="460" w:lineRule="exact"/>
              <w:ind w:firstLine="560" w:firstLineChars="200"/>
              <w:rPr>
                <w:rFonts w:hint="eastAsia" w:ascii="宋体" w:hAnsi="宋体" w:eastAsia="宋体" w:cs="宋体"/>
                <w:color w:val="auto"/>
                <w:sz w:val="28"/>
                <w:szCs w:val="28"/>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top"/>
          </w:tcPr>
          <w:p w14:paraId="464F9527">
            <w:pPr>
              <w:snapToGrid w:val="0"/>
              <w:spacing w:line="460" w:lineRule="exact"/>
              <w:ind w:firstLine="560" w:firstLineChars="200"/>
              <w:rPr>
                <w:rFonts w:hint="eastAsia" w:ascii="宋体" w:hAnsi="宋体" w:eastAsia="宋体" w:cs="宋体"/>
                <w:color w:val="auto"/>
                <w:sz w:val="28"/>
                <w:szCs w:val="28"/>
                <w:highlight w:val="none"/>
              </w:rPr>
            </w:pPr>
          </w:p>
        </w:tc>
        <w:tc>
          <w:tcPr>
            <w:tcW w:w="1967" w:type="dxa"/>
            <w:tcBorders>
              <w:top w:val="single" w:color="auto" w:sz="4" w:space="0"/>
              <w:left w:val="single" w:color="auto" w:sz="4" w:space="0"/>
              <w:bottom w:val="single" w:color="auto" w:sz="4" w:space="0"/>
              <w:right w:val="single" w:color="auto" w:sz="4" w:space="0"/>
            </w:tcBorders>
            <w:noWrap w:val="0"/>
            <w:vAlign w:val="top"/>
          </w:tcPr>
          <w:p w14:paraId="786801B2">
            <w:pPr>
              <w:snapToGrid w:val="0"/>
              <w:spacing w:line="460" w:lineRule="exact"/>
              <w:ind w:firstLine="560" w:firstLineChars="200"/>
              <w:rPr>
                <w:rFonts w:hint="eastAsia" w:ascii="宋体" w:hAnsi="宋体" w:eastAsia="宋体" w:cs="宋体"/>
                <w:color w:val="auto"/>
                <w:sz w:val="28"/>
                <w:szCs w:val="28"/>
                <w:highlight w:val="none"/>
              </w:rPr>
            </w:pPr>
          </w:p>
        </w:tc>
        <w:tc>
          <w:tcPr>
            <w:tcW w:w="2766" w:type="dxa"/>
            <w:tcBorders>
              <w:top w:val="single" w:color="auto" w:sz="4" w:space="0"/>
              <w:left w:val="single" w:color="auto" w:sz="4" w:space="0"/>
              <w:bottom w:val="single" w:color="auto" w:sz="4" w:space="0"/>
              <w:right w:val="single" w:color="auto" w:sz="4" w:space="0"/>
            </w:tcBorders>
            <w:noWrap w:val="0"/>
            <w:vAlign w:val="top"/>
          </w:tcPr>
          <w:p w14:paraId="2DBCB3D8">
            <w:pPr>
              <w:snapToGrid w:val="0"/>
              <w:spacing w:line="460" w:lineRule="exact"/>
              <w:ind w:firstLine="560" w:firstLineChars="200"/>
              <w:rPr>
                <w:rFonts w:hint="eastAsia" w:ascii="宋体" w:hAnsi="宋体" w:eastAsia="宋体" w:cs="宋体"/>
                <w:color w:val="auto"/>
                <w:sz w:val="28"/>
                <w:szCs w:val="28"/>
                <w:highlight w:val="none"/>
              </w:rPr>
            </w:pPr>
          </w:p>
        </w:tc>
      </w:tr>
      <w:tr w14:paraId="28B54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57" w:type="dxa"/>
            <w:tcBorders>
              <w:top w:val="single" w:color="auto" w:sz="4" w:space="0"/>
              <w:left w:val="single" w:color="auto" w:sz="4" w:space="0"/>
              <w:bottom w:val="single" w:color="auto" w:sz="4" w:space="0"/>
              <w:right w:val="single" w:color="auto" w:sz="4" w:space="0"/>
            </w:tcBorders>
            <w:noWrap w:val="0"/>
            <w:vAlign w:val="top"/>
          </w:tcPr>
          <w:p w14:paraId="315C0FB8">
            <w:pPr>
              <w:snapToGrid w:val="0"/>
              <w:spacing w:line="460" w:lineRule="exact"/>
              <w:ind w:firstLine="560" w:firstLineChars="200"/>
              <w:rPr>
                <w:rFonts w:hint="eastAsia" w:ascii="宋体" w:hAnsi="宋体" w:eastAsia="宋体" w:cs="宋体"/>
                <w:color w:val="auto"/>
                <w:sz w:val="28"/>
                <w:szCs w:val="28"/>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top"/>
          </w:tcPr>
          <w:p w14:paraId="348D0B83">
            <w:pPr>
              <w:snapToGrid w:val="0"/>
              <w:spacing w:line="460" w:lineRule="exact"/>
              <w:ind w:firstLine="560" w:firstLineChars="200"/>
              <w:rPr>
                <w:rFonts w:hint="eastAsia" w:ascii="宋体" w:hAnsi="宋体" w:eastAsia="宋体" w:cs="宋体"/>
                <w:color w:val="auto"/>
                <w:sz w:val="28"/>
                <w:szCs w:val="28"/>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top"/>
          </w:tcPr>
          <w:p w14:paraId="1015B8FD">
            <w:pPr>
              <w:snapToGrid w:val="0"/>
              <w:spacing w:line="460" w:lineRule="exact"/>
              <w:ind w:firstLine="560" w:firstLineChars="200"/>
              <w:rPr>
                <w:rFonts w:hint="eastAsia" w:ascii="宋体" w:hAnsi="宋体" w:eastAsia="宋体" w:cs="宋体"/>
                <w:color w:val="auto"/>
                <w:sz w:val="28"/>
                <w:szCs w:val="28"/>
                <w:highlight w:val="none"/>
              </w:rPr>
            </w:pPr>
          </w:p>
        </w:tc>
        <w:tc>
          <w:tcPr>
            <w:tcW w:w="1967" w:type="dxa"/>
            <w:tcBorders>
              <w:top w:val="single" w:color="auto" w:sz="4" w:space="0"/>
              <w:left w:val="single" w:color="auto" w:sz="4" w:space="0"/>
              <w:bottom w:val="single" w:color="auto" w:sz="4" w:space="0"/>
              <w:right w:val="single" w:color="auto" w:sz="4" w:space="0"/>
            </w:tcBorders>
            <w:noWrap w:val="0"/>
            <w:vAlign w:val="top"/>
          </w:tcPr>
          <w:p w14:paraId="1FFA7778">
            <w:pPr>
              <w:snapToGrid w:val="0"/>
              <w:spacing w:line="460" w:lineRule="exact"/>
              <w:ind w:firstLine="560" w:firstLineChars="200"/>
              <w:rPr>
                <w:rFonts w:hint="eastAsia" w:ascii="宋体" w:hAnsi="宋体" w:eastAsia="宋体" w:cs="宋体"/>
                <w:color w:val="auto"/>
                <w:sz w:val="28"/>
                <w:szCs w:val="28"/>
                <w:highlight w:val="none"/>
              </w:rPr>
            </w:pPr>
          </w:p>
        </w:tc>
        <w:tc>
          <w:tcPr>
            <w:tcW w:w="2766" w:type="dxa"/>
            <w:tcBorders>
              <w:top w:val="single" w:color="auto" w:sz="4" w:space="0"/>
              <w:left w:val="single" w:color="auto" w:sz="4" w:space="0"/>
              <w:bottom w:val="single" w:color="auto" w:sz="4" w:space="0"/>
              <w:right w:val="single" w:color="auto" w:sz="4" w:space="0"/>
            </w:tcBorders>
            <w:noWrap w:val="0"/>
            <w:vAlign w:val="top"/>
          </w:tcPr>
          <w:p w14:paraId="1BA8B0FD">
            <w:pPr>
              <w:snapToGrid w:val="0"/>
              <w:spacing w:line="460" w:lineRule="exact"/>
              <w:ind w:firstLine="560" w:firstLineChars="200"/>
              <w:rPr>
                <w:rFonts w:hint="eastAsia" w:ascii="宋体" w:hAnsi="宋体" w:eastAsia="宋体" w:cs="宋体"/>
                <w:color w:val="auto"/>
                <w:sz w:val="28"/>
                <w:szCs w:val="28"/>
                <w:highlight w:val="none"/>
              </w:rPr>
            </w:pPr>
          </w:p>
        </w:tc>
      </w:tr>
      <w:tr w14:paraId="1E23A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57" w:type="dxa"/>
            <w:tcBorders>
              <w:top w:val="single" w:color="auto" w:sz="4" w:space="0"/>
              <w:left w:val="single" w:color="auto" w:sz="4" w:space="0"/>
              <w:bottom w:val="single" w:color="auto" w:sz="4" w:space="0"/>
              <w:right w:val="single" w:color="auto" w:sz="4" w:space="0"/>
            </w:tcBorders>
            <w:noWrap w:val="0"/>
            <w:vAlign w:val="top"/>
          </w:tcPr>
          <w:p w14:paraId="65A46F19">
            <w:pPr>
              <w:snapToGrid w:val="0"/>
              <w:spacing w:line="460" w:lineRule="exact"/>
              <w:ind w:firstLine="560" w:firstLineChars="200"/>
              <w:rPr>
                <w:rFonts w:hint="eastAsia" w:ascii="宋体" w:hAnsi="宋体" w:eastAsia="宋体" w:cs="宋体"/>
                <w:color w:val="auto"/>
                <w:sz w:val="28"/>
                <w:szCs w:val="28"/>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top"/>
          </w:tcPr>
          <w:p w14:paraId="4F211C3B">
            <w:pPr>
              <w:snapToGrid w:val="0"/>
              <w:spacing w:line="460" w:lineRule="exact"/>
              <w:ind w:firstLine="560" w:firstLineChars="200"/>
              <w:rPr>
                <w:rFonts w:hint="eastAsia" w:ascii="宋体" w:hAnsi="宋体" w:eastAsia="宋体" w:cs="宋体"/>
                <w:color w:val="auto"/>
                <w:sz w:val="28"/>
                <w:szCs w:val="28"/>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top"/>
          </w:tcPr>
          <w:p w14:paraId="461AB970">
            <w:pPr>
              <w:snapToGrid w:val="0"/>
              <w:spacing w:line="460" w:lineRule="exact"/>
              <w:ind w:firstLine="560" w:firstLineChars="200"/>
              <w:rPr>
                <w:rFonts w:hint="eastAsia" w:ascii="宋体" w:hAnsi="宋体" w:eastAsia="宋体" w:cs="宋体"/>
                <w:color w:val="auto"/>
                <w:sz w:val="28"/>
                <w:szCs w:val="28"/>
                <w:highlight w:val="none"/>
              </w:rPr>
            </w:pPr>
          </w:p>
        </w:tc>
        <w:tc>
          <w:tcPr>
            <w:tcW w:w="1967" w:type="dxa"/>
            <w:tcBorders>
              <w:top w:val="single" w:color="auto" w:sz="4" w:space="0"/>
              <w:left w:val="single" w:color="auto" w:sz="4" w:space="0"/>
              <w:bottom w:val="single" w:color="auto" w:sz="4" w:space="0"/>
              <w:right w:val="single" w:color="auto" w:sz="4" w:space="0"/>
            </w:tcBorders>
            <w:noWrap w:val="0"/>
            <w:vAlign w:val="top"/>
          </w:tcPr>
          <w:p w14:paraId="031F4EDC">
            <w:pPr>
              <w:snapToGrid w:val="0"/>
              <w:spacing w:line="460" w:lineRule="exact"/>
              <w:ind w:firstLine="560" w:firstLineChars="200"/>
              <w:rPr>
                <w:rFonts w:hint="eastAsia" w:ascii="宋体" w:hAnsi="宋体" w:eastAsia="宋体" w:cs="宋体"/>
                <w:color w:val="auto"/>
                <w:sz w:val="28"/>
                <w:szCs w:val="28"/>
                <w:highlight w:val="none"/>
              </w:rPr>
            </w:pPr>
          </w:p>
        </w:tc>
        <w:tc>
          <w:tcPr>
            <w:tcW w:w="2766" w:type="dxa"/>
            <w:tcBorders>
              <w:top w:val="single" w:color="auto" w:sz="4" w:space="0"/>
              <w:left w:val="single" w:color="auto" w:sz="4" w:space="0"/>
              <w:bottom w:val="single" w:color="auto" w:sz="4" w:space="0"/>
              <w:right w:val="single" w:color="auto" w:sz="4" w:space="0"/>
            </w:tcBorders>
            <w:noWrap w:val="0"/>
            <w:vAlign w:val="top"/>
          </w:tcPr>
          <w:p w14:paraId="510A01EB">
            <w:pPr>
              <w:snapToGrid w:val="0"/>
              <w:spacing w:line="460" w:lineRule="exact"/>
              <w:ind w:firstLine="560" w:firstLineChars="200"/>
              <w:rPr>
                <w:rFonts w:hint="eastAsia" w:ascii="宋体" w:hAnsi="宋体" w:eastAsia="宋体" w:cs="宋体"/>
                <w:color w:val="auto"/>
                <w:sz w:val="28"/>
                <w:szCs w:val="28"/>
                <w:highlight w:val="none"/>
              </w:rPr>
            </w:pPr>
          </w:p>
        </w:tc>
      </w:tr>
      <w:tr w14:paraId="2432F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57" w:type="dxa"/>
            <w:tcBorders>
              <w:top w:val="single" w:color="auto" w:sz="4" w:space="0"/>
              <w:left w:val="single" w:color="auto" w:sz="4" w:space="0"/>
              <w:bottom w:val="single" w:color="auto" w:sz="4" w:space="0"/>
              <w:right w:val="single" w:color="auto" w:sz="4" w:space="0"/>
            </w:tcBorders>
            <w:noWrap w:val="0"/>
            <w:vAlign w:val="top"/>
          </w:tcPr>
          <w:p w14:paraId="1A393A76">
            <w:pPr>
              <w:snapToGrid w:val="0"/>
              <w:spacing w:line="460" w:lineRule="exact"/>
              <w:jc w:val="lef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0E454AB7">
            <w:pPr>
              <w:snapToGrid w:val="0"/>
              <w:spacing w:line="460" w:lineRule="exact"/>
              <w:ind w:firstLine="560" w:firstLineChars="200"/>
              <w:rPr>
                <w:rFonts w:hint="eastAsia" w:ascii="宋体" w:hAnsi="宋体" w:eastAsia="宋体" w:cs="宋体"/>
                <w:color w:val="auto"/>
                <w:sz w:val="28"/>
                <w:szCs w:val="28"/>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top"/>
          </w:tcPr>
          <w:p w14:paraId="46996268">
            <w:pPr>
              <w:snapToGrid w:val="0"/>
              <w:spacing w:line="460" w:lineRule="exact"/>
              <w:ind w:firstLine="560" w:firstLineChars="200"/>
              <w:rPr>
                <w:rFonts w:hint="eastAsia" w:ascii="宋体" w:hAnsi="宋体" w:eastAsia="宋体" w:cs="宋体"/>
                <w:color w:val="auto"/>
                <w:sz w:val="28"/>
                <w:szCs w:val="28"/>
                <w:highlight w:val="none"/>
              </w:rPr>
            </w:pPr>
          </w:p>
        </w:tc>
        <w:tc>
          <w:tcPr>
            <w:tcW w:w="1967" w:type="dxa"/>
            <w:tcBorders>
              <w:top w:val="single" w:color="auto" w:sz="4" w:space="0"/>
              <w:left w:val="single" w:color="auto" w:sz="4" w:space="0"/>
              <w:bottom w:val="single" w:color="auto" w:sz="4" w:space="0"/>
              <w:right w:val="single" w:color="auto" w:sz="4" w:space="0"/>
            </w:tcBorders>
            <w:noWrap w:val="0"/>
            <w:vAlign w:val="top"/>
          </w:tcPr>
          <w:p w14:paraId="0E1D19C8">
            <w:pPr>
              <w:snapToGrid w:val="0"/>
              <w:spacing w:line="460" w:lineRule="exact"/>
              <w:ind w:firstLine="560" w:firstLineChars="200"/>
              <w:rPr>
                <w:rFonts w:hint="eastAsia" w:ascii="宋体" w:hAnsi="宋体" w:eastAsia="宋体" w:cs="宋体"/>
                <w:color w:val="auto"/>
                <w:sz w:val="28"/>
                <w:szCs w:val="28"/>
                <w:highlight w:val="none"/>
              </w:rPr>
            </w:pPr>
          </w:p>
        </w:tc>
        <w:tc>
          <w:tcPr>
            <w:tcW w:w="2766" w:type="dxa"/>
            <w:tcBorders>
              <w:top w:val="single" w:color="auto" w:sz="4" w:space="0"/>
              <w:left w:val="single" w:color="auto" w:sz="4" w:space="0"/>
              <w:bottom w:val="single" w:color="auto" w:sz="4" w:space="0"/>
              <w:right w:val="single" w:color="auto" w:sz="4" w:space="0"/>
            </w:tcBorders>
            <w:noWrap w:val="0"/>
            <w:vAlign w:val="top"/>
          </w:tcPr>
          <w:p w14:paraId="0B2F81E5">
            <w:pPr>
              <w:snapToGrid w:val="0"/>
              <w:spacing w:line="460" w:lineRule="exact"/>
              <w:ind w:firstLine="560" w:firstLineChars="200"/>
              <w:rPr>
                <w:rFonts w:hint="eastAsia" w:ascii="宋体" w:hAnsi="宋体" w:eastAsia="宋体" w:cs="宋体"/>
                <w:color w:val="auto"/>
                <w:sz w:val="28"/>
                <w:szCs w:val="28"/>
                <w:highlight w:val="none"/>
              </w:rPr>
            </w:pPr>
          </w:p>
        </w:tc>
      </w:tr>
    </w:tbl>
    <w:p w14:paraId="6FC37E7D">
      <w:pPr>
        <w:wordWrap w:val="0"/>
        <w:snapToGrid w:val="0"/>
        <w:spacing w:line="460" w:lineRule="exact"/>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w:t>
      </w:r>
      <w:r>
        <w:rPr>
          <w:rFonts w:hint="eastAsia" w:ascii="宋体" w:hAnsi="宋体" w:eastAsia="宋体" w:cs="宋体"/>
          <w:color w:val="auto"/>
          <w:sz w:val="24"/>
          <w:highlight w:val="none"/>
        </w:rPr>
        <w:t xml:space="preserve">                    </w:t>
      </w:r>
    </w:p>
    <w:p w14:paraId="2789352D">
      <w:pPr>
        <w:wordWrap w:val="0"/>
        <w:snapToGrid w:val="0"/>
        <w:spacing w:line="460" w:lineRule="exact"/>
        <w:rPr>
          <w:rFonts w:hint="eastAsia" w:ascii="宋体" w:hAnsi="宋体" w:eastAsia="宋体" w:cs="宋体"/>
          <w:color w:val="auto"/>
          <w:sz w:val="24"/>
          <w:highlight w:val="none"/>
        </w:rPr>
      </w:pPr>
    </w:p>
    <w:p w14:paraId="6C0A41C7">
      <w:pPr>
        <w:wordWrap w:val="0"/>
        <w:snapToGrid w:val="0"/>
        <w:spacing w:line="460" w:lineRule="exact"/>
        <w:ind w:firstLine="2880" w:firstLineChars="1200"/>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（全称并加盖公章）</w:t>
      </w:r>
    </w:p>
    <w:p w14:paraId="4404AF8D">
      <w:pPr>
        <w:pStyle w:val="16"/>
        <w:ind w:left="63" w:right="63" w:firstLine="240"/>
        <w:jc w:val="center"/>
        <w:rPr>
          <w:rFonts w:hint="eastAsia" w:ascii="宋体" w:hAnsi="宋体" w:eastAsia="宋体" w:cs="宋体"/>
          <w:b/>
          <w:snapToGrid w:val="0"/>
          <w:color w:val="auto"/>
          <w:sz w:val="24"/>
          <w:highlight w:val="none"/>
          <w:lang w:bidi="ar"/>
        </w:rPr>
      </w:pPr>
      <w:r>
        <w:rPr>
          <w:rFonts w:hint="eastAsia" w:ascii="宋体" w:hAnsi="宋体" w:eastAsia="宋体" w:cs="宋体"/>
          <w:color w:val="auto"/>
          <w:sz w:val="24"/>
          <w:highlight w:val="none"/>
          <w:u w:val="none"/>
          <w:lang w:val="en-US" w:eastAsia="zh-CN"/>
        </w:rPr>
        <w:t xml:space="preserve">          日期：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w:t>
      </w:r>
    </w:p>
    <w:p w14:paraId="1E7E94A1">
      <w:pPr>
        <w:wordWrap w:val="0"/>
        <w:adjustRightInd w:val="0"/>
        <w:snapToGrid w:val="0"/>
        <w:spacing w:before="50" w:after="156" w:afterLines="50" w:line="360" w:lineRule="auto"/>
        <w:outlineLvl w:val="1"/>
        <w:rPr>
          <w:rFonts w:hint="eastAsia" w:ascii="宋体" w:hAnsi="宋体" w:eastAsia="宋体" w:cs="宋体"/>
          <w:b/>
          <w:snapToGrid w:val="0"/>
          <w:color w:val="auto"/>
          <w:sz w:val="24"/>
          <w:highlight w:val="none"/>
          <w:lang w:bidi="ar"/>
        </w:rPr>
      </w:pPr>
      <w:bookmarkStart w:id="141" w:name="_Toc4937"/>
      <w:bookmarkStart w:id="142" w:name="_Toc24697"/>
      <w:bookmarkStart w:id="143" w:name="_Toc14371"/>
      <w:bookmarkStart w:id="144" w:name="_Toc9631"/>
      <w:bookmarkStart w:id="145" w:name="_Toc8876"/>
    </w:p>
    <w:p w14:paraId="2DF3CEDA">
      <w:pPr>
        <w:wordWrap w:val="0"/>
        <w:adjustRightInd w:val="0"/>
        <w:snapToGrid w:val="0"/>
        <w:spacing w:before="50" w:after="156" w:afterLines="50" w:line="360" w:lineRule="auto"/>
        <w:outlineLvl w:val="1"/>
        <w:rPr>
          <w:rFonts w:hint="eastAsia" w:ascii="宋体" w:hAnsi="宋体" w:eastAsia="宋体" w:cs="宋体"/>
          <w:b/>
          <w:snapToGrid w:val="0"/>
          <w:color w:val="auto"/>
          <w:sz w:val="24"/>
          <w:highlight w:val="none"/>
          <w:lang w:bidi="ar"/>
        </w:rPr>
      </w:pPr>
    </w:p>
    <w:p w14:paraId="6CB7B8E2">
      <w:pPr>
        <w:wordWrap w:val="0"/>
        <w:adjustRightInd w:val="0"/>
        <w:snapToGrid w:val="0"/>
        <w:spacing w:before="50" w:after="156" w:afterLines="50" w:line="360" w:lineRule="auto"/>
        <w:outlineLvl w:val="1"/>
        <w:rPr>
          <w:rFonts w:hint="eastAsia" w:ascii="宋体" w:hAnsi="宋体" w:eastAsia="宋体" w:cs="宋体"/>
          <w:b/>
          <w:snapToGrid w:val="0"/>
          <w:color w:val="auto"/>
          <w:sz w:val="24"/>
          <w:highlight w:val="none"/>
          <w:lang w:bidi="ar"/>
        </w:rPr>
      </w:pPr>
    </w:p>
    <w:p w14:paraId="24F83277">
      <w:pPr>
        <w:wordWrap w:val="0"/>
        <w:adjustRightInd w:val="0"/>
        <w:snapToGrid w:val="0"/>
        <w:spacing w:before="50" w:after="156" w:afterLines="50" w:line="360" w:lineRule="auto"/>
        <w:outlineLvl w:val="1"/>
        <w:rPr>
          <w:rFonts w:hint="eastAsia" w:ascii="宋体" w:hAnsi="宋体" w:eastAsia="宋体" w:cs="宋体"/>
          <w:b/>
          <w:snapToGrid w:val="0"/>
          <w:color w:val="auto"/>
          <w:sz w:val="24"/>
          <w:highlight w:val="none"/>
          <w:lang w:bidi="ar"/>
        </w:rPr>
      </w:pPr>
    </w:p>
    <w:p w14:paraId="70178883">
      <w:pPr>
        <w:wordWrap w:val="0"/>
        <w:adjustRightInd w:val="0"/>
        <w:snapToGrid w:val="0"/>
        <w:spacing w:before="50" w:after="156" w:afterLines="50" w:line="360" w:lineRule="auto"/>
        <w:outlineLvl w:val="1"/>
        <w:rPr>
          <w:rFonts w:hint="eastAsia" w:ascii="宋体" w:hAnsi="宋体" w:eastAsia="宋体" w:cs="宋体"/>
          <w:b/>
          <w:snapToGrid w:val="0"/>
          <w:color w:val="auto"/>
          <w:sz w:val="24"/>
          <w:highlight w:val="none"/>
          <w:lang w:bidi="ar"/>
        </w:rPr>
      </w:pPr>
    </w:p>
    <w:p w14:paraId="7238C97A">
      <w:pPr>
        <w:wordWrap w:val="0"/>
        <w:adjustRightInd w:val="0"/>
        <w:snapToGrid w:val="0"/>
        <w:spacing w:before="50" w:after="156" w:afterLines="50" w:line="360" w:lineRule="auto"/>
        <w:outlineLvl w:val="1"/>
        <w:rPr>
          <w:rFonts w:hint="eastAsia" w:ascii="宋体" w:hAnsi="宋体" w:eastAsia="宋体" w:cs="宋体"/>
          <w:b/>
          <w:snapToGrid w:val="0"/>
          <w:color w:val="auto"/>
          <w:sz w:val="24"/>
          <w:highlight w:val="none"/>
          <w:lang w:bidi="ar"/>
        </w:rPr>
      </w:pPr>
    </w:p>
    <w:p w14:paraId="706DA5EC">
      <w:pPr>
        <w:wordWrap w:val="0"/>
        <w:adjustRightInd w:val="0"/>
        <w:snapToGrid w:val="0"/>
        <w:spacing w:before="50" w:after="156" w:afterLines="50" w:line="360" w:lineRule="auto"/>
        <w:outlineLvl w:val="1"/>
        <w:rPr>
          <w:rFonts w:hint="eastAsia" w:ascii="宋体" w:hAnsi="宋体" w:eastAsia="宋体" w:cs="宋体"/>
          <w:b/>
          <w:snapToGrid w:val="0"/>
          <w:color w:val="auto"/>
          <w:sz w:val="24"/>
          <w:highlight w:val="none"/>
          <w:lang w:bidi="ar"/>
        </w:rPr>
      </w:pPr>
    </w:p>
    <w:p w14:paraId="147DEE9E">
      <w:pPr>
        <w:wordWrap w:val="0"/>
        <w:adjustRightInd w:val="0"/>
        <w:snapToGrid w:val="0"/>
        <w:spacing w:before="50" w:after="156" w:afterLines="50" w:line="360" w:lineRule="auto"/>
        <w:outlineLvl w:val="1"/>
        <w:rPr>
          <w:rFonts w:hint="eastAsia" w:ascii="宋体" w:hAnsi="宋体" w:eastAsia="宋体" w:cs="宋体"/>
          <w:b/>
          <w:snapToGrid w:val="0"/>
          <w:color w:val="auto"/>
          <w:sz w:val="28"/>
          <w:szCs w:val="28"/>
          <w:highlight w:val="none"/>
          <w:lang w:bidi="ar"/>
        </w:rPr>
      </w:pPr>
      <w:r>
        <w:rPr>
          <w:rFonts w:hint="eastAsia" w:ascii="宋体" w:hAnsi="宋体" w:eastAsia="宋体" w:cs="宋体"/>
          <w:b/>
          <w:snapToGrid w:val="0"/>
          <w:color w:val="auto"/>
          <w:sz w:val="28"/>
          <w:szCs w:val="28"/>
          <w:highlight w:val="none"/>
          <w:lang w:bidi="ar"/>
        </w:rPr>
        <w:t>附件10               中小企业声明函（服务）</w:t>
      </w:r>
    </w:p>
    <w:p w14:paraId="3FD1D71D">
      <w:pPr>
        <w:spacing w:line="460" w:lineRule="atLeast"/>
        <w:ind w:left="210" w:leftChars="100"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w:t>
      </w:r>
      <w:r>
        <w:rPr>
          <w:rFonts w:hint="eastAsia" w:ascii="宋体" w:hAnsi="宋体" w:eastAsia="宋体" w:cs="宋体"/>
          <w:color w:val="auto"/>
          <w:sz w:val="24"/>
          <w:highlight w:val="none"/>
          <w:u w:val="none"/>
        </w:rPr>
        <w:t>（联合体）</w:t>
      </w:r>
      <w:r>
        <w:rPr>
          <w:rFonts w:hint="eastAsia" w:ascii="宋体" w:hAnsi="宋体" w:eastAsia="宋体" w:cs="宋体"/>
          <w:color w:val="auto"/>
          <w:sz w:val="24"/>
          <w:highlight w:val="none"/>
        </w:rPr>
        <w:t>郑重声明，根据《政府采购促进中小企业发展管理办法》（财库﹝2020﹞46 号）的规定，本公司</w:t>
      </w:r>
      <w:r>
        <w:rPr>
          <w:rFonts w:hint="eastAsia" w:ascii="宋体" w:hAnsi="宋体" w:eastAsia="宋体" w:cs="宋体"/>
          <w:color w:val="auto"/>
          <w:sz w:val="24"/>
          <w:highlight w:val="none"/>
          <w:u w:val="none"/>
        </w:rPr>
        <w:t>（联合体）</w:t>
      </w:r>
      <w:r>
        <w:rPr>
          <w:rFonts w:hint="eastAsia" w:ascii="宋体" w:hAnsi="宋体" w:eastAsia="宋体" w:cs="宋体"/>
          <w:color w:val="auto"/>
          <w:sz w:val="24"/>
          <w:highlight w:val="none"/>
        </w:rPr>
        <w:t>参加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25E74BD">
      <w:pPr>
        <w:spacing w:line="46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（标的名称） </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招标</w:t>
      </w:r>
      <w:r>
        <w:rPr>
          <w:rFonts w:hint="eastAsia" w:ascii="宋体" w:hAnsi="宋体" w:eastAsia="宋体" w:cs="宋体"/>
          <w:color w:val="auto"/>
          <w:sz w:val="24"/>
          <w:highlight w:val="none"/>
          <w:u w:val="single"/>
        </w:rPr>
        <w:t>文件中明确的所属行业）</w:t>
      </w:r>
      <w:r>
        <w:rPr>
          <w:rFonts w:hint="eastAsia" w:ascii="宋体" w:hAnsi="宋体" w:eastAsia="宋体" w:cs="宋体"/>
          <w:color w:val="auto"/>
          <w:sz w:val="24"/>
          <w:highlight w:val="none"/>
        </w:rPr>
        <w:t>；承建（承接）企业为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59DBC2D2">
      <w:pPr>
        <w:spacing w:line="46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（标的名称） </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招标</w:t>
      </w:r>
      <w:r>
        <w:rPr>
          <w:rFonts w:hint="eastAsia" w:ascii="宋体" w:hAnsi="宋体" w:eastAsia="宋体" w:cs="宋体"/>
          <w:color w:val="auto"/>
          <w:sz w:val="24"/>
          <w:highlight w:val="none"/>
          <w:u w:val="single"/>
        </w:rPr>
        <w:t>文件中明确的所属行业）</w:t>
      </w:r>
      <w:r>
        <w:rPr>
          <w:rFonts w:hint="eastAsia" w:ascii="宋体" w:hAnsi="宋体" w:eastAsia="宋体" w:cs="宋体"/>
          <w:color w:val="auto"/>
          <w:sz w:val="24"/>
          <w:highlight w:val="none"/>
        </w:rPr>
        <w:t>；承建（承接）企业为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0B6F8274">
      <w:pPr>
        <w:spacing w:line="46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59116D21">
      <w:pPr>
        <w:spacing w:line="46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2D12CF93">
      <w:pPr>
        <w:spacing w:line="46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62EBE02C">
      <w:pPr>
        <w:pStyle w:val="16"/>
        <w:adjustRightInd/>
        <w:spacing w:after="0" w:line="480" w:lineRule="auto"/>
        <w:ind w:left="63" w:right="63" w:firstLine="240"/>
        <w:rPr>
          <w:rFonts w:hint="eastAsia" w:ascii="宋体" w:hAnsi="宋体" w:eastAsia="宋体" w:cs="宋体"/>
          <w:color w:val="auto"/>
          <w:sz w:val="24"/>
          <w:highlight w:val="none"/>
          <w:lang w:bidi="ar"/>
        </w:rPr>
      </w:pPr>
    </w:p>
    <w:p w14:paraId="7405EC00">
      <w:pPr>
        <w:pStyle w:val="16"/>
        <w:adjustRightInd/>
        <w:spacing w:after="0" w:line="480" w:lineRule="auto"/>
        <w:ind w:left="0" w:leftChars="0" w:right="63" w:firstLine="0" w:firstLineChars="0"/>
        <w:jc w:val="center"/>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lang w:bidi="ar"/>
        </w:rPr>
        <w:t xml:space="preserve">                企业名称（盖章）：</w:t>
      </w:r>
      <w:r>
        <w:rPr>
          <w:rFonts w:hint="eastAsia" w:ascii="宋体" w:hAnsi="宋体" w:eastAsia="宋体" w:cs="宋体"/>
          <w:color w:val="auto"/>
          <w:sz w:val="24"/>
          <w:highlight w:val="none"/>
          <w:u w:val="single"/>
          <w:lang w:bidi="ar"/>
        </w:rPr>
        <w:t xml:space="preserve">               </w:t>
      </w:r>
    </w:p>
    <w:p w14:paraId="56221466">
      <w:pPr>
        <w:pStyle w:val="16"/>
        <w:adjustRightInd/>
        <w:spacing w:after="0" w:line="480" w:lineRule="auto"/>
        <w:ind w:left="63" w:right="63" w:firstLine="4800" w:firstLineChars="20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lang w:bidi="ar"/>
        </w:rPr>
        <w:t>日期：</w:t>
      </w:r>
      <w:r>
        <w:rPr>
          <w:rFonts w:hint="eastAsia" w:ascii="宋体" w:hAnsi="宋体" w:eastAsia="宋体" w:cs="宋体"/>
          <w:color w:val="auto"/>
          <w:sz w:val="24"/>
          <w:highlight w:val="none"/>
          <w:u w:val="single"/>
          <w:lang w:bidi="ar"/>
        </w:rPr>
        <w:t xml:space="preserve">               </w:t>
      </w:r>
    </w:p>
    <w:p w14:paraId="349C8EB3">
      <w:pPr>
        <w:rPr>
          <w:rFonts w:hint="eastAsia" w:ascii="宋体" w:hAnsi="宋体" w:eastAsia="宋体" w:cs="宋体"/>
          <w:b/>
          <w:snapToGrid w:val="0"/>
          <w:color w:val="auto"/>
          <w:sz w:val="24"/>
          <w:highlight w:val="none"/>
          <w:lang w:bidi="ar"/>
        </w:rPr>
      </w:pPr>
    </w:p>
    <w:p w14:paraId="0FC5BD1C">
      <w:pPr>
        <w:spacing w:before="65" w:line="217" w:lineRule="auto"/>
        <w:ind w:left="14"/>
        <w:rPr>
          <w:rFonts w:hint="eastAsia" w:ascii="宋体" w:hAnsi="宋体" w:eastAsia="宋体" w:cs="宋体"/>
          <w:color w:val="auto"/>
          <w:position w:val="11"/>
          <w:sz w:val="11"/>
          <w:szCs w:val="11"/>
          <w:highlight w:val="none"/>
        </w:rPr>
      </w:pPr>
    </w:p>
    <w:p w14:paraId="59C48894">
      <w:pPr>
        <w:spacing w:before="65" w:line="217" w:lineRule="auto"/>
        <w:ind w:left="14"/>
        <w:rPr>
          <w:rFonts w:hint="eastAsia" w:ascii="宋体" w:hAnsi="宋体" w:eastAsia="宋体" w:cs="宋体"/>
          <w:color w:val="auto"/>
          <w:position w:val="11"/>
          <w:sz w:val="11"/>
          <w:szCs w:val="11"/>
          <w:highlight w:val="none"/>
        </w:rPr>
      </w:pPr>
    </w:p>
    <w:p w14:paraId="7AF3B53A">
      <w:pPr>
        <w:spacing w:before="65" w:line="217" w:lineRule="auto"/>
        <w:ind w:left="14"/>
        <w:rPr>
          <w:rFonts w:hint="eastAsia" w:ascii="宋体" w:hAnsi="宋体" w:eastAsia="宋体" w:cs="宋体"/>
          <w:color w:val="auto"/>
          <w:position w:val="11"/>
          <w:sz w:val="11"/>
          <w:szCs w:val="11"/>
          <w:highlight w:val="none"/>
        </w:rPr>
      </w:pPr>
    </w:p>
    <w:p w14:paraId="67269470">
      <w:pPr>
        <w:spacing w:before="65" w:line="217" w:lineRule="auto"/>
        <w:ind w:left="14"/>
        <w:rPr>
          <w:rFonts w:hint="eastAsia" w:ascii="宋体" w:hAnsi="宋体" w:eastAsia="宋体" w:cs="宋体"/>
          <w:color w:val="auto"/>
          <w:position w:val="11"/>
          <w:sz w:val="11"/>
          <w:szCs w:val="11"/>
          <w:highlight w:val="none"/>
        </w:rPr>
      </w:pPr>
    </w:p>
    <w:p w14:paraId="62ABE99F">
      <w:pPr>
        <w:spacing w:before="65" w:line="217" w:lineRule="auto"/>
        <w:ind w:left="14"/>
        <w:rPr>
          <w:rFonts w:hint="eastAsia" w:ascii="宋体" w:hAnsi="宋体" w:eastAsia="宋体" w:cs="宋体"/>
          <w:color w:val="auto"/>
          <w:position w:val="11"/>
          <w:sz w:val="11"/>
          <w:szCs w:val="11"/>
          <w:highlight w:val="none"/>
        </w:rPr>
      </w:pPr>
    </w:p>
    <w:p w14:paraId="740D7B3B">
      <w:pPr>
        <w:spacing w:before="65" w:line="217" w:lineRule="auto"/>
        <w:ind w:left="14"/>
        <w:rPr>
          <w:rFonts w:hint="eastAsia" w:ascii="宋体" w:hAnsi="宋体" w:eastAsia="宋体" w:cs="宋体"/>
          <w:color w:val="auto"/>
          <w:position w:val="11"/>
          <w:sz w:val="11"/>
          <w:szCs w:val="11"/>
          <w:highlight w:val="none"/>
        </w:rPr>
      </w:pPr>
    </w:p>
    <w:p w14:paraId="7B9E6E58">
      <w:pPr>
        <w:spacing w:before="65" w:line="217" w:lineRule="auto"/>
        <w:ind w:left="14"/>
        <w:rPr>
          <w:rFonts w:hint="eastAsia" w:ascii="宋体" w:hAnsi="宋体" w:eastAsia="宋体" w:cs="宋体"/>
          <w:color w:val="auto"/>
          <w:position w:val="11"/>
          <w:sz w:val="11"/>
          <w:szCs w:val="11"/>
          <w:highlight w:val="none"/>
        </w:rPr>
      </w:pPr>
    </w:p>
    <w:p w14:paraId="2B3991E2">
      <w:pPr>
        <w:spacing w:before="65" w:line="217" w:lineRule="auto"/>
        <w:ind w:left="14"/>
        <w:rPr>
          <w:rFonts w:hint="eastAsia" w:ascii="宋体" w:hAnsi="宋体" w:eastAsia="宋体" w:cs="宋体"/>
          <w:color w:val="auto"/>
          <w:sz w:val="20"/>
          <w:szCs w:val="20"/>
          <w:highlight w:val="none"/>
        </w:rPr>
      </w:pPr>
      <w:r>
        <w:rPr>
          <w:rFonts w:hint="eastAsia" w:ascii="宋体" w:hAnsi="宋体" w:eastAsia="宋体" w:cs="宋体"/>
          <w:color w:val="auto"/>
          <w:position w:val="11"/>
          <w:sz w:val="11"/>
          <w:szCs w:val="11"/>
          <w:highlight w:val="none"/>
        </w:rPr>
        <w:t>1</w:t>
      </w:r>
      <w:r>
        <w:rPr>
          <w:rFonts w:hint="eastAsia" w:ascii="宋体" w:hAnsi="宋体" w:eastAsia="宋体" w:cs="宋体"/>
          <w:color w:val="auto"/>
          <w:spacing w:val="-13"/>
          <w:position w:val="11"/>
          <w:sz w:val="11"/>
          <w:szCs w:val="11"/>
          <w:highlight w:val="none"/>
        </w:rPr>
        <w:t xml:space="preserve"> </w:t>
      </w:r>
      <w:r>
        <w:rPr>
          <w:rFonts w:hint="eastAsia" w:ascii="宋体" w:hAnsi="宋体" w:eastAsia="宋体" w:cs="宋体"/>
          <w:color w:val="auto"/>
          <w:sz w:val="20"/>
          <w:szCs w:val="20"/>
          <w:highlight w:val="none"/>
        </w:rPr>
        <w:t>从业人员、营业收入、资产总额填报上一</w:t>
      </w:r>
      <w:r>
        <w:rPr>
          <w:rFonts w:hint="eastAsia" w:ascii="宋体" w:hAnsi="宋体" w:eastAsia="宋体" w:cs="宋体"/>
          <w:color w:val="auto"/>
          <w:spacing w:val="-1"/>
          <w:sz w:val="20"/>
          <w:szCs w:val="20"/>
          <w:highlight w:val="none"/>
        </w:rPr>
        <w:t>年度数据，无上一年度数据的新成立企业可不填报。</w:t>
      </w:r>
    </w:p>
    <w:p w14:paraId="3D513B43">
      <w:pPr>
        <w:rPr>
          <w:rFonts w:hint="eastAsia" w:ascii="宋体" w:hAnsi="宋体" w:eastAsia="宋体" w:cs="宋体"/>
          <w:color w:val="auto"/>
          <w:sz w:val="28"/>
          <w:szCs w:val="28"/>
          <w:highlight w:val="none"/>
        </w:rPr>
      </w:pPr>
      <w:r>
        <w:rPr>
          <w:rFonts w:hint="eastAsia" w:ascii="宋体" w:hAnsi="宋体" w:eastAsia="宋体" w:cs="宋体"/>
          <w:b/>
          <w:snapToGrid w:val="0"/>
          <w:color w:val="auto"/>
          <w:sz w:val="24"/>
          <w:highlight w:val="none"/>
          <w:lang w:bidi="ar"/>
        </w:rPr>
        <w:br w:type="page"/>
      </w:r>
      <w:r>
        <w:rPr>
          <w:rFonts w:hint="eastAsia" w:ascii="宋体" w:hAnsi="宋体" w:eastAsia="宋体" w:cs="宋体"/>
          <w:b/>
          <w:snapToGrid w:val="0"/>
          <w:color w:val="auto"/>
          <w:sz w:val="28"/>
          <w:szCs w:val="28"/>
          <w:highlight w:val="none"/>
          <w:lang w:bidi="ar"/>
        </w:rPr>
        <w:t xml:space="preserve">附件11           </w:t>
      </w:r>
      <w:r>
        <w:rPr>
          <w:rFonts w:hint="eastAsia" w:ascii="宋体" w:hAnsi="宋体" w:eastAsia="宋体" w:cs="宋体"/>
          <w:b/>
          <w:color w:val="auto"/>
          <w:sz w:val="28"/>
          <w:szCs w:val="28"/>
          <w:highlight w:val="none"/>
        </w:rPr>
        <w:t>残疾人福利性单位声明函（格式）</w:t>
      </w:r>
    </w:p>
    <w:p w14:paraId="6D82D008">
      <w:pPr>
        <w:wordWrap w:val="0"/>
        <w:spacing w:line="360" w:lineRule="auto"/>
        <w:ind w:firstLine="480" w:firstLineChars="200"/>
        <w:rPr>
          <w:rFonts w:hint="eastAsia" w:ascii="宋体" w:hAnsi="宋体" w:eastAsia="宋体" w:cs="宋体"/>
          <w:snapToGrid w:val="0"/>
          <w:color w:val="auto"/>
          <w:sz w:val="24"/>
          <w:highlight w:val="none"/>
          <w:lang w:bidi="ar"/>
        </w:rPr>
      </w:pPr>
    </w:p>
    <w:p w14:paraId="3C350172">
      <w:pPr>
        <w:wordWrap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FC97179">
      <w:pPr>
        <w:wordWrap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本单位对上述声明的真实性负责。如有虚假，将依法承担相应责任。</w:t>
      </w:r>
    </w:p>
    <w:p w14:paraId="18A63F76">
      <w:pPr>
        <w:wordWrap w:val="0"/>
        <w:spacing w:line="360" w:lineRule="auto"/>
        <w:ind w:firstLine="4920" w:firstLineChars="2050"/>
        <w:rPr>
          <w:rFonts w:hint="eastAsia" w:ascii="宋体" w:hAnsi="宋体" w:eastAsia="宋体" w:cs="宋体"/>
          <w:snapToGrid w:val="0"/>
          <w:color w:val="auto"/>
          <w:sz w:val="24"/>
          <w:highlight w:val="none"/>
          <w:lang w:bidi="ar"/>
        </w:rPr>
      </w:pPr>
    </w:p>
    <w:p w14:paraId="28F3EF91">
      <w:pPr>
        <w:wordWrap w:val="0"/>
        <w:spacing w:line="360" w:lineRule="auto"/>
        <w:ind w:firstLine="3000" w:firstLineChars="125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投标人：</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u w:val="none"/>
          <w:lang w:bidi="ar"/>
        </w:rPr>
        <w:t xml:space="preserve">（全称并加盖公章）  </w:t>
      </w:r>
    </w:p>
    <w:p w14:paraId="012C02D6">
      <w:pPr>
        <w:wordWrap w:val="0"/>
        <w:spacing w:line="360" w:lineRule="auto"/>
        <w:ind w:firstLine="4920" w:firstLineChars="205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年   月    日</w:t>
      </w:r>
    </w:p>
    <w:p w14:paraId="5872E0D5">
      <w:pPr>
        <w:wordWrap w:val="0"/>
        <w:adjustRightInd w:val="0"/>
        <w:snapToGrid w:val="0"/>
        <w:spacing w:before="50" w:after="156" w:afterLines="50" w:line="360" w:lineRule="auto"/>
        <w:outlineLvl w:val="1"/>
        <w:rPr>
          <w:rFonts w:hint="eastAsia" w:ascii="宋体" w:hAnsi="宋体" w:eastAsia="宋体" w:cs="宋体"/>
          <w:b/>
          <w:snapToGrid w:val="0"/>
          <w:color w:val="auto"/>
          <w:sz w:val="24"/>
          <w:highlight w:val="none"/>
          <w:lang w:bidi="ar"/>
        </w:rPr>
      </w:pPr>
    </w:p>
    <w:p w14:paraId="130A4979">
      <w:pPr>
        <w:pStyle w:val="16"/>
        <w:ind w:left="63" w:right="63" w:firstLine="240"/>
        <w:rPr>
          <w:rFonts w:hint="eastAsia" w:ascii="宋体" w:hAnsi="宋体" w:eastAsia="宋体" w:cs="宋体"/>
          <w:color w:val="auto"/>
          <w:sz w:val="24"/>
          <w:highlight w:val="none"/>
          <w:lang w:bidi="ar"/>
        </w:rPr>
      </w:pPr>
    </w:p>
    <w:p w14:paraId="692092CD">
      <w:pPr>
        <w:pStyle w:val="17"/>
        <w:ind w:firstLine="480"/>
        <w:rPr>
          <w:rFonts w:hint="eastAsia" w:ascii="宋体" w:hAnsi="宋体" w:eastAsia="宋体" w:cs="宋体"/>
          <w:color w:val="auto"/>
          <w:highlight w:val="none"/>
          <w:lang w:bidi="ar"/>
        </w:rPr>
      </w:pPr>
    </w:p>
    <w:p w14:paraId="7D9CA081">
      <w:pPr>
        <w:pStyle w:val="17"/>
        <w:ind w:firstLine="480"/>
        <w:rPr>
          <w:rFonts w:hint="eastAsia" w:ascii="宋体" w:hAnsi="宋体" w:eastAsia="宋体" w:cs="宋体"/>
          <w:color w:val="auto"/>
          <w:highlight w:val="none"/>
          <w:lang w:bidi="ar"/>
        </w:rPr>
      </w:pPr>
    </w:p>
    <w:p w14:paraId="649BE2CE">
      <w:pPr>
        <w:pStyle w:val="17"/>
        <w:ind w:firstLine="480"/>
        <w:rPr>
          <w:rFonts w:hint="eastAsia" w:ascii="宋体" w:hAnsi="宋体" w:eastAsia="宋体" w:cs="宋体"/>
          <w:color w:val="auto"/>
          <w:highlight w:val="none"/>
          <w:lang w:bidi="ar"/>
        </w:rPr>
      </w:pPr>
    </w:p>
    <w:p w14:paraId="2D531076">
      <w:pPr>
        <w:pStyle w:val="17"/>
        <w:ind w:firstLine="480"/>
        <w:rPr>
          <w:rFonts w:hint="eastAsia" w:ascii="宋体" w:hAnsi="宋体" w:eastAsia="宋体" w:cs="宋体"/>
          <w:color w:val="auto"/>
          <w:highlight w:val="none"/>
          <w:lang w:bidi="ar"/>
        </w:rPr>
      </w:pPr>
    </w:p>
    <w:p w14:paraId="4B7D869C">
      <w:pPr>
        <w:pStyle w:val="17"/>
        <w:ind w:firstLine="480"/>
        <w:rPr>
          <w:rFonts w:hint="eastAsia" w:ascii="宋体" w:hAnsi="宋体" w:eastAsia="宋体" w:cs="宋体"/>
          <w:color w:val="auto"/>
          <w:highlight w:val="none"/>
          <w:lang w:bidi="ar"/>
        </w:rPr>
      </w:pPr>
    </w:p>
    <w:p w14:paraId="13CF3C66">
      <w:pPr>
        <w:adjustRightInd w:val="0"/>
        <w:snapToGrid w:val="0"/>
        <w:spacing w:line="360" w:lineRule="auto"/>
        <w:jc w:val="left"/>
        <w:outlineLvl w:val="1"/>
        <w:rPr>
          <w:rFonts w:hint="eastAsia" w:ascii="宋体" w:hAnsi="宋体" w:eastAsia="宋体" w:cs="宋体"/>
          <w:b/>
          <w:snapToGrid w:val="0"/>
          <w:color w:val="auto"/>
          <w:sz w:val="28"/>
          <w:szCs w:val="28"/>
          <w:highlight w:val="none"/>
          <w:lang w:bidi="ar"/>
        </w:rPr>
      </w:pPr>
      <w:r>
        <w:rPr>
          <w:rFonts w:hint="eastAsia" w:ascii="宋体" w:hAnsi="宋体" w:eastAsia="宋体" w:cs="宋体"/>
          <w:b/>
          <w:snapToGrid w:val="0"/>
          <w:color w:val="auto"/>
          <w:sz w:val="24"/>
          <w:highlight w:val="none"/>
          <w:lang w:bidi="ar"/>
        </w:rPr>
        <w:br w:type="page"/>
      </w:r>
      <w:r>
        <w:rPr>
          <w:rFonts w:hint="eastAsia" w:ascii="宋体" w:hAnsi="宋体" w:eastAsia="宋体" w:cs="宋体"/>
          <w:b/>
          <w:snapToGrid w:val="0"/>
          <w:color w:val="auto"/>
          <w:sz w:val="28"/>
          <w:szCs w:val="28"/>
          <w:highlight w:val="none"/>
          <w:lang w:bidi="ar"/>
        </w:rPr>
        <w:t xml:space="preserve">附件12  </w:t>
      </w:r>
      <w:r>
        <w:rPr>
          <w:rFonts w:hint="eastAsia" w:ascii="宋体" w:hAnsi="宋体" w:eastAsia="宋体" w:cs="宋体"/>
          <w:b/>
          <w:snapToGrid w:val="0"/>
          <w:color w:val="auto"/>
          <w:sz w:val="28"/>
          <w:szCs w:val="28"/>
          <w:highlight w:val="none"/>
          <w:lang w:val="en-US" w:eastAsia="zh-CN" w:bidi="ar"/>
        </w:rPr>
        <w:t xml:space="preserve">       </w:t>
      </w:r>
      <w:r>
        <w:rPr>
          <w:rFonts w:hint="eastAsia" w:ascii="宋体" w:hAnsi="宋体" w:eastAsia="宋体" w:cs="宋体"/>
          <w:b/>
          <w:snapToGrid w:val="0"/>
          <w:color w:val="auto"/>
          <w:sz w:val="28"/>
          <w:szCs w:val="28"/>
          <w:highlight w:val="none"/>
          <w:lang w:bidi="ar"/>
        </w:rPr>
        <w:t>投标人自觉抵制政府采购领域</w:t>
      </w:r>
      <w:bookmarkEnd w:id="141"/>
      <w:bookmarkEnd w:id="142"/>
      <w:bookmarkEnd w:id="143"/>
      <w:bookmarkEnd w:id="144"/>
      <w:bookmarkEnd w:id="145"/>
      <w:bookmarkStart w:id="146" w:name="_Toc8180"/>
      <w:bookmarkStart w:id="147" w:name="_Toc3495"/>
      <w:bookmarkStart w:id="148" w:name="_Toc31308"/>
      <w:r>
        <w:rPr>
          <w:rFonts w:hint="eastAsia" w:ascii="宋体" w:hAnsi="宋体" w:eastAsia="宋体" w:cs="宋体"/>
          <w:b/>
          <w:snapToGrid w:val="0"/>
          <w:color w:val="auto"/>
          <w:sz w:val="28"/>
          <w:szCs w:val="28"/>
          <w:highlight w:val="none"/>
          <w:lang w:bidi="ar"/>
        </w:rPr>
        <w:t>商业</w:t>
      </w:r>
    </w:p>
    <w:p w14:paraId="39F90E50">
      <w:pPr>
        <w:adjustRightInd w:val="0"/>
        <w:snapToGrid w:val="0"/>
        <w:spacing w:line="360" w:lineRule="auto"/>
        <w:ind w:firstLine="2811" w:firstLineChars="1000"/>
        <w:jc w:val="left"/>
        <w:outlineLvl w:val="1"/>
        <w:rPr>
          <w:rFonts w:hint="eastAsia" w:ascii="宋体" w:hAnsi="宋体" w:eastAsia="宋体" w:cs="宋体"/>
          <w:color w:val="auto"/>
          <w:sz w:val="28"/>
          <w:szCs w:val="28"/>
          <w:highlight w:val="none"/>
        </w:rPr>
      </w:pPr>
      <w:r>
        <w:rPr>
          <w:rFonts w:hint="eastAsia" w:ascii="宋体" w:hAnsi="宋体" w:eastAsia="宋体" w:cs="宋体"/>
          <w:b/>
          <w:snapToGrid w:val="0"/>
          <w:color w:val="auto"/>
          <w:sz w:val="28"/>
          <w:szCs w:val="28"/>
          <w:highlight w:val="none"/>
          <w:lang w:bidi="ar"/>
        </w:rPr>
        <w:t>贿赂行为承诺书</w:t>
      </w:r>
      <w:r>
        <w:rPr>
          <w:rFonts w:hint="eastAsia" w:ascii="宋体" w:hAnsi="宋体" w:eastAsia="宋体" w:cs="宋体"/>
          <w:bCs/>
          <w:snapToGrid w:val="0"/>
          <w:color w:val="auto"/>
          <w:sz w:val="28"/>
          <w:szCs w:val="28"/>
          <w:highlight w:val="none"/>
          <w:lang w:bidi="ar"/>
        </w:rPr>
        <w:t>（格式）</w:t>
      </w:r>
      <w:bookmarkEnd w:id="146"/>
      <w:bookmarkEnd w:id="147"/>
      <w:bookmarkEnd w:id="148"/>
    </w:p>
    <w:p w14:paraId="44CC350B">
      <w:pPr>
        <w:wordWrap w:val="0"/>
        <w:adjustRightInd w:val="0"/>
        <w:snapToGrid w:val="0"/>
        <w:spacing w:line="360" w:lineRule="auto"/>
        <w:rPr>
          <w:rFonts w:hint="eastAsia" w:ascii="宋体" w:hAnsi="宋体" w:eastAsia="宋体" w:cs="宋体"/>
          <w:snapToGrid w:val="0"/>
          <w:color w:val="auto"/>
          <w:sz w:val="24"/>
          <w:highlight w:val="none"/>
          <w:lang w:bidi="ar"/>
        </w:rPr>
      </w:pPr>
    </w:p>
    <w:p w14:paraId="2CAD45B8">
      <w:pPr>
        <w:wordWrap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致：</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（采购人名称）</w:t>
      </w:r>
      <w:r>
        <w:rPr>
          <w:rFonts w:hint="eastAsia" w:ascii="宋体" w:hAnsi="宋体" w:eastAsia="宋体" w:cs="宋体"/>
          <w:b/>
          <w:snapToGrid w:val="0"/>
          <w:color w:val="auto"/>
          <w:sz w:val="24"/>
          <w:highlight w:val="none"/>
          <w:lang w:bidi="ar"/>
        </w:rPr>
        <w:t xml:space="preserve"> </w:t>
      </w:r>
      <w:r>
        <w:rPr>
          <w:rFonts w:hint="eastAsia" w:ascii="宋体" w:hAnsi="宋体" w:eastAsia="宋体" w:cs="宋体"/>
          <w:snapToGrid w:val="0"/>
          <w:color w:val="auto"/>
          <w:sz w:val="24"/>
          <w:highlight w:val="none"/>
          <w:lang w:bidi="ar"/>
        </w:rPr>
        <w:t>：</w:t>
      </w:r>
    </w:p>
    <w:p w14:paraId="28C81CE8">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进一步规范政府采购行为，营造公平竞争的政府采购市场环境，维护政府采购制度良好声誉，在参与贵单位组织的招标活动中，我方庄重承诺：</w:t>
      </w:r>
    </w:p>
    <w:p w14:paraId="3D3B3DAD">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一、依法参与招标活动，遵纪守法，诚信经营，公平竞争。</w:t>
      </w:r>
    </w:p>
    <w:p w14:paraId="52A49F43">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二、不向采购人、采购代理机构和评审专家提供任何形式的商业贿赂，对索取或接受商业贿赂的单位和个人，及时向财政部门和纪检监察机关举报。</w:t>
      </w:r>
    </w:p>
    <w:p w14:paraId="0769D955">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三、不以提供虚假资质文件等形式参与招标活动，不以虚假材料谋取中标。</w:t>
      </w:r>
    </w:p>
    <w:p w14:paraId="3EFE243C">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四、不采取不正当手段诋毁、排挤其它投标人，与其它参与招标活动的投标人保持良性的竞争关系。</w:t>
      </w:r>
    </w:p>
    <w:p w14:paraId="55E12FCC">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五、不与采购人、采购代理机构和评审专家恶意串通，自觉维护政府采购公平竞争的市场秩序。</w:t>
      </w:r>
    </w:p>
    <w:p w14:paraId="288CD1C7">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六、不与其它投标人串通采取围标、陪标等商业欺诈手段谋取中标，积极维护国家利益、社会公共利益和采购人的合法权益。</w:t>
      </w:r>
    </w:p>
    <w:p w14:paraId="472777C7">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七、严格履行政府采购合同约定义务，不在政府采购合同执行过程中采取降低质量或标准、减少数量、拖延交付时间等方式损害采购人的利益，并自觉承担违约责任。</w:t>
      </w:r>
    </w:p>
    <w:p w14:paraId="603324B7">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八、自觉接受并积极配合相关监督部门实施的监督检查，如实反映情况，及时提供有关证明材料。</w:t>
      </w:r>
    </w:p>
    <w:p w14:paraId="3F94D7AF">
      <w:pPr>
        <w:wordWrap w:val="0"/>
        <w:adjustRightInd w:val="0"/>
        <w:snapToGrid w:val="0"/>
        <w:spacing w:line="360" w:lineRule="auto"/>
        <w:ind w:firstLine="2400" w:firstLineChars="1000"/>
        <w:rPr>
          <w:rFonts w:hint="eastAsia" w:ascii="宋体" w:hAnsi="宋体" w:eastAsia="宋体" w:cs="宋体"/>
          <w:snapToGrid w:val="0"/>
          <w:color w:val="auto"/>
          <w:sz w:val="24"/>
          <w:highlight w:val="none"/>
          <w:lang w:bidi="ar"/>
        </w:rPr>
      </w:pPr>
    </w:p>
    <w:p w14:paraId="27A5144D">
      <w:pPr>
        <w:wordWrap w:val="0"/>
        <w:adjustRightInd w:val="0"/>
        <w:snapToGrid w:val="0"/>
        <w:spacing w:line="360" w:lineRule="auto"/>
        <w:ind w:firstLine="2880" w:firstLineChars="120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 xml:space="preserve">投标人代表签字： </w:t>
      </w:r>
      <w:r>
        <w:rPr>
          <w:rFonts w:hint="eastAsia" w:ascii="宋体" w:hAnsi="宋体" w:eastAsia="宋体" w:cs="宋体"/>
          <w:snapToGrid w:val="0"/>
          <w:color w:val="auto"/>
          <w:sz w:val="24"/>
          <w:highlight w:val="none"/>
          <w:u w:val="single"/>
          <w:lang w:bidi="ar"/>
        </w:rPr>
        <w:t xml:space="preserve">                </w:t>
      </w:r>
    </w:p>
    <w:p w14:paraId="506D977E">
      <w:pPr>
        <w:wordWrap w:val="0"/>
        <w:adjustRightInd w:val="0"/>
        <w:snapToGrid w:val="0"/>
        <w:spacing w:line="36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lang w:bidi="ar"/>
        </w:rPr>
        <w:t xml:space="preserve"> </w:t>
      </w:r>
      <w:r>
        <w:rPr>
          <w:rFonts w:hint="eastAsia" w:ascii="宋体" w:hAnsi="宋体" w:eastAsia="宋体" w:cs="宋体"/>
          <w:snapToGrid w:val="0"/>
          <w:color w:val="auto"/>
          <w:sz w:val="24"/>
          <w:highlight w:val="none"/>
          <w:lang w:val="en-US" w:eastAsia="zh-CN" w:bidi="ar"/>
        </w:rPr>
        <w:t xml:space="preserve">    </w:t>
      </w:r>
      <w:r>
        <w:rPr>
          <w:rFonts w:hint="eastAsia" w:ascii="宋体" w:hAnsi="宋体" w:eastAsia="宋体" w:cs="宋体"/>
          <w:snapToGrid w:val="0"/>
          <w:color w:val="auto"/>
          <w:sz w:val="24"/>
          <w:highlight w:val="none"/>
          <w:lang w:bidi="ar"/>
        </w:rPr>
        <w:t>投标人：</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（全称并加盖公章）</w:t>
      </w:r>
    </w:p>
    <w:p w14:paraId="35417635">
      <w:pPr>
        <w:wordWrap w:val="0"/>
        <w:adjustRightInd w:val="0"/>
        <w:snapToGrid w:val="0"/>
        <w:spacing w:line="360" w:lineRule="auto"/>
        <w:ind w:firstLine="480" w:firstLineChars="200"/>
        <w:rPr>
          <w:rFonts w:hint="eastAsia" w:ascii="宋体" w:hAnsi="宋体" w:eastAsia="宋体" w:cs="宋体"/>
          <w:snapToGrid w:val="0"/>
          <w:color w:val="auto"/>
          <w:sz w:val="24"/>
          <w:highlight w:val="none"/>
          <w:lang w:bidi="ar"/>
        </w:rPr>
      </w:pPr>
      <w:r>
        <w:rPr>
          <w:rFonts w:hint="eastAsia" w:ascii="宋体" w:hAnsi="宋体" w:eastAsia="宋体" w:cs="宋体"/>
          <w:snapToGrid w:val="0"/>
          <w:color w:val="auto"/>
          <w:sz w:val="24"/>
          <w:highlight w:val="none"/>
          <w:lang w:bidi="ar"/>
        </w:rPr>
        <w:t xml:space="preserve">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年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 xml:space="preserve">月 </w:t>
      </w:r>
      <w:r>
        <w:rPr>
          <w:rFonts w:hint="eastAsia" w:ascii="宋体" w:hAnsi="宋体" w:eastAsia="宋体" w:cs="宋体"/>
          <w:snapToGrid w:val="0"/>
          <w:color w:val="auto"/>
          <w:sz w:val="24"/>
          <w:highlight w:val="none"/>
          <w:u w:val="single"/>
          <w:lang w:bidi="ar"/>
        </w:rPr>
        <w:t xml:space="preserve">   </w:t>
      </w:r>
      <w:r>
        <w:rPr>
          <w:rFonts w:hint="eastAsia" w:ascii="宋体" w:hAnsi="宋体" w:eastAsia="宋体" w:cs="宋体"/>
          <w:snapToGrid w:val="0"/>
          <w:color w:val="auto"/>
          <w:sz w:val="24"/>
          <w:highlight w:val="none"/>
          <w:lang w:bidi="ar"/>
        </w:rPr>
        <w:t>日</w:t>
      </w:r>
    </w:p>
    <w:p w14:paraId="73EB3C53">
      <w:pPr>
        <w:wordWrap w:val="0"/>
        <w:adjustRightInd w:val="0"/>
        <w:snapToGrid w:val="0"/>
        <w:spacing w:line="360" w:lineRule="auto"/>
        <w:rPr>
          <w:rFonts w:hint="eastAsia" w:ascii="宋体" w:hAnsi="宋体" w:eastAsia="宋体" w:cs="宋体"/>
          <w:color w:val="auto"/>
          <w:kern w:val="0"/>
          <w:sz w:val="22"/>
          <w:szCs w:val="22"/>
          <w:highlight w:val="none"/>
        </w:rPr>
      </w:pPr>
    </w:p>
    <w:p w14:paraId="59528443">
      <w:pPr>
        <w:widowControl/>
        <w:spacing w:line="360" w:lineRule="auto"/>
        <w:jc w:val="left"/>
        <w:rPr>
          <w:rFonts w:hint="eastAsia" w:ascii="宋体" w:hAnsi="宋体" w:eastAsia="宋体" w:cs="宋体"/>
          <w:b/>
          <w:bCs/>
          <w:color w:val="auto"/>
          <w:kern w:val="0"/>
          <w:sz w:val="24"/>
          <w:highlight w:val="none"/>
        </w:rPr>
      </w:pPr>
    </w:p>
    <w:p w14:paraId="4F1981CE">
      <w:pPr>
        <w:widowControl/>
        <w:spacing w:line="360" w:lineRule="auto"/>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16C06DB8">
      <w:pPr>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2"/>
          <w:szCs w:val="32"/>
          <w:highlight w:val="none"/>
        </w:rPr>
        <w:t>政府采购合同融资政策告知函</w:t>
      </w:r>
    </w:p>
    <w:p w14:paraId="1081D7D7">
      <w:pPr>
        <w:spacing w:line="360" w:lineRule="auto"/>
        <w:rPr>
          <w:rFonts w:hint="eastAsia" w:ascii="宋体" w:hAnsi="宋体" w:eastAsia="宋体" w:cs="宋体"/>
          <w:color w:val="auto"/>
          <w:sz w:val="24"/>
          <w:szCs w:val="24"/>
          <w:highlight w:val="none"/>
        </w:rPr>
      </w:pPr>
    </w:p>
    <w:p w14:paraId="14F471A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各供应商:</w:t>
      </w:r>
    </w:p>
    <w:p w14:paraId="40EB71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欢迎贵公司参与</w:t>
      </w:r>
      <w:r>
        <w:rPr>
          <w:rFonts w:hint="eastAsia" w:ascii="宋体" w:hAnsi="宋体" w:eastAsia="宋体" w:cs="宋体"/>
          <w:color w:val="auto"/>
          <w:sz w:val="24"/>
          <w:szCs w:val="24"/>
          <w:highlight w:val="none"/>
          <w:lang w:eastAsia="zh-CN"/>
        </w:rPr>
        <w:t>驻马店市</w:t>
      </w:r>
      <w:r>
        <w:rPr>
          <w:rFonts w:hint="eastAsia" w:ascii="宋体" w:hAnsi="宋体" w:eastAsia="宋体" w:cs="宋体"/>
          <w:color w:val="auto"/>
          <w:sz w:val="24"/>
          <w:szCs w:val="24"/>
          <w:highlight w:val="none"/>
        </w:rPr>
        <w:t>政府采购活动!</w:t>
      </w:r>
    </w:p>
    <w:p w14:paraId="41F276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政府采购合同融资是河南省财政厅支持中小微企业发展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针对参与政府采购活动的供应商融资难、融资</w:t>
      </w:r>
      <w:r>
        <w:rPr>
          <w:rFonts w:hint="eastAsia" w:ascii="宋体" w:hAnsi="宋体" w:eastAsia="宋体" w:cs="宋体"/>
          <w:color w:val="auto"/>
          <w:sz w:val="24"/>
          <w:szCs w:val="24"/>
          <w:highlight w:val="none"/>
          <w:lang w:eastAsia="zh-CN"/>
        </w:rPr>
        <w:t>贵</w:t>
      </w:r>
      <w:r>
        <w:rPr>
          <w:rFonts w:hint="eastAsia" w:ascii="宋体" w:hAnsi="宋体" w:eastAsia="宋体" w:cs="宋体"/>
          <w:color w:val="auto"/>
          <w:sz w:val="24"/>
          <w:szCs w:val="24"/>
          <w:highlight w:val="none"/>
        </w:rPr>
        <w:t>问题推出的一项融资政策。</w:t>
      </w:r>
      <w:r>
        <w:rPr>
          <w:rFonts w:hint="eastAsia" w:ascii="宋体" w:hAnsi="宋体" w:eastAsia="宋体" w:cs="宋体"/>
          <w:color w:val="auto"/>
          <w:sz w:val="24"/>
          <w:szCs w:val="24"/>
          <w:highlight w:val="none"/>
          <w:lang w:eastAsia="zh-CN"/>
        </w:rPr>
        <w:t>贵</w:t>
      </w:r>
      <w:r>
        <w:rPr>
          <w:rFonts w:hint="eastAsia" w:ascii="宋体" w:hAnsi="宋体" w:eastAsia="宋体" w:cs="宋体"/>
          <w:color w:val="auto"/>
          <w:sz w:val="24"/>
          <w:szCs w:val="24"/>
          <w:highlight w:val="none"/>
        </w:rPr>
        <w:t>公司若成为本次政府采购项目的中标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成</w:t>
      </w:r>
      <w:r>
        <w:rPr>
          <w:rFonts w:hint="eastAsia" w:ascii="宋体" w:hAnsi="宋体" w:eastAsia="宋体" w:cs="宋体"/>
          <w:color w:val="auto"/>
          <w:sz w:val="24"/>
          <w:szCs w:val="24"/>
          <w:highlight w:val="none"/>
        </w:rPr>
        <w:t>交</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可持政府采购合同向金融机构申请贷款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无需抵押、担保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融资机构根据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关于印发深入推进政府采购合同融资工作实施方案的通知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驻财购〔2020〕32号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照</w:t>
      </w:r>
      <w:r>
        <w:rPr>
          <w:rFonts w:hint="eastAsia" w:ascii="宋体" w:hAnsi="宋体" w:eastAsia="宋体" w:cs="宋体"/>
          <w:color w:val="auto"/>
          <w:sz w:val="24"/>
          <w:szCs w:val="24"/>
          <w:highlight w:val="none"/>
        </w:rPr>
        <w:t>双方自愿的原则</w:t>
      </w:r>
      <w:r>
        <w:rPr>
          <w:rFonts w:hint="eastAsia" w:ascii="宋体" w:hAnsi="宋体" w:eastAsia="宋体" w:cs="宋体"/>
          <w:color w:val="auto"/>
          <w:sz w:val="24"/>
          <w:szCs w:val="24"/>
          <w:highlight w:val="none"/>
          <w:lang w:eastAsia="zh-CN"/>
        </w:rPr>
        <w:t>提</w:t>
      </w:r>
      <w:r>
        <w:rPr>
          <w:rFonts w:hint="eastAsia" w:ascii="宋体" w:hAnsi="宋体" w:eastAsia="宋体" w:cs="宋体"/>
          <w:color w:val="auto"/>
          <w:sz w:val="24"/>
          <w:szCs w:val="24"/>
          <w:highlight w:val="none"/>
        </w:rPr>
        <w:t>供便</w:t>
      </w:r>
      <w:r>
        <w:rPr>
          <w:rFonts w:hint="eastAsia" w:ascii="宋体" w:hAnsi="宋体" w:eastAsia="宋体" w:cs="宋体"/>
          <w:color w:val="auto"/>
          <w:sz w:val="24"/>
          <w:szCs w:val="24"/>
          <w:highlight w:val="none"/>
          <w:lang w:eastAsia="zh-CN"/>
        </w:rPr>
        <w:t>捷</w:t>
      </w:r>
      <w:r>
        <w:rPr>
          <w:rFonts w:hint="eastAsia" w:ascii="宋体" w:hAnsi="宋体" w:eastAsia="宋体" w:cs="宋体"/>
          <w:color w:val="auto"/>
          <w:sz w:val="24"/>
          <w:szCs w:val="24"/>
          <w:highlight w:val="none"/>
        </w:rPr>
        <w:t>、优</w:t>
      </w:r>
      <w:r>
        <w:rPr>
          <w:rFonts w:hint="eastAsia" w:ascii="宋体" w:hAnsi="宋体" w:eastAsia="宋体" w:cs="宋体"/>
          <w:color w:val="auto"/>
          <w:sz w:val="24"/>
          <w:szCs w:val="24"/>
          <w:highlight w:val="none"/>
          <w:lang w:eastAsia="zh-CN"/>
        </w:rPr>
        <w:t>惠</w:t>
      </w:r>
      <w:r>
        <w:rPr>
          <w:rFonts w:hint="eastAsia" w:ascii="宋体" w:hAnsi="宋体" w:eastAsia="宋体" w:cs="宋体"/>
          <w:color w:val="auto"/>
          <w:sz w:val="24"/>
          <w:szCs w:val="24"/>
          <w:highlight w:val="none"/>
        </w:rPr>
        <w:t>的贷款服务。</w:t>
      </w:r>
    </w:p>
    <w:p w14:paraId="508AC55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贷款渠道和提供贷款的金融机构</w:t>
      </w:r>
      <w:r>
        <w:rPr>
          <w:rFonts w:hint="eastAsia" w:ascii="宋体" w:hAnsi="宋体" w:eastAsia="宋体" w:cs="宋体"/>
          <w:color w:val="auto"/>
          <w:sz w:val="24"/>
          <w:szCs w:val="24"/>
          <w:highlight w:val="none"/>
          <w:lang w:eastAsia="zh-CN"/>
        </w:rPr>
        <w:t>如下：</w:t>
      </w:r>
    </w:p>
    <w:p w14:paraId="4BE6D3A1">
      <w:pPr>
        <w:widowControl/>
        <w:snapToGrid w:val="0"/>
        <w:spacing w:line="460" w:lineRule="exact"/>
        <w:jc w:val="center"/>
        <w:rPr>
          <w:rFonts w:hint="eastAsia" w:ascii="宋体" w:hAnsi="宋体" w:eastAsia="宋体" w:cs="宋体"/>
          <w:b/>
          <w:color w:val="auto"/>
          <w:kern w:val="0"/>
          <w:sz w:val="36"/>
          <w:szCs w:val="36"/>
          <w:highlight w:val="none"/>
        </w:rPr>
      </w:pPr>
    </w:p>
    <w:p w14:paraId="17478AE4">
      <w:pPr>
        <w:widowControl/>
        <w:snapToGrid w:val="0"/>
        <w:spacing w:line="46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驻马店市政府采购合同融资金融机构联系方式</w:t>
      </w:r>
    </w:p>
    <w:p w14:paraId="5D7D3A6E">
      <w:pPr>
        <w:widowControl/>
        <w:wordWrap w:val="0"/>
        <w:snapToGrid w:val="0"/>
        <w:spacing w:line="460" w:lineRule="exact"/>
        <w:rPr>
          <w:rFonts w:hint="eastAsia" w:ascii="宋体" w:hAnsi="宋体" w:eastAsia="宋体" w:cs="宋体"/>
          <w:b/>
          <w:color w:val="auto"/>
          <w:kern w:val="0"/>
          <w:sz w:val="24"/>
          <w:highlight w:val="none"/>
        </w:rPr>
      </w:pPr>
    </w:p>
    <w:p w14:paraId="73B87A8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1、上海浦东发展银行信阳分行</w:t>
      </w:r>
    </w:p>
    <w:p w14:paraId="4D2D90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联系人：曾涛  18203766999  </w:t>
      </w:r>
    </w:p>
    <w:p w14:paraId="268311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地址：信阳市羊山新区新六大街北段九阳大厦一号楼</w:t>
      </w:r>
    </w:p>
    <w:p w14:paraId="6FB085E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2、中原银行驻马店分行公司业务七部</w:t>
      </w:r>
    </w:p>
    <w:p w14:paraId="0D1346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联系人：王磊</w:t>
      </w:r>
    </w:p>
    <w:p w14:paraId="06BAC6F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联系电话：13783327708</w:t>
      </w:r>
    </w:p>
    <w:p w14:paraId="48320D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地址：驻马店市驿城区文明路168号（天龙大酒店对面）</w:t>
      </w:r>
    </w:p>
    <w:p w14:paraId="151AF0F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郑州银行驻马店分行 </w:t>
      </w:r>
    </w:p>
    <w:p w14:paraId="45871E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联系人：禹阳</w:t>
      </w:r>
    </w:p>
    <w:p w14:paraId="6E7DB58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联系电话：15103825000</w:t>
      </w:r>
    </w:p>
    <w:p w14:paraId="12416E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地址：河南省驻马店市置地大道与天中山大道交叉口西南角</w:t>
      </w:r>
    </w:p>
    <w:p w14:paraId="05CA4A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4、驻马店农村商业银行股份有限公司</w:t>
      </w:r>
    </w:p>
    <w:p w14:paraId="16A15CE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联系人：鄢川源  15136590288   3699502</w:t>
      </w:r>
    </w:p>
    <w:p w14:paraId="0B5AA6D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周莉娟  15290172878  3618869</w:t>
      </w:r>
    </w:p>
    <w:p w14:paraId="1245DB0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地址：驻马店市驿城区文化路360号</w:t>
      </w:r>
    </w:p>
    <w:p w14:paraId="09DEF6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5、中国银行股份有限公司驻马店分行营业部</w:t>
      </w:r>
    </w:p>
    <w:p w14:paraId="7B2EC01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联系人：罗浩 手机号15239620736</w:t>
      </w:r>
    </w:p>
    <w:p w14:paraId="2B2CAB6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刘杰 手机号16639631991</w:t>
      </w:r>
    </w:p>
    <w:p w14:paraId="269E409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地址：驻马店市文明路188号</w:t>
      </w:r>
    </w:p>
    <w:p w14:paraId="0AFBB4E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6、中信银行股份有限公司郑州东明路支行</w:t>
      </w:r>
    </w:p>
    <w:p w14:paraId="01AA7B8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联系人：李阿萃  18638139933</w:t>
      </w:r>
    </w:p>
    <w:p w14:paraId="4F12CB3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地址：郑州市东明路与东风路交叉口</w:t>
      </w:r>
    </w:p>
    <w:p w14:paraId="79C0D73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7、中国建设银行股份有限公司驻马店分行</w:t>
      </w:r>
    </w:p>
    <w:p w14:paraId="5A9FEF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联系人：崔颖13303968688 </w:t>
      </w:r>
    </w:p>
    <w:p w14:paraId="666C91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地址：驻马店市交通路998号</w:t>
      </w:r>
    </w:p>
    <w:p w14:paraId="320AD7E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8、洛阳银行股份有限公司驻马店分行</w:t>
      </w:r>
    </w:p>
    <w:p w14:paraId="55F79B5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联系人：马晨旭  13526371627</w:t>
      </w:r>
    </w:p>
    <w:p w14:paraId="32C415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地址：驿城区文明大道与天中山大道交汇处汇金大厦</w:t>
      </w:r>
    </w:p>
    <w:p w14:paraId="5812A2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9、中国邮政储蓄银行股份有限公司驻马店市分行</w:t>
      </w:r>
    </w:p>
    <w:p w14:paraId="2A5E27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联系人：胥永伟13526391116</w:t>
      </w:r>
    </w:p>
    <w:p w14:paraId="17AFB40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地址：驻马店市解放大道与文明大道交叉口</w:t>
      </w:r>
    </w:p>
    <w:p w14:paraId="0152CC0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10、兴业银行股份有限公司驻马店分行</w:t>
      </w:r>
    </w:p>
    <w:p w14:paraId="44E7084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联系人：张辰羽  15236302066</w:t>
      </w:r>
    </w:p>
    <w:p w14:paraId="3BC432F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地址：驿城区骏马路与开源大道交叉口</w:t>
      </w:r>
    </w:p>
    <w:p w14:paraId="7006EA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11、中国农业银行股份有限公司驻马店分行</w:t>
      </w:r>
    </w:p>
    <w:p w14:paraId="0490D1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联系人：赵晨光13939637700</w:t>
      </w:r>
    </w:p>
    <w:p w14:paraId="09ED0F0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地址：驻马店市解放大道西段599号</w:t>
      </w:r>
    </w:p>
    <w:p w14:paraId="7DFC651E">
      <w:pPr>
        <w:rPr>
          <w:rFonts w:hint="eastAsia" w:ascii="宋体" w:hAnsi="宋体" w:eastAsia="宋体" w:cs="宋体"/>
          <w:color w:val="auto"/>
          <w:sz w:val="30"/>
          <w:szCs w:val="30"/>
          <w:highlight w:val="none"/>
          <w:lang w:eastAsia="zh-CN"/>
        </w:rPr>
      </w:pPr>
    </w:p>
    <w:p w14:paraId="3778FF20">
      <w:pPr>
        <w:rPr>
          <w:rFonts w:hint="eastAsia" w:ascii="宋体" w:hAnsi="宋体" w:eastAsia="宋体" w:cs="宋体"/>
          <w:color w:val="auto"/>
          <w:highlight w:val="none"/>
        </w:rPr>
      </w:pPr>
    </w:p>
    <w:p w14:paraId="29ABA17B">
      <w:pPr>
        <w:spacing w:line="360" w:lineRule="auto"/>
        <w:rPr>
          <w:rFonts w:hint="eastAsia" w:ascii="宋体" w:hAnsi="宋体" w:eastAsia="宋体" w:cs="宋体"/>
          <w:sz w:val="24"/>
          <w:szCs w:val="32"/>
          <w:highlight w:val="none"/>
        </w:rPr>
      </w:pPr>
    </w:p>
    <w:sectPr>
      <w:footerReference r:id="rId11" w:type="first"/>
      <w:headerReference r:id="rId8" w:type="default"/>
      <w:footerReference r:id="rId9" w:type="default"/>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B7CBC">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7BF9D">
    <w:pPr>
      <w:pStyle w:val="12"/>
      <w:framePr w:wrap="around" w:vAnchor="text" w:hAnchor="margin" w:xAlign="right" w:y="1"/>
      <w:rPr>
        <w:rStyle w:val="23"/>
      </w:rPr>
    </w:pPr>
    <w:r>
      <w:fldChar w:fldCharType="begin"/>
    </w:r>
    <w:r>
      <w:rPr>
        <w:rStyle w:val="23"/>
      </w:rPr>
      <w:instrText xml:space="preserve">PAGE  </w:instrText>
    </w:r>
    <w:r>
      <w:fldChar w:fldCharType="end"/>
    </w:r>
  </w:p>
  <w:p w14:paraId="08042C4E">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E3708">
    <w:pPr>
      <w:pStyle w:val="12"/>
      <w:tabs>
        <w:tab w:val="center" w:pos="4510"/>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C4AF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FC4AF9">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55667">
    <w:pPr>
      <w:pStyle w:val="12"/>
      <w:tabs>
        <w:tab w:val="center" w:pos="4510"/>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AF398">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3AF398">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ECBD8">
    <w:pPr>
      <w:pStyle w:val="12"/>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D774E">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32D774E">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C3FA4">
    <w:pPr>
      <w:pStyle w:val="12"/>
      <w:framePr w:wrap="around" w:vAnchor="text" w:hAnchor="margin" w:xAlign="right" w:y="1"/>
      <w:rPr>
        <w:rStyle w:val="23"/>
      </w:rPr>
    </w:pPr>
    <w:r>
      <w:fldChar w:fldCharType="begin"/>
    </w:r>
    <w:r>
      <w:rPr>
        <w:rStyle w:val="23"/>
      </w:rPr>
      <w:instrText xml:space="preserve">PAGE  </w:instrText>
    </w:r>
    <w:r>
      <w:fldChar w:fldCharType="end"/>
    </w:r>
  </w:p>
  <w:p w14:paraId="574B010F">
    <w:pPr>
      <w:pStyle w:val="1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8A28F">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1ABF2">
                          <w:pPr>
                            <w:pStyle w:val="1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131ABF2">
                    <w:pPr>
                      <w:pStyle w:val="1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28594">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5D74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35791"/>
    <w:multiLevelType w:val="singleLevel"/>
    <w:tmpl w:val="82135791"/>
    <w:lvl w:ilvl="0" w:tentative="0">
      <w:start w:val="1"/>
      <w:numFmt w:val="chineseCounting"/>
      <w:suff w:val="space"/>
      <w:lvlText w:val="第%1章"/>
      <w:lvlJc w:val="left"/>
      <w:pPr>
        <w:ind w:left="560" w:leftChars="0" w:firstLine="0" w:firstLineChars="0"/>
      </w:pPr>
      <w:rPr>
        <w:rFonts w:hint="eastAsia"/>
      </w:rPr>
    </w:lvl>
  </w:abstractNum>
  <w:abstractNum w:abstractNumId="1">
    <w:nsid w:val="B95DA6F7"/>
    <w:multiLevelType w:val="multilevel"/>
    <w:tmpl w:val="B95DA6F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MmJmMjAzM2UwNGM5YmE2MmM2ODdkYmMwNDgyZjUifQ=="/>
  </w:docVars>
  <w:rsids>
    <w:rsidRoot w:val="104777F4"/>
    <w:rsid w:val="00135135"/>
    <w:rsid w:val="001B4EF9"/>
    <w:rsid w:val="0022181C"/>
    <w:rsid w:val="002D36F4"/>
    <w:rsid w:val="00360E24"/>
    <w:rsid w:val="00515C5E"/>
    <w:rsid w:val="0055574E"/>
    <w:rsid w:val="00586FEC"/>
    <w:rsid w:val="00661709"/>
    <w:rsid w:val="00675481"/>
    <w:rsid w:val="006D0CE9"/>
    <w:rsid w:val="008B5614"/>
    <w:rsid w:val="008E0C60"/>
    <w:rsid w:val="00920750"/>
    <w:rsid w:val="00975D66"/>
    <w:rsid w:val="009A5857"/>
    <w:rsid w:val="009B576B"/>
    <w:rsid w:val="00AF1302"/>
    <w:rsid w:val="00B00BD6"/>
    <w:rsid w:val="00B22BA0"/>
    <w:rsid w:val="00B43FFC"/>
    <w:rsid w:val="00C11035"/>
    <w:rsid w:val="00C30909"/>
    <w:rsid w:val="00D9012D"/>
    <w:rsid w:val="00E371FE"/>
    <w:rsid w:val="010333FC"/>
    <w:rsid w:val="01207B0A"/>
    <w:rsid w:val="01211AD4"/>
    <w:rsid w:val="01241220"/>
    <w:rsid w:val="012515C4"/>
    <w:rsid w:val="01255120"/>
    <w:rsid w:val="01265465"/>
    <w:rsid w:val="01323CE1"/>
    <w:rsid w:val="01383245"/>
    <w:rsid w:val="01511074"/>
    <w:rsid w:val="01610122"/>
    <w:rsid w:val="01687121"/>
    <w:rsid w:val="016A347B"/>
    <w:rsid w:val="017240DE"/>
    <w:rsid w:val="0192652E"/>
    <w:rsid w:val="01944054"/>
    <w:rsid w:val="019978BC"/>
    <w:rsid w:val="01A06E9D"/>
    <w:rsid w:val="01C26E13"/>
    <w:rsid w:val="01CA5CC8"/>
    <w:rsid w:val="01CD7566"/>
    <w:rsid w:val="01D17056"/>
    <w:rsid w:val="01DB7ED5"/>
    <w:rsid w:val="01E4322D"/>
    <w:rsid w:val="01EA0118"/>
    <w:rsid w:val="01EC3E90"/>
    <w:rsid w:val="01ED2636"/>
    <w:rsid w:val="02021905"/>
    <w:rsid w:val="02054F52"/>
    <w:rsid w:val="02086349"/>
    <w:rsid w:val="020F43D4"/>
    <w:rsid w:val="020F7B7E"/>
    <w:rsid w:val="0213766F"/>
    <w:rsid w:val="02141BD0"/>
    <w:rsid w:val="021A7A03"/>
    <w:rsid w:val="022964E8"/>
    <w:rsid w:val="02300221"/>
    <w:rsid w:val="02313F99"/>
    <w:rsid w:val="024261A6"/>
    <w:rsid w:val="02443CCC"/>
    <w:rsid w:val="02497534"/>
    <w:rsid w:val="025C7268"/>
    <w:rsid w:val="02663C42"/>
    <w:rsid w:val="02786611"/>
    <w:rsid w:val="027A76EE"/>
    <w:rsid w:val="028642E4"/>
    <w:rsid w:val="028C11CF"/>
    <w:rsid w:val="02902A6D"/>
    <w:rsid w:val="029167E5"/>
    <w:rsid w:val="02B250DA"/>
    <w:rsid w:val="02B26E88"/>
    <w:rsid w:val="02B87C8B"/>
    <w:rsid w:val="02BF15A4"/>
    <w:rsid w:val="02C750FA"/>
    <w:rsid w:val="02C941D1"/>
    <w:rsid w:val="02D2752A"/>
    <w:rsid w:val="02F254D6"/>
    <w:rsid w:val="02F474A0"/>
    <w:rsid w:val="02F96864"/>
    <w:rsid w:val="030862B4"/>
    <w:rsid w:val="031E451D"/>
    <w:rsid w:val="0321400D"/>
    <w:rsid w:val="03230247"/>
    <w:rsid w:val="032D4760"/>
    <w:rsid w:val="033623D4"/>
    <w:rsid w:val="033E071B"/>
    <w:rsid w:val="03433F84"/>
    <w:rsid w:val="034A70C0"/>
    <w:rsid w:val="034F2928"/>
    <w:rsid w:val="035B751F"/>
    <w:rsid w:val="0370464D"/>
    <w:rsid w:val="0374413D"/>
    <w:rsid w:val="037800D1"/>
    <w:rsid w:val="0394658D"/>
    <w:rsid w:val="0397607D"/>
    <w:rsid w:val="03977E2B"/>
    <w:rsid w:val="03A84755"/>
    <w:rsid w:val="03A965F3"/>
    <w:rsid w:val="03B5127D"/>
    <w:rsid w:val="03CA0201"/>
    <w:rsid w:val="03D64DF8"/>
    <w:rsid w:val="03DA48E8"/>
    <w:rsid w:val="03DF1EFE"/>
    <w:rsid w:val="03E2379C"/>
    <w:rsid w:val="03EA08A3"/>
    <w:rsid w:val="03FB1865"/>
    <w:rsid w:val="04002E46"/>
    <w:rsid w:val="04074FB1"/>
    <w:rsid w:val="040A684F"/>
    <w:rsid w:val="040E27E3"/>
    <w:rsid w:val="041A2F36"/>
    <w:rsid w:val="04267B2D"/>
    <w:rsid w:val="04275653"/>
    <w:rsid w:val="042B5143"/>
    <w:rsid w:val="042C570F"/>
    <w:rsid w:val="0431393C"/>
    <w:rsid w:val="04415CCB"/>
    <w:rsid w:val="04654C84"/>
    <w:rsid w:val="04702B56"/>
    <w:rsid w:val="04785EAF"/>
    <w:rsid w:val="047A1C27"/>
    <w:rsid w:val="048B7990"/>
    <w:rsid w:val="048E122E"/>
    <w:rsid w:val="049031F8"/>
    <w:rsid w:val="049C7DEF"/>
    <w:rsid w:val="049D76C3"/>
    <w:rsid w:val="049F168E"/>
    <w:rsid w:val="04A9250C"/>
    <w:rsid w:val="04B70785"/>
    <w:rsid w:val="04BD38C2"/>
    <w:rsid w:val="04C42EA2"/>
    <w:rsid w:val="04C9566C"/>
    <w:rsid w:val="04CE1F73"/>
    <w:rsid w:val="04D74983"/>
    <w:rsid w:val="04D806FC"/>
    <w:rsid w:val="04DA4474"/>
    <w:rsid w:val="04DB00C6"/>
    <w:rsid w:val="04E452F2"/>
    <w:rsid w:val="04FA68C4"/>
    <w:rsid w:val="050140F6"/>
    <w:rsid w:val="050B0AD1"/>
    <w:rsid w:val="050C248D"/>
    <w:rsid w:val="050D119B"/>
    <w:rsid w:val="050D65F7"/>
    <w:rsid w:val="05121E5F"/>
    <w:rsid w:val="05151950"/>
    <w:rsid w:val="051D3BF0"/>
    <w:rsid w:val="05257DE5"/>
    <w:rsid w:val="05322502"/>
    <w:rsid w:val="0539563E"/>
    <w:rsid w:val="053973EC"/>
    <w:rsid w:val="05404C1F"/>
    <w:rsid w:val="05410997"/>
    <w:rsid w:val="05432019"/>
    <w:rsid w:val="05483AD3"/>
    <w:rsid w:val="055C132D"/>
    <w:rsid w:val="05600E1D"/>
    <w:rsid w:val="056106F1"/>
    <w:rsid w:val="05616943"/>
    <w:rsid w:val="056921F6"/>
    <w:rsid w:val="056C5A14"/>
    <w:rsid w:val="056D7096"/>
    <w:rsid w:val="05791EDF"/>
    <w:rsid w:val="057B7A05"/>
    <w:rsid w:val="05816FE5"/>
    <w:rsid w:val="05926AFC"/>
    <w:rsid w:val="05972365"/>
    <w:rsid w:val="05BC001D"/>
    <w:rsid w:val="05BD626F"/>
    <w:rsid w:val="05C76F15"/>
    <w:rsid w:val="05D435B9"/>
    <w:rsid w:val="05D45367"/>
    <w:rsid w:val="05DE1D42"/>
    <w:rsid w:val="05E11832"/>
    <w:rsid w:val="05EE467B"/>
    <w:rsid w:val="05EF724D"/>
    <w:rsid w:val="05F45A09"/>
    <w:rsid w:val="05F652DD"/>
    <w:rsid w:val="0616597F"/>
    <w:rsid w:val="062736E9"/>
    <w:rsid w:val="062956B3"/>
    <w:rsid w:val="06316315"/>
    <w:rsid w:val="063E0A32"/>
    <w:rsid w:val="06475B39"/>
    <w:rsid w:val="064A387B"/>
    <w:rsid w:val="064F2C3F"/>
    <w:rsid w:val="065169B7"/>
    <w:rsid w:val="065D3220"/>
    <w:rsid w:val="066761DB"/>
    <w:rsid w:val="06680012"/>
    <w:rsid w:val="066C559F"/>
    <w:rsid w:val="066F6E3E"/>
    <w:rsid w:val="067A7CBC"/>
    <w:rsid w:val="06840B3B"/>
    <w:rsid w:val="06874187"/>
    <w:rsid w:val="06936FD0"/>
    <w:rsid w:val="06975025"/>
    <w:rsid w:val="069D7E4F"/>
    <w:rsid w:val="06A74829"/>
    <w:rsid w:val="06B01930"/>
    <w:rsid w:val="06BF1B73"/>
    <w:rsid w:val="06C22A9C"/>
    <w:rsid w:val="06DE7DE1"/>
    <w:rsid w:val="06F572FD"/>
    <w:rsid w:val="070D0B30"/>
    <w:rsid w:val="071579E5"/>
    <w:rsid w:val="071C5217"/>
    <w:rsid w:val="071F0864"/>
    <w:rsid w:val="07287718"/>
    <w:rsid w:val="072A7934"/>
    <w:rsid w:val="072C351D"/>
    <w:rsid w:val="072E6CF9"/>
    <w:rsid w:val="074F739B"/>
    <w:rsid w:val="075E313A"/>
    <w:rsid w:val="075F5104"/>
    <w:rsid w:val="076646E5"/>
    <w:rsid w:val="0768045D"/>
    <w:rsid w:val="076D7821"/>
    <w:rsid w:val="078057A6"/>
    <w:rsid w:val="07866B35"/>
    <w:rsid w:val="078D7EC3"/>
    <w:rsid w:val="078E1545"/>
    <w:rsid w:val="078F59E9"/>
    <w:rsid w:val="07927288"/>
    <w:rsid w:val="07943000"/>
    <w:rsid w:val="07A71F24"/>
    <w:rsid w:val="07AC1104"/>
    <w:rsid w:val="07B436A2"/>
    <w:rsid w:val="07D16002"/>
    <w:rsid w:val="07D4164E"/>
    <w:rsid w:val="07D63618"/>
    <w:rsid w:val="07E13D6B"/>
    <w:rsid w:val="07EA0E72"/>
    <w:rsid w:val="07EB4AF4"/>
    <w:rsid w:val="07ED02E2"/>
    <w:rsid w:val="07FB307F"/>
    <w:rsid w:val="07FF5AB7"/>
    <w:rsid w:val="080A371B"/>
    <w:rsid w:val="08114650"/>
    <w:rsid w:val="081B102B"/>
    <w:rsid w:val="082F2D28"/>
    <w:rsid w:val="08321F06"/>
    <w:rsid w:val="083B347B"/>
    <w:rsid w:val="085409E1"/>
    <w:rsid w:val="08563740"/>
    <w:rsid w:val="085D7896"/>
    <w:rsid w:val="0865499C"/>
    <w:rsid w:val="086724C2"/>
    <w:rsid w:val="0869448C"/>
    <w:rsid w:val="086A071E"/>
    <w:rsid w:val="086C5D2B"/>
    <w:rsid w:val="08710AAD"/>
    <w:rsid w:val="088E7A4F"/>
    <w:rsid w:val="088F37C7"/>
    <w:rsid w:val="089B03BE"/>
    <w:rsid w:val="089F0C9C"/>
    <w:rsid w:val="08AF79C5"/>
    <w:rsid w:val="08B03E69"/>
    <w:rsid w:val="08BA6A96"/>
    <w:rsid w:val="08BD3776"/>
    <w:rsid w:val="08CE2541"/>
    <w:rsid w:val="08D13667"/>
    <w:rsid w:val="08F7062D"/>
    <w:rsid w:val="09067F2D"/>
    <w:rsid w:val="091361A6"/>
    <w:rsid w:val="091A7535"/>
    <w:rsid w:val="09220852"/>
    <w:rsid w:val="0922463B"/>
    <w:rsid w:val="093F0D49"/>
    <w:rsid w:val="094840A2"/>
    <w:rsid w:val="094E014B"/>
    <w:rsid w:val="09630EDC"/>
    <w:rsid w:val="09776735"/>
    <w:rsid w:val="097862A6"/>
    <w:rsid w:val="0983157E"/>
    <w:rsid w:val="098350DA"/>
    <w:rsid w:val="09842C00"/>
    <w:rsid w:val="09970B85"/>
    <w:rsid w:val="099F5C8C"/>
    <w:rsid w:val="09A432A2"/>
    <w:rsid w:val="09A54770"/>
    <w:rsid w:val="09B72FD5"/>
    <w:rsid w:val="09BD63C9"/>
    <w:rsid w:val="09C3197A"/>
    <w:rsid w:val="09C474A0"/>
    <w:rsid w:val="09C851E3"/>
    <w:rsid w:val="09CF47C3"/>
    <w:rsid w:val="09D122E9"/>
    <w:rsid w:val="09D27E0F"/>
    <w:rsid w:val="09DC47EA"/>
    <w:rsid w:val="09DE67B4"/>
    <w:rsid w:val="09EB65C7"/>
    <w:rsid w:val="0A051F93"/>
    <w:rsid w:val="0A052C15"/>
    <w:rsid w:val="0A0E2DF1"/>
    <w:rsid w:val="0A1729B9"/>
    <w:rsid w:val="0A1C108A"/>
    <w:rsid w:val="0A2B2EE4"/>
    <w:rsid w:val="0A2F5262"/>
    <w:rsid w:val="0A312D88"/>
    <w:rsid w:val="0A374116"/>
    <w:rsid w:val="0A3D4581"/>
    <w:rsid w:val="0A56459C"/>
    <w:rsid w:val="0A586566"/>
    <w:rsid w:val="0A617A81"/>
    <w:rsid w:val="0A64315D"/>
    <w:rsid w:val="0A6C0C3C"/>
    <w:rsid w:val="0A717628"/>
    <w:rsid w:val="0A7D421F"/>
    <w:rsid w:val="0A7F7B6A"/>
    <w:rsid w:val="0A801619"/>
    <w:rsid w:val="0A8530D4"/>
    <w:rsid w:val="0A892BC4"/>
    <w:rsid w:val="0A972FB3"/>
    <w:rsid w:val="0A9D666F"/>
    <w:rsid w:val="0A9E7CF1"/>
    <w:rsid w:val="0AA03A6A"/>
    <w:rsid w:val="0AA3355A"/>
    <w:rsid w:val="0AB65C32"/>
    <w:rsid w:val="0AC05EBA"/>
    <w:rsid w:val="0AC534D0"/>
    <w:rsid w:val="0ACF19B1"/>
    <w:rsid w:val="0AD57C8A"/>
    <w:rsid w:val="0ADA51CD"/>
    <w:rsid w:val="0ADB0F46"/>
    <w:rsid w:val="0AE93662"/>
    <w:rsid w:val="0AF838A6"/>
    <w:rsid w:val="0AFD0EBC"/>
    <w:rsid w:val="0B065FC2"/>
    <w:rsid w:val="0B12482A"/>
    <w:rsid w:val="0B156206"/>
    <w:rsid w:val="0B1854F4"/>
    <w:rsid w:val="0B266665"/>
    <w:rsid w:val="0B27418B"/>
    <w:rsid w:val="0B30303F"/>
    <w:rsid w:val="0B36617C"/>
    <w:rsid w:val="0B462863"/>
    <w:rsid w:val="0B5E0CB2"/>
    <w:rsid w:val="0B610413"/>
    <w:rsid w:val="0B626F71"/>
    <w:rsid w:val="0B633415"/>
    <w:rsid w:val="0B7050C1"/>
    <w:rsid w:val="0B756CA4"/>
    <w:rsid w:val="0B7D1FFD"/>
    <w:rsid w:val="0B9335CE"/>
    <w:rsid w:val="0B9C06D5"/>
    <w:rsid w:val="0B9C2A75"/>
    <w:rsid w:val="0B9F1F73"/>
    <w:rsid w:val="0BA15CEB"/>
    <w:rsid w:val="0BAD28E2"/>
    <w:rsid w:val="0BAE737B"/>
    <w:rsid w:val="0BCB0FBA"/>
    <w:rsid w:val="0BCB4B16"/>
    <w:rsid w:val="0BCE4606"/>
    <w:rsid w:val="0BCF2858"/>
    <w:rsid w:val="0BED1A81"/>
    <w:rsid w:val="0BF16C73"/>
    <w:rsid w:val="0BF422BF"/>
    <w:rsid w:val="0C060244"/>
    <w:rsid w:val="0C08382B"/>
    <w:rsid w:val="0C0D4C1D"/>
    <w:rsid w:val="0C142961"/>
    <w:rsid w:val="0C1E733C"/>
    <w:rsid w:val="0C201306"/>
    <w:rsid w:val="0C281F69"/>
    <w:rsid w:val="0C2A3F33"/>
    <w:rsid w:val="0C2F779B"/>
    <w:rsid w:val="0C30706F"/>
    <w:rsid w:val="0C41302A"/>
    <w:rsid w:val="0C436DA2"/>
    <w:rsid w:val="0C476893"/>
    <w:rsid w:val="0C627450"/>
    <w:rsid w:val="0C7358DA"/>
    <w:rsid w:val="0C7451AE"/>
    <w:rsid w:val="0C796C68"/>
    <w:rsid w:val="0C917B0E"/>
    <w:rsid w:val="0CAA7501"/>
    <w:rsid w:val="0CB16402"/>
    <w:rsid w:val="0CE20369"/>
    <w:rsid w:val="0CED0117"/>
    <w:rsid w:val="0CEF0CD8"/>
    <w:rsid w:val="0D044784"/>
    <w:rsid w:val="0D0A78C0"/>
    <w:rsid w:val="0D183D8B"/>
    <w:rsid w:val="0D1D5845"/>
    <w:rsid w:val="0D2C3CDA"/>
    <w:rsid w:val="0D2C7836"/>
    <w:rsid w:val="0D330BC5"/>
    <w:rsid w:val="0D3B3F1D"/>
    <w:rsid w:val="0D473781"/>
    <w:rsid w:val="0D4E1EA3"/>
    <w:rsid w:val="0D645222"/>
    <w:rsid w:val="0D685CB4"/>
    <w:rsid w:val="0D6E7E4F"/>
    <w:rsid w:val="0D7D4536"/>
    <w:rsid w:val="0D8155CF"/>
    <w:rsid w:val="0D8633EB"/>
    <w:rsid w:val="0D864317"/>
    <w:rsid w:val="0D8A0494"/>
    <w:rsid w:val="0D8B27AF"/>
    <w:rsid w:val="0D8F0C3C"/>
    <w:rsid w:val="0D9E6986"/>
    <w:rsid w:val="0DA52D0D"/>
    <w:rsid w:val="0DA9532B"/>
    <w:rsid w:val="0DBF06AB"/>
    <w:rsid w:val="0DD248FB"/>
    <w:rsid w:val="0DD95C10"/>
    <w:rsid w:val="0DDC125D"/>
    <w:rsid w:val="0DDD6D83"/>
    <w:rsid w:val="0DE327FC"/>
    <w:rsid w:val="0DEE2D3E"/>
    <w:rsid w:val="0DF20642"/>
    <w:rsid w:val="0DFE7425"/>
    <w:rsid w:val="0E010CC3"/>
    <w:rsid w:val="0E176739"/>
    <w:rsid w:val="0E19425F"/>
    <w:rsid w:val="0E1E7AC7"/>
    <w:rsid w:val="0E211365"/>
    <w:rsid w:val="0E2603CF"/>
    <w:rsid w:val="0E2A1FC8"/>
    <w:rsid w:val="0E3015A8"/>
    <w:rsid w:val="0E325320"/>
    <w:rsid w:val="0E43752E"/>
    <w:rsid w:val="0E4532A6"/>
    <w:rsid w:val="0E4D3C1E"/>
    <w:rsid w:val="0E4D5CB6"/>
    <w:rsid w:val="0E5139F9"/>
    <w:rsid w:val="0E547045"/>
    <w:rsid w:val="0E5E1C72"/>
    <w:rsid w:val="0E686F94"/>
    <w:rsid w:val="0E797A16"/>
    <w:rsid w:val="0E835B7C"/>
    <w:rsid w:val="0E8813E4"/>
    <w:rsid w:val="0E8A6F0A"/>
    <w:rsid w:val="0E8D2557"/>
    <w:rsid w:val="0E950463"/>
    <w:rsid w:val="0EA855E3"/>
    <w:rsid w:val="0EAE0E4B"/>
    <w:rsid w:val="0EB775D4"/>
    <w:rsid w:val="0EBC4BEA"/>
    <w:rsid w:val="0EC56195"/>
    <w:rsid w:val="0ED85EC8"/>
    <w:rsid w:val="0EDD528C"/>
    <w:rsid w:val="0EE20AF5"/>
    <w:rsid w:val="0EFB5712"/>
    <w:rsid w:val="0EFE5203"/>
    <w:rsid w:val="0F026AA1"/>
    <w:rsid w:val="0F114F36"/>
    <w:rsid w:val="0F13647C"/>
    <w:rsid w:val="0F172FDC"/>
    <w:rsid w:val="0F1862C4"/>
    <w:rsid w:val="0F190E46"/>
    <w:rsid w:val="0F1B5DB5"/>
    <w:rsid w:val="0F256BD1"/>
    <w:rsid w:val="0F2E3D3A"/>
    <w:rsid w:val="0F4C41C0"/>
    <w:rsid w:val="0F4E10F7"/>
    <w:rsid w:val="0F672DA8"/>
    <w:rsid w:val="0F930041"/>
    <w:rsid w:val="0F9E52D1"/>
    <w:rsid w:val="0FA037C2"/>
    <w:rsid w:val="0FA61B22"/>
    <w:rsid w:val="0FAB538A"/>
    <w:rsid w:val="0FB32491"/>
    <w:rsid w:val="0FB56209"/>
    <w:rsid w:val="0FE0778F"/>
    <w:rsid w:val="0FF64E8F"/>
    <w:rsid w:val="10125409"/>
    <w:rsid w:val="102A2753"/>
    <w:rsid w:val="10352EA6"/>
    <w:rsid w:val="103A226A"/>
    <w:rsid w:val="10417A9D"/>
    <w:rsid w:val="104777F4"/>
    <w:rsid w:val="104F3F68"/>
    <w:rsid w:val="105E23FD"/>
    <w:rsid w:val="10685029"/>
    <w:rsid w:val="106C23E7"/>
    <w:rsid w:val="106E22E2"/>
    <w:rsid w:val="10702130"/>
    <w:rsid w:val="108D506C"/>
    <w:rsid w:val="109154F4"/>
    <w:rsid w:val="10947BCD"/>
    <w:rsid w:val="10993435"/>
    <w:rsid w:val="10A558BC"/>
    <w:rsid w:val="10AC13BA"/>
    <w:rsid w:val="10B65D95"/>
    <w:rsid w:val="10C04E65"/>
    <w:rsid w:val="10C5422A"/>
    <w:rsid w:val="10CF50A9"/>
    <w:rsid w:val="10D4446D"/>
    <w:rsid w:val="10D64689"/>
    <w:rsid w:val="10D7633A"/>
    <w:rsid w:val="10ED4A8D"/>
    <w:rsid w:val="10F1501F"/>
    <w:rsid w:val="10F845FF"/>
    <w:rsid w:val="10FB0397"/>
    <w:rsid w:val="111D4066"/>
    <w:rsid w:val="112A0531"/>
    <w:rsid w:val="112E6273"/>
    <w:rsid w:val="112F3D99"/>
    <w:rsid w:val="113373E5"/>
    <w:rsid w:val="113E3F13"/>
    <w:rsid w:val="115B4DE3"/>
    <w:rsid w:val="115C2812"/>
    <w:rsid w:val="115C4B35"/>
    <w:rsid w:val="116021A5"/>
    <w:rsid w:val="11621A79"/>
    <w:rsid w:val="116752E1"/>
    <w:rsid w:val="117143B2"/>
    <w:rsid w:val="11902A8A"/>
    <w:rsid w:val="11904838"/>
    <w:rsid w:val="119A7465"/>
    <w:rsid w:val="119D6F55"/>
    <w:rsid w:val="11A007F3"/>
    <w:rsid w:val="11A46535"/>
    <w:rsid w:val="11A93B4C"/>
    <w:rsid w:val="11AC53EA"/>
    <w:rsid w:val="11B85B3D"/>
    <w:rsid w:val="11BF336F"/>
    <w:rsid w:val="11CC3396"/>
    <w:rsid w:val="11D010D8"/>
    <w:rsid w:val="11D72467"/>
    <w:rsid w:val="11D87F8D"/>
    <w:rsid w:val="11DC7A7D"/>
    <w:rsid w:val="11E44B84"/>
    <w:rsid w:val="11EB5F12"/>
    <w:rsid w:val="12094FE5"/>
    <w:rsid w:val="12241424"/>
    <w:rsid w:val="123F1DBA"/>
    <w:rsid w:val="12582E7C"/>
    <w:rsid w:val="12597320"/>
    <w:rsid w:val="127759F8"/>
    <w:rsid w:val="127A7296"/>
    <w:rsid w:val="12837EF9"/>
    <w:rsid w:val="12854231"/>
    <w:rsid w:val="12922C16"/>
    <w:rsid w:val="12AD31C8"/>
    <w:rsid w:val="12B66520"/>
    <w:rsid w:val="12BC78AF"/>
    <w:rsid w:val="12C86253"/>
    <w:rsid w:val="12CD1ABC"/>
    <w:rsid w:val="12D06EB6"/>
    <w:rsid w:val="12D270D2"/>
    <w:rsid w:val="12D469A6"/>
    <w:rsid w:val="12F9640D"/>
    <w:rsid w:val="12FB03D7"/>
    <w:rsid w:val="13082AF4"/>
    <w:rsid w:val="130848A2"/>
    <w:rsid w:val="1319260B"/>
    <w:rsid w:val="13255454"/>
    <w:rsid w:val="132E255A"/>
    <w:rsid w:val="133438E9"/>
    <w:rsid w:val="13345697"/>
    <w:rsid w:val="1336140F"/>
    <w:rsid w:val="133B07D3"/>
    <w:rsid w:val="13433B2C"/>
    <w:rsid w:val="13451652"/>
    <w:rsid w:val="13474641"/>
    <w:rsid w:val="13477178"/>
    <w:rsid w:val="13623FB2"/>
    <w:rsid w:val="136A2E67"/>
    <w:rsid w:val="136A730B"/>
    <w:rsid w:val="13767A5D"/>
    <w:rsid w:val="137F4B64"/>
    <w:rsid w:val="139B3968"/>
    <w:rsid w:val="13A4281C"/>
    <w:rsid w:val="13AE3CA0"/>
    <w:rsid w:val="13AF2F6F"/>
    <w:rsid w:val="13B14F39"/>
    <w:rsid w:val="13C22CA3"/>
    <w:rsid w:val="13C46A1B"/>
    <w:rsid w:val="13C94031"/>
    <w:rsid w:val="13CC1D73"/>
    <w:rsid w:val="13DD5D2E"/>
    <w:rsid w:val="13DD7ADC"/>
    <w:rsid w:val="13EB044B"/>
    <w:rsid w:val="13EE5AF7"/>
    <w:rsid w:val="13EE7B24"/>
    <w:rsid w:val="13F53078"/>
    <w:rsid w:val="13FB2F19"/>
    <w:rsid w:val="13FD1F2D"/>
    <w:rsid w:val="13FD3CDB"/>
    <w:rsid w:val="140E5EE8"/>
    <w:rsid w:val="14131750"/>
    <w:rsid w:val="14182BFD"/>
    <w:rsid w:val="141B4A32"/>
    <w:rsid w:val="14237BE5"/>
    <w:rsid w:val="142C45C0"/>
    <w:rsid w:val="14313AB6"/>
    <w:rsid w:val="14357918"/>
    <w:rsid w:val="144117B8"/>
    <w:rsid w:val="14423DE3"/>
    <w:rsid w:val="144F3962"/>
    <w:rsid w:val="14506500"/>
    <w:rsid w:val="14553B17"/>
    <w:rsid w:val="145D7398"/>
    <w:rsid w:val="146D59C2"/>
    <w:rsid w:val="14757D15"/>
    <w:rsid w:val="148E02A6"/>
    <w:rsid w:val="149522B6"/>
    <w:rsid w:val="14964A6C"/>
    <w:rsid w:val="14975EDD"/>
    <w:rsid w:val="149A2D26"/>
    <w:rsid w:val="149C20E3"/>
    <w:rsid w:val="149F15FA"/>
    <w:rsid w:val="14A800EA"/>
    <w:rsid w:val="14B24AC5"/>
    <w:rsid w:val="14C50C9C"/>
    <w:rsid w:val="14CA0061"/>
    <w:rsid w:val="14F81A1E"/>
    <w:rsid w:val="14F96B98"/>
    <w:rsid w:val="14FE7D0A"/>
    <w:rsid w:val="150115A9"/>
    <w:rsid w:val="15035321"/>
    <w:rsid w:val="150C68CB"/>
    <w:rsid w:val="15145780"/>
    <w:rsid w:val="1525173B"/>
    <w:rsid w:val="152C2AC9"/>
    <w:rsid w:val="15400323"/>
    <w:rsid w:val="15451DDD"/>
    <w:rsid w:val="154716B1"/>
    <w:rsid w:val="15673B02"/>
    <w:rsid w:val="156758B0"/>
    <w:rsid w:val="157601E9"/>
    <w:rsid w:val="1585042C"/>
    <w:rsid w:val="15930900"/>
    <w:rsid w:val="1594241D"/>
    <w:rsid w:val="15966195"/>
    <w:rsid w:val="15997A33"/>
    <w:rsid w:val="159D7523"/>
    <w:rsid w:val="15A23273"/>
    <w:rsid w:val="15A4592F"/>
    <w:rsid w:val="15AF54A9"/>
    <w:rsid w:val="15C26F8A"/>
    <w:rsid w:val="15DB004C"/>
    <w:rsid w:val="15E01507"/>
    <w:rsid w:val="15E272AE"/>
    <w:rsid w:val="15FA0341"/>
    <w:rsid w:val="160457F4"/>
    <w:rsid w:val="161B48EC"/>
    <w:rsid w:val="16247C45"/>
    <w:rsid w:val="1626391D"/>
    <w:rsid w:val="162B0FD3"/>
    <w:rsid w:val="16351E52"/>
    <w:rsid w:val="16353C00"/>
    <w:rsid w:val="163559AE"/>
    <w:rsid w:val="16465E0D"/>
    <w:rsid w:val="164E6782"/>
    <w:rsid w:val="16526656"/>
    <w:rsid w:val="16571DC8"/>
    <w:rsid w:val="165A5414"/>
    <w:rsid w:val="1662251B"/>
    <w:rsid w:val="166E5FEC"/>
    <w:rsid w:val="16826719"/>
    <w:rsid w:val="16842491"/>
    <w:rsid w:val="16846935"/>
    <w:rsid w:val="169923E1"/>
    <w:rsid w:val="16A50D85"/>
    <w:rsid w:val="16AF39B2"/>
    <w:rsid w:val="16B03286"/>
    <w:rsid w:val="16B2046E"/>
    <w:rsid w:val="16B36392"/>
    <w:rsid w:val="16BE59A3"/>
    <w:rsid w:val="16C86822"/>
    <w:rsid w:val="16CE195E"/>
    <w:rsid w:val="16F969DB"/>
    <w:rsid w:val="17011EEE"/>
    <w:rsid w:val="170756A0"/>
    <w:rsid w:val="170F3D96"/>
    <w:rsid w:val="17141A67"/>
    <w:rsid w:val="171657DF"/>
    <w:rsid w:val="171952CF"/>
    <w:rsid w:val="172F68A1"/>
    <w:rsid w:val="1732013F"/>
    <w:rsid w:val="173914CE"/>
    <w:rsid w:val="174C7453"/>
    <w:rsid w:val="175E2CE2"/>
    <w:rsid w:val="177E6402"/>
    <w:rsid w:val="17887D5F"/>
    <w:rsid w:val="178A1D29"/>
    <w:rsid w:val="179B49B5"/>
    <w:rsid w:val="17DB07D7"/>
    <w:rsid w:val="17DD0CAF"/>
    <w:rsid w:val="17E07B9B"/>
    <w:rsid w:val="17E4768B"/>
    <w:rsid w:val="180F17D4"/>
    <w:rsid w:val="18124F29"/>
    <w:rsid w:val="181A30AD"/>
    <w:rsid w:val="18243F2C"/>
    <w:rsid w:val="18251A52"/>
    <w:rsid w:val="18273A1C"/>
    <w:rsid w:val="182E4DAB"/>
    <w:rsid w:val="18381785"/>
    <w:rsid w:val="184243B2"/>
    <w:rsid w:val="184E71FB"/>
    <w:rsid w:val="18561C0B"/>
    <w:rsid w:val="18585984"/>
    <w:rsid w:val="185B6BF7"/>
    <w:rsid w:val="18650CFA"/>
    <w:rsid w:val="186D1358"/>
    <w:rsid w:val="18736C61"/>
    <w:rsid w:val="18822A00"/>
    <w:rsid w:val="188B5D59"/>
    <w:rsid w:val="189E3CDE"/>
    <w:rsid w:val="18A1732B"/>
    <w:rsid w:val="18A312F5"/>
    <w:rsid w:val="18A4506D"/>
    <w:rsid w:val="18A62B93"/>
    <w:rsid w:val="18A8690B"/>
    <w:rsid w:val="18C64FE3"/>
    <w:rsid w:val="18C80D5B"/>
    <w:rsid w:val="18CB43A7"/>
    <w:rsid w:val="18D70F9E"/>
    <w:rsid w:val="18DA3201"/>
    <w:rsid w:val="18E117C4"/>
    <w:rsid w:val="18E45469"/>
    <w:rsid w:val="18F7519C"/>
    <w:rsid w:val="18FE29CF"/>
    <w:rsid w:val="18FE4FFE"/>
    <w:rsid w:val="19006747"/>
    <w:rsid w:val="191B17BB"/>
    <w:rsid w:val="19235F91"/>
    <w:rsid w:val="1934019F"/>
    <w:rsid w:val="19427A4C"/>
    <w:rsid w:val="194B54E8"/>
    <w:rsid w:val="194F6D87"/>
    <w:rsid w:val="195051C5"/>
    <w:rsid w:val="195919B3"/>
    <w:rsid w:val="195A572B"/>
    <w:rsid w:val="196B16E7"/>
    <w:rsid w:val="196C5B8A"/>
    <w:rsid w:val="19704F4F"/>
    <w:rsid w:val="197C1B46"/>
    <w:rsid w:val="197E141A"/>
    <w:rsid w:val="197E766C"/>
    <w:rsid w:val="19882298"/>
    <w:rsid w:val="198C6E5E"/>
    <w:rsid w:val="1991739F"/>
    <w:rsid w:val="199450E1"/>
    <w:rsid w:val="19AD682C"/>
    <w:rsid w:val="19AF2C23"/>
    <w:rsid w:val="19B94B48"/>
    <w:rsid w:val="19D35C0A"/>
    <w:rsid w:val="19D84FCE"/>
    <w:rsid w:val="19DC4392"/>
    <w:rsid w:val="19DD25E4"/>
    <w:rsid w:val="19E25E4D"/>
    <w:rsid w:val="1A0062D3"/>
    <w:rsid w:val="1A09162B"/>
    <w:rsid w:val="1A0C2EC9"/>
    <w:rsid w:val="1A11228E"/>
    <w:rsid w:val="1A1678A4"/>
    <w:rsid w:val="1A18186E"/>
    <w:rsid w:val="1A18361C"/>
    <w:rsid w:val="1A1D50D7"/>
    <w:rsid w:val="1A271AB1"/>
    <w:rsid w:val="1A310B82"/>
    <w:rsid w:val="1A3A17E5"/>
    <w:rsid w:val="1A46462D"/>
    <w:rsid w:val="1A497C7A"/>
    <w:rsid w:val="1A4E703E"/>
    <w:rsid w:val="1A69031C"/>
    <w:rsid w:val="1A6B5E42"/>
    <w:rsid w:val="1A6C3968"/>
    <w:rsid w:val="1A703458"/>
    <w:rsid w:val="1A7647E7"/>
    <w:rsid w:val="1A815666"/>
    <w:rsid w:val="1A864A2A"/>
    <w:rsid w:val="1A8769F4"/>
    <w:rsid w:val="1A9A04D5"/>
    <w:rsid w:val="1AA4427B"/>
    <w:rsid w:val="1AA66E7A"/>
    <w:rsid w:val="1AB23A71"/>
    <w:rsid w:val="1AB53561"/>
    <w:rsid w:val="1AB84DFF"/>
    <w:rsid w:val="1ABA0B77"/>
    <w:rsid w:val="1AC13CB4"/>
    <w:rsid w:val="1AC2723C"/>
    <w:rsid w:val="1AD734D7"/>
    <w:rsid w:val="1ADA4D76"/>
    <w:rsid w:val="1AE71241"/>
    <w:rsid w:val="1AF57E02"/>
    <w:rsid w:val="1B0D0CA7"/>
    <w:rsid w:val="1B193AF0"/>
    <w:rsid w:val="1B326960"/>
    <w:rsid w:val="1B375D24"/>
    <w:rsid w:val="1B3A3A66"/>
    <w:rsid w:val="1B3A75C2"/>
    <w:rsid w:val="1B3C77DE"/>
    <w:rsid w:val="1B4072CF"/>
    <w:rsid w:val="1B440441"/>
    <w:rsid w:val="1B481CDF"/>
    <w:rsid w:val="1B4E306E"/>
    <w:rsid w:val="1B5508A0"/>
    <w:rsid w:val="1B5E1503"/>
    <w:rsid w:val="1B610FF3"/>
    <w:rsid w:val="1B6D3278"/>
    <w:rsid w:val="1B80591D"/>
    <w:rsid w:val="1B835D4B"/>
    <w:rsid w:val="1B8A679C"/>
    <w:rsid w:val="1B8B2D3D"/>
    <w:rsid w:val="1B8D1DE8"/>
    <w:rsid w:val="1B8D3B96"/>
    <w:rsid w:val="1B9273FE"/>
    <w:rsid w:val="1BA07D6D"/>
    <w:rsid w:val="1BA86C22"/>
    <w:rsid w:val="1BAB04C0"/>
    <w:rsid w:val="1BAD248A"/>
    <w:rsid w:val="1BC33A5C"/>
    <w:rsid w:val="1BC7354C"/>
    <w:rsid w:val="1BC7572E"/>
    <w:rsid w:val="1BD73063"/>
    <w:rsid w:val="1C02580E"/>
    <w:rsid w:val="1C185B56"/>
    <w:rsid w:val="1C1E0C92"/>
    <w:rsid w:val="1C406E5A"/>
    <w:rsid w:val="1C534DE0"/>
    <w:rsid w:val="1C5446B4"/>
    <w:rsid w:val="1C56667E"/>
    <w:rsid w:val="1C5B5A42"/>
    <w:rsid w:val="1C5D7A0C"/>
    <w:rsid w:val="1C6568C1"/>
    <w:rsid w:val="1C735482"/>
    <w:rsid w:val="1C7D17F7"/>
    <w:rsid w:val="1C8256C5"/>
    <w:rsid w:val="1C874A89"/>
    <w:rsid w:val="1C8E2C3B"/>
    <w:rsid w:val="1C9F0025"/>
    <w:rsid w:val="1CA613B3"/>
    <w:rsid w:val="1CBD494F"/>
    <w:rsid w:val="1CC7465D"/>
    <w:rsid w:val="1CD31A7D"/>
    <w:rsid w:val="1CD852E5"/>
    <w:rsid w:val="1CE65C54"/>
    <w:rsid w:val="1CF0262F"/>
    <w:rsid w:val="1D1560FE"/>
    <w:rsid w:val="1D187DD7"/>
    <w:rsid w:val="1D210A3A"/>
    <w:rsid w:val="1D214EDE"/>
    <w:rsid w:val="1D2247B2"/>
    <w:rsid w:val="1D436C02"/>
    <w:rsid w:val="1D50131F"/>
    <w:rsid w:val="1D61177E"/>
    <w:rsid w:val="1D631052"/>
    <w:rsid w:val="1D6B43AB"/>
    <w:rsid w:val="1D6F3E9B"/>
    <w:rsid w:val="1D7414B2"/>
    <w:rsid w:val="1D756FD8"/>
    <w:rsid w:val="1D81772B"/>
    <w:rsid w:val="1D9236E6"/>
    <w:rsid w:val="1D994A74"/>
    <w:rsid w:val="1D9E652E"/>
    <w:rsid w:val="1DA17DCD"/>
    <w:rsid w:val="1DA358F3"/>
    <w:rsid w:val="1DC1221D"/>
    <w:rsid w:val="1DD91315"/>
    <w:rsid w:val="1DEA52D0"/>
    <w:rsid w:val="1DF0665E"/>
    <w:rsid w:val="1DF148B0"/>
    <w:rsid w:val="1E004AF3"/>
    <w:rsid w:val="1E0D0FBE"/>
    <w:rsid w:val="1E116D00"/>
    <w:rsid w:val="1E1B7B7F"/>
    <w:rsid w:val="1E3173A3"/>
    <w:rsid w:val="1E3824DF"/>
    <w:rsid w:val="1E390005"/>
    <w:rsid w:val="1E391DB3"/>
    <w:rsid w:val="1E3C7C36"/>
    <w:rsid w:val="1E4A2212"/>
    <w:rsid w:val="1E4F496B"/>
    <w:rsid w:val="1E5866DD"/>
    <w:rsid w:val="1E5F5CBE"/>
    <w:rsid w:val="1E731769"/>
    <w:rsid w:val="1E764DB5"/>
    <w:rsid w:val="1E7948A6"/>
    <w:rsid w:val="1E7B6870"/>
    <w:rsid w:val="1E994969"/>
    <w:rsid w:val="1E9A6CF6"/>
    <w:rsid w:val="1E9D67E6"/>
    <w:rsid w:val="1EA336D1"/>
    <w:rsid w:val="1EAE27A1"/>
    <w:rsid w:val="1EB12291"/>
    <w:rsid w:val="1EB4768C"/>
    <w:rsid w:val="1EB63404"/>
    <w:rsid w:val="1EBF49AE"/>
    <w:rsid w:val="1EC17F21"/>
    <w:rsid w:val="1EC45B21"/>
    <w:rsid w:val="1ECE699F"/>
    <w:rsid w:val="1ED63AA6"/>
    <w:rsid w:val="1EDA5344"/>
    <w:rsid w:val="1EDF295B"/>
    <w:rsid w:val="1EEB57A3"/>
    <w:rsid w:val="1EF04B68"/>
    <w:rsid w:val="1EF1268E"/>
    <w:rsid w:val="1F02063F"/>
    <w:rsid w:val="1F022AED"/>
    <w:rsid w:val="1F0A7BCF"/>
    <w:rsid w:val="1F10520A"/>
    <w:rsid w:val="1F114ADE"/>
    <w:rsid w:val="1F1A7E37"/>
    <w:rsid w:val="1F24680B"/>
    <w:rsid w:val="1F2670C9"/>
    <w:rsid w:val="1F325180"/>
    <w:rsid w:val="1F330EF8"/>
    <w:rsid w:val="1F33222D"/>
    <w:rsid w:val="1F38206B"/>
    <w:rsid w:val="1F460C2C"/>
    <w:rsid w:val="1F536EA5"/>
    <w:rsid w:val="1F5844BB"/>
    <w:rsid w:val="1F5F3A9B"/>
    <w:rsid w:val="1F6D440A"/>
    <w:rsid w:val="1F7D2EB6"/>
    <w:rsid w:val="1F7F5EEC"/>
    <w:rsid w:val="1F8F4381"/>
    <w:rsid w:val="1F9004D9"/>
    <w:rsid w:val="1F925C1F"/>
    <w:rsid w:val="1F973235"/>
    <w:rsid w:val="1F9C4CF0"/>
    <w:rsid w:val="1FAB0A8F"/>
    <w:rsid w:val="1FB5190D"/>
    <w:rsid w:val="1FB931AC"/>
    <w:rsid w:val="1FBA5176"/>
    <w:rsid w:val="1FBC0EEE"/>
    <w:rsid w:val="1FBC7140"/>
    <w:rsid w:val="1FD2426D"/>
    <w:rsid w:val="1FE12702"/>
    <w:rsid w:val="1FEC17D3"/>
    <w:rsid w:val="1FED72F9"/>
    <w:rsid w:val="1FEF3071"/>
    <w:rsid w:val="1FF80297"/>
    <w:rsid w:val="20062169"/>
    <w:rsid w:val="20126D60"/>
    <w:rsid w:val="201E74B3"/>
    <w:rsid w:val="20216FA3"/>
    <w:rsid w:val="20230F6D"/>
    <w:rsid w:val="203211B0"/>
    <w:rsid w:val="204F2CB5"/>
    <w:rsid w:val="20517888"/>
    <w:rsid w:val="20601879"/>
    <w:rsid w:val="207215AC"/>
    <w:rsid w:val="207C5E1E"/>
    <w:rsid w:val="20803CC9"/>
    <w:rsid w:val="208714FC"/>
    <w:rsid w:val="209D487B"/>
    <w:rsid w:val="20A756FA"/>
    <w:rsid w:val="20B816B5"/>
    <w:rsid w:val="20BB2F53"/>
    <w:rsid w:val="20C95670"/>
    <w:rsid w:val="20CF4C51"/>
    <w:rsid w:val="20D02EA3"/>
    <w:rsid w:val="20D34741"/>
    <w:rsid w:val="20D52267"/>
    <w:rsid w:val="20D64231"/>
    <w:rsid w:val="20EB10BF"/>
    <w:rsid w:val="20EB1DFE"/>
    <w:rsid w:val="20F6042F"/>
    <w:rsid w:val="21132D32"/>
    <w:rsid w:val="211C5299"/>
    <w:rsid w:val="212A1E87"/>
    <w:rsid w:val="212A6A7B"/>
    <w:rsid w:val="213D1BBA"/>
    <w:rsid w:val="215A6C10"/>
    <w:rsid w:val="215F7249"/>
    <w:rsid w:val="21617F9F"/>
    <w:rsid w:val="21635AC5"/>
    <w:rsid w:val="216435EB"/>
    <w:rsid w:val="216B3E44"/>
    <w:rsid w:val="216B6728"/>
    <w:rsid w:val="21731A80"/>
    <w:rsid w:val="217C0935"/>
    <w:rsid w:val="217C26E3"/>
    <w:rsid w:val="217F6677"/>
    <w:rsid w:val="2186530F"/>
    <w:rsid w:val="2188552B"/>
    <w:rsid w:val="21894E00"/>
    <w:rsid w:val="219F63D1"/>
    <w:rsid w:val="21A8797C"/>
    <w:rsid w:val="21B31E7D"/>
    <w:rsid w:val="21CF4F08"/>
    <w:rsid w:val="21E16026"/>
    <w:rsid w:val="21E464DA"/>
    <w:rsid w:val="21EB7868"/>
    <w:rsid w:val="21EE1107"/>
    <w:rsid w:val="21F20BF7"/>
    <w:rsid w:val="21FA7AAB"/>
    <w:rsid w:val="21FD267A"/>
    <w:rsid w:val="21FF50C2"/>
    <w:rsid w:val="220152DE"/>
    <w:rsid w:val="22031056"/>
    <w:rsid w:val="22066450"/>
    <w:rsid w:val="22093106"/>
    <w:rsid w:val="22146DBF"/>
    <w:rsid w:val="222D60D3"/>
    <w:rsid w:val="222F59A7"/>
    <w:rsid w:val="2234120F"/>
    <w:rsid w:val="22364F87"/>
    <w:rsid w:val="22433200"/>
    <w:rsid w:val="225278E7"/>
    <w:rsid w:val="225B49EE"/>
    <w:rsid w:val="22614853"/>
    <w:rsid w:val="22631AF5"/>
    <w:rsid w:val="226502E0"/>
    <w:rsid w:val="2267325D"/>
    <w:rsid w:val="22705A00"/>
    <w:rsid w:val="227E692E"/>
    <w:rsid w:val="228737F8"/>
    <w:rsid w:val="228E07AF"/>
    <w:rsid w:val="228F4698"/>
    <w:rsid w:val="22947F00"/>
    <w:rsid w:val="22CD6F6E"/>
    <w:rsid w:val="22E542B8"/>
    <w:rsid w:val="22E82E1F"/>
    <w:rsid w:val="22F64717"/>
    <w:rsid w:val="22F83FEB"/>
    <w:rsid w:val="23027B69"/>
    <w:rsid w:val="230C3F3A"/>
    <w:rsid w:val="2312270F"/>
    <w:rsid w:val="23290648"/>
    <w:rsid w:val="232E2103"/>
    <w:rsid w:val="23364DBB"/>
    <w:rsid w:val="23367BA5"/>
    <w:rsid w:val="23386ADD"/>
    <w:rsid w:val="233A4603"/>
    <w:rsid w:val="233D6002"/>
    <w:rsid w:val="233F7E6C"/>
    <w:rsid w:val="23476D20"/>
    <w:rsid w:val="23696C97"/>
    <w:rsid w:val="236B2A0F"/>
    <w:rsid w:val="236C49D9"/>
    <w:rsid w:val="237A0EA4"/>
    <w:rsid w:val="2383244E"/>
    <w:rsid w:val="239857CE"/>
    <w:rsid w:val="23993E90"/>
    <w:rsid w:val="239C706C"/>
    <w:rsid w:val="23A14683"/>
    <w:rsid w:val="23AC3027"/>
    <w:rsid w:val="23AE0B4E"/>
    <w:rsid w:val="23C465C3"/>
    <w:rsid w:val="23D36806"/>
    <w:rsid w:val="23DA4D4A"/>
    <w:rsid w:val="23ED1676"/>
    <w:rsid w:val="23F01166"/>
    <w:rsid w:val="23F073B8"/>
    <w:rsid w:val="23FE7D27"/>
    <w:rsid w:val="240C4AF7"/>
    <w:rsid w:val="240D3AC6"/>
    <w:rsid w:val="24125580"/>
    <w:rsid w:val="24294678"/>
    <w:rsid w:val="24376D95"/>
    <w:rsid w:val="243C25FD"/>
    <w:rsid w:val="243E0123"/>
    <w:rsid w:val="24480FA2"/>
    <w:rsid w:val="244871F4"/>
    <w:rsid w:val="244B0A92"/>
    <w:rsid w:val="244D0366"/>
    <w:rsid w:val="245E07C6"/>
    <w:rsid w:val="24883A94"/>
    <w:rsid w:val="249064A5"/>
    <w:rsid w:val="24A02B8C"/>
    <w:rsid w:val="24A501A2"/>
    <w:rsid w:val="24AC7783"/>
    <w:rsid w:val="24C34ACD"/>
    <w:rsid w:val="24C70119"/>
    <w:rsid w:val="24CA19B7"/>
    <w:rsid w:val="24D12D46"/>
    <w:rsid w:val="24F829C8"/>
    <w:rsid w:val="251315B0"/>
    <w:rsid w:val="251470D6"/>
    <w:rsid w:val="251E1D03"/>
    <w:rsid w:val="251F61A7"/>
    <w:rsid w:val="25210536"/>
    <w:rsid w:val="2524595F"/>
    <w:rsid w:val="252512E3"/>
    <w:rsid w:val="254C061E"/>
    <w:rsid w:val="254D66B9"/>
    <w:rsid w:val="255201D9"/>
    <w:rsid w:val="25526577"/>
    <w:rsid w:val="25565941"/>
    <w:rsid w:val="255B4D05"/>
    <w:rsid w:val="2561056D"/>
    <w:rsid w:val="25775EE0"/>
    <w:rsid w:val="25787665"/>
    <w:rsid w:val="258B383C"/>
    <w:rsid w:val="25904A8D"/>
    <w:rsid w:val="259124D5"/>
    <w:rsid w:val="259A494D"/>
    <w:rsid w:val="259C77F7"/>
    <w:rsid w:val="259D0E7A"/>
    <w:rsid w:val="25A55F80"/>
    <w:rsid w:val="25B368EF"/>
    <w:rsid w:val="25B82157"/>
    <w:rsid w:val="25C64874"/>
    <w:rsid w:val="25CC175F"/>
    <w:rsid w:val="25D0124F"/>
    <w:rsid w:val="25D23219"/>
    <w:rsid w:val="25D56865"/>
    <w:rsid w:val="25D95D6C"/>
    <w:rsid w:val="25E76599"/>
    <w:rsid w:val="25F72C80"/>
    <w:rsid w:val="26031625"/>
    <w:rsid w:val="260809E9"/>
    <w:rsid w:val="26086C3B"/>
    <w:rsid w:val="260B672B"/>
    <w:rsid w:val="260E7FC9"/>
    <w:rsid w:val="26170C2C"/>
    <w:rsid w:val="26192BF6"/>
    <w:rsid w:val="261A071C"/>
    <w:rsid w:val="261F5D33"/>
    <w:rsid w:val="262B2929"/>
    <w:rsid w:val="262D48F3"/>
    <w:rsid w:val="26323CB8"/>
    <w:rsid w:val="26357304"/>
    <w:rsid w:val="263A2B6C"/>
    <w:rsid w:val="26470A8F"/>
    <w:rsid w:val="26502390"/>
    <w:rsid w:val="26571086"/>
    <w:rsid w:val="26571970"/>
    <w:rsid w:val="26597496"/>
    <w:rsid w:val="26604402"/>
    <w:rsid w:val="26645FD4"/>
    <w:rsid w:val="26655E3B"/>
    <w:rsid w:val="26667E05"/>
    <w:rsid w:val="2670658E"/>
    <w:rsid w:val="267442D0"/>
    <w:rsid w:val="267C4F33"/>
    <w:rsid w:val="267E514F"/>
    <w:rsid w:val="26823A1F"/>
    <w:rsid w:val="26864004"/>
    <w:rsid w:val="268F2EB8"/>
    <w:rsid w:val="26964247"/>
    <w:rsid w:val="269C3827"/>
    <w:rsid w:val="26AF5308"/>
    <w:rsid w:val="26E74AA2"/>
    <w:rsid w:val="26F40F6D"/>
    <w:rsid w:val="26F471BF"/>
    <w:rsid w:val="26FE1DEC"/>
    <w:rsid w:val="27034B36"/>
    <w:rsid w:val="270D0281"/>
    <w:rsid w:val="271138CD"/>
    <w:rsid w:val="27165388"/>
    <w:rsid w:val="27167136"/>
    <w:rsid w:val="27196C26"/>
    <w:rsid w:val="271C2272"/>
    <w:rsid w:val="27207FB4"/>
    <w:rsid w:val="27231852"/>
    <w:rsid w:val="27280C17"/>
    <w:rsid w:val="272950BB"/>
    <w:rsid w:val="272A498F"/>
    <w:rsid w:val="27314260"/>
    <w:rsid w:val="27392E24"/>
    <w:rsid w:val="274E68CF"/>
    <w:rsid w:val="27595274"/>
    <w:rsid w:val="275E288B"/>
    <w:rsid w:val="27604855"/>
    <w:rsid w:val="27624129"/>
    <w:rsid w:val="276E0D20"/>
    <w:rsid w:val="2776709D"/>
    <w:rsid w:val="27802801"/>
    <w:rsid w:val="278222CB"/>
    <w:rsid w:val="278E2A94"/>
    <w:rsid w:val="27A26C1B"/>
    <w:rsid w:val="27AC35F6"/>
    <w:rsid w:val="27AE3905"/>
    <w:rsid w:val="27B23302"/>
    <w:rsid w:val="27BB1A8B"/>
    <w:rsid w:val="27C43158"/>
    <w:rsid w:val="27C44DE4"/>
    <w:rsid w:val="27D019DA"/>
    <w:rsid w:val="27E92A9C"/>
    <w:rsid w:val="27ED433A"/>
    <w:rsid w:val="27F136FF"/>
    <w:rsid w:val="27FA227B"/>
    <w:rsid w:val="27FC27CF"/>
    <w:rsid w:val="27FC632B"/>
    <w:rsid w:val="27FF492C"/>
    <w:rsid w:val="28017DE6"/>
    <w:rsid w:val="28033B5E"/>
    <w:rsid w:val="280B2A12"/>
    <w:rsid w:val="280E2503"/>
    <w:rsid w:val="280E42B1"/>
    <w:rsid w:val="28125B4F"/>
    <w:rsid w:val="28156820"/>
    <w:rsid w:val="281F64BE"/>
    <w:rsid w:val="28211A7F"/>
    <w:rsid w:val="282633A8"/>
    <w:rsid w:val="28292E99"/>
    <w:rsid w:val="282B09BF"/>
    <w:rsid w:val="2835183D"/>
    <w:rsid w:val="283C0E1E"/>
    <w:rsid w:val="283F090E"/>
    <w:rsid w:val="28546167"/>
    <w:rsid w:val="28575C58"/>
    <w:rsid w:val="286B1703"/>
    <w:rsid w:val="28707153"/>
    <w:rsid w:val="287F0D0A"/>
    <w:rsid w:val="287F1D14"/>
    <w:rsid w:val="288051AE"/>
    <w:rsid w:val="28976054"/>
    <w:rsid w:val="28A95D87"/>
    <w:rsid w:val="28B44E58"/>
    <w:rsid w:val="28BC3D0D"/>
    <w:rsid w:val="28BE5CD7"/>
    <w:rsid w:val="28C36E49"/>
    <w:rsid w:val="28C66939"/>
    <w:rsid w:val="28CD5F1A"/>
    <w:rsid w:val="28D15A0A"/>
    <w:rsid w:val="28DB0637"/>
    <w:rsid w:val="28E3573D"/>
    <w:rsid w:val="28E53263"/>
    <w:rsid w:val="28F039B6"/>
    <w:rsid w:val="28F3736D"/>
    <w:rsid w:val="28F9286B"/>
    <w:rsid w:val="291C3468"/>
    <w:rsid w:val="29211DC2"/>
    <w:rsid w:val="292D69B8"/>
    <w:rsid w:val="292F2731"/>
    <w:rsid w:val="29373393"/>
    <w:rsid w:val="293B10D5"/>
    <w:rsid w:val="2940049A"/>
    <w:rsid w:val="294C4741"/>
    <w:rsid w:val="2953641F"/>
    <w:rsid w:val="295B52D4"/>
    <w:rsid w:val="296C74E1"/>
    <w:rsid w:val="2972633C"/>
    <w:rsid w:val="2973261D"/>
    <w:rsid w:val="29834F41"/>
    <w:rsid w:val="299D769A"/>
    <w:rsid w:val="29B175E9"/>
    <w:rsid w:val="29BD1E11"/>
    <w:rsid w:val="29BF5862"/>
    <w:rsid w:val="29C27101"/>
    <w:rsid w:val="29C417B1"/>
    <w:rsid w:val="29DF4157"/>
    <w:rsid w:val="29E11C7D"/>
    <w:rsid w:val="29E4176D"/>
    <w:rsid w:val="29EC6874"/>
    <w:rsid w:val="29F55728"/>
    <w:rsid w:val="29FA4AED"/>
    <w:rsid w:val="29FB2613"/>
    <w:rsid w:val="29FF65A7"/>
    <w:rsid w:val="2A135BAE"/>
    <w:rsid w:val="2A1F27A5"/>
    <w:rsid w:val="2A27165A"/>
    <w:rsid w:val="2A2B114A"/>
    <w:rsid w:val="2A306760"/>
    <w:rsid w:val="2A337FFE"/>
    <w:rsid w:val="2A353D77"/>
    <w:rsid w:val="2A3E70CF"/>
    <w:rsid w:val="2A41096D"/>
    <w:rsid w:val="2A4346E5"/>
    <w:rsid w:val="2A4D206D"/>
    <w:rsid w:val="2A4E4E38"/>
    <w:rsid w:val="2A521B4A"/>
    <w:rsid w:val="2A5D507B"/>
    <w:rsid w:val="2A697EC4"/>
    <w:rsid w:val="2A7B78D6"/>
    <w:rsid w:val="2A7C19A5"/>
    <w:rsid w:val="2A7C3749"/>
    <w:rsid w:val="2A88294D"/>
    <w:rsid w:val="2A8A2314"/>
    <w:rsid w:val="2A8A7484"/>
    <w:rsid w:val="2A8B7E3A"/>
    <w:rsid w:val="2A8D770F"/>
    <w:rsid w:val="2A9071FF"/>
    <w:rsid w:val="2A950CB9"/>
    <w:rsid w:val="2A9E191C"/>
    <w:rsid w:val="2A9F38E6"/>
    <w:rsid w:val="2AA1140C"/>
    <w:rsid w:val="2ACF7D27"/>
    <w:rsid w:val="2AD510B6"/>
    <w:rsid w:val="2AE62118"/>
    <w:rsid w:val="2AEF2177"/>
    <w:rsid w:val="2AF063D1"/>
    <w:rsid w:val="2AF459E0"/>
    <w:rsid w:val="2B033E75"/>
    <w:rsid w:val="2B0674C1"/>
    <w:rsid w:val="2B1020EE"/>
    <w:rsid w:val="2B1C6CE5"/>
    <w:rsid w:val="2B2160A9"/>
    <w:rsid w:val="2B255B99"/>
    <w:rsid w:val="2B287437"/>
    <w:rsid w:val="2B33475A"/>
    <w:rsid w:val="2B430715"/>
    <w:rsid w:val="2B5B064D"/>
    <w:rsid w:val="2B5B15BB"/>
    <w:rsid w:val="2B620B9B"/>
    <w:rsid w:val="2B6366C1"/>
    <w:rsid w:val="2B681F2A"/>
    <w:rsid w:val="2B746B21"/>
    <w:rsid w:val="2B76000D"/>
    <w:rsid w:val="2B8A00F2"/>
    <w:rsid w:val="2B960933"/>
    <w:rsid w:val="2BC058C2"/>
    <w:rsid w:val="2BC2163A"/>
    <w:rsid w:val="2BC929C8"/>
    <w:rsid w:val="2BCC4267"/>
    <w:rsid w:val="2BD1187D"/>
    <w:rsid w:val="2BD61589"/>
    <w:rsid w:val="2BE02638"/>
    <w:rsid w:val="2BE315B0"/>
    <w:rsid w:val="2BEA293F"/>
    <w:rsid w:val="2BF11F8D"/>
    <w:rsid w:val="2C1300E8"/>
    <w:rsid w:val="2C1A1476"/>
    <w:rsid w:val="2C1F4CDE"/>
    <w:rsid w:val="2C267E1B"/>
    <w:rsid w:val="2C273B93"/>
    <w:rsid w:val="2C2C73FB"/>
    <w:rsid w:val="2C332538"/>
    <w:rsid w:val="2C385DA0"/>
    <w:rsid w:val="2C3A5674"/>
    <w:rsid w:val="2C503995"/>
    <w:rsid w:val="2C5C383D"/>
    <w:rsid w:val="2C5F3D95"/>
    <w:rsid w:val="2C7072E8"/>
    <w:rsid w:val="2C843D2E"/>
    <w:rsid w:val="2C8763E0"/>
    <w:rsid w:val="2C9034E6"/>
    <w:rsid w:val="2C92435F"/>
    <w:rsid w:val="2CA50ADA"/>
    <w:rsid w:val="2CAF344E"/>
    <w:rsid w:val="2CB27900"/>
    <w:rsid w:val="2CD45AC9"/>
    <w:rsid w:val="2CD81465"/>
    <w:rsid w:val="2CDA6E57"/>
    <w:rsid w:val="2CE17A91"/>
    <w:rsid w:val="2CE61358"/>
    <w:rsid w:val="2CEF46B1"/>
    <w:rsid w:val="2CF35FF0"/>
    <w:rsid w:val="2CF63C91"/>
    <w:rsid w:val="2D067C4C"/>
    <w:rsid w:val="2D085772"/>
    <w:rsid w:val="2D0D4B37"/>
    <w:rsid w:val="2D1C7470"/>
    <w:rsid w:val="2D2E7421"/>
    <w:rsid w:val="2D3C541C"/>
    <w:rsid w:val="2D4744ED"/>
    <w:rsid w:val="2D4A7B39"/>
    <w:rsid w:val="2D4B38B1"/>
    <w:rsid w:val="2D5E1836"/>
    <w:rsid w:val="2D60735C"/>
    <w:rsid w:val="2D63426A"/>
    <w:rsid w:val="2D67693D"/>
    <w:rsid w:val="2D69780F"/>
    <w:rsid w:val="2D6A3D37"/>
    <w:rsid w:val="2D714D1A"/>
    <w:rsid w:val="2D727090"/>
    <w:rsid w:val="2DA83039"/>
    <w:rsid w:val="2DB33930"/>
    <w:rsid w:val="2DB651CE"/>
    <w:rsid w:val="2DC6277C"/>
    <w:rsid w:val="2DCC2C44"/>
    <w:rsid w:val="2DCF0BED"/>
    <w:rsid w:val="2DCF68D8"/>
    <w:rsid w:val="2DDF4725"/>
    <w:rsid w:val="2DE53D06"/>
    <w:rsid w:val="2DE75388"/>
    <w:rsid w:val="2DE81100"/>
    <w:rsid w:val="2DFB52D7"/>
    <w:rsid w:val="2E0917A2"/>
    <w:rsid w:val="2E0F48DF"/>
    <w:rsid w:val="2E163EBF"/>
    <w:rsid w:val="2E187C37"/>
    <w:rsid w:val="2E224612"/>
    <w:rsid w:val="2E232138"/>
    <w:rsid w:val="2E24482E"/>
    <w:rsid w:val="2E2B796A"/>
    <w:rsid w:val="2E3507E9"/>
    <w:rsid w:val="2E3F3416"/>
    <w:rsid w:val="2E4E18AB"/>
    <w:rsid w:val="2E56075F"/>
    <w:rsid w:val="2E61338C"/>
    <w:rsid w:val="2E620EB2"/>
    <w:rsid w:val="2E717347"/>
    <w:rsid w:val="2E731311"/>
    <w:rsid w:val="2E755089"/>
    <w:rsid w:val="2E7A444E"/>
    <w:rsid w:val="2E7D7A9A"/>
    <w:rsid w:val="2E8157DC"/>
    <w:rsid w:val="2E8E1CA7"/>
    <w:rsid w:val="2E902029"/>
    <w:rsid w:val="2EA63495"/>
    <w:rsid w:val="2EB77450"/>
    <w:rsid w:val="2EBD258D"/>
    <w:rsid w:val="2EC35DF5"/>
    <w:rsid w:val="2EC97183"/>
    <w:rsid w:val="2ECE02F6"/>
    <w:rsid w:val="2ED27DE6"/>
    <w:rsid w:val="2ED80535"/>
    <w:rsid w:val="2EF20488"/>
    <w:rsid w:val="2EFF2BA5"/>
    <w:rsid w:val="2F0D52C2"/>
    <w:rsid w:val="2F106B60"/>
    <w:rsid w:val="2F13195F"/>
    <w:rsid w:val="2F1403FE"/>
    <w:rsid w:val="2F177EEF"/>
    <w:rsid w:val="2F1A178D"/>
    <w:rsid w:val="2F3E7245"/>
    <w:rsid w:val="2F725125"/>
    <w:rsid w:val="2F7470EF"/>
    <w:rsid w:val="2FA33530"/>
    <w:rsid w:val="2FA63021"/>
    <w:rsid w:val="2FA86D99"/>
    <w:rsid w:val="2FB15C4D"/>
    <w:rsid w:val="2FB90FA6"/>
    <w:rsid w:val="2FC07BC7"/>
    <w:rsid w:val="2FC5794B"/>
    <w:rsid w:val="2FC811E9"/>
    <w:rsid w:val="2FD8767E"/>
    <w:rsid w:val="2FE36023"/>
    <w:rsid w:val="2FEA5603"/>
    <w:rsid w:val="2FEF49C8"/>
    <w:rsid w:val="300246FB"/>
    <w:rsid w:val="301241C3"/>
    <w:rsid w:val="30201025"/>
    <w:rsid w:val="302C79CA"/>
    <w:rsid w:val="303074BA"/>
    <w:rsid w:val="303D5733"/>
    <w:rsid w:val="304E7940"/>
    <w:rsid w:val="30515682"/>
    <w:rsid w:val="30564A47"/>
    <w:rsid w:val="305D7B83"/>
    <w:rsid w:val="30662EDC"/>
    <w:rsid w:val="30731155"/>
    <w:rsid w:val="307A24E3"/>
    <w:rsid w:val="307B44AD"/>
    <w:rsid w:val="30896BCA"/>
    <w:rsid w:val="30937A49"/>
    <w:rsid w:val="30986E0D"/>
    <w:rsid w:val="309C68FD"/>
    <w:rsid w:val="30A27C8C"/>
    <w:rsid w:val="30B362CA"/>
    <w:rsid w:val="30BD4AC6"/>
    <w:rsid w:val="30C10112"/>
    <w:rsid w:val="30C47C02"/>
    <w:rsid w:val="30E3277E"/>
    <w:rsid w:val="30F37424"/>
    <w:rsid w:val="30FD3669"/>
    <w:rsid w:val="3106646D"/>
    <w:rsid w:val="31091AB9"/>
    <w:rsid w:val="31181CFC"/>
    <w:rsid w:val="31197F4E"/>
    <w:rsid w:val="311C17EC"/>
    <w:rsid w:val="311C359A"/>
    <w:rsid w:val="311C7A3E"/>
    <w:rsid w:val="3126266B"/>
    <w:rsid w:val="312E32CE"/>
    <w:rsid w:val="313A7EC4"/>
    <w:rsid w:val="313F372D"/>
    <w:rsid w:val="31464ABB"/>
    <w:rsid w:val="3163232D"/>
    <w:rsid w:val="316B2774"/>
    <w:rsid w:val="31750598"/>
    <w:rsid w:val="31771119"/>
    <w:rsid w:val="3179279B"/>
    <w:rsid w:val="31796C3F"/>
    <w:rsid w:val="31811823"/>
    <w:rsid w:val="318A0E4C"/>
    <w:rsid w:val="318D26EA"/>
    <w:rsid w:val="319566E7"/>
    <w:rsid w:val="319E0453"/>
    <w:rsid w:val="31A33CBC"/>
    <w:rsid w:val="31B22151"/>
    <w:rsid w:val="31B45EC9"/>
    <w:rsid w:val="31C12394"/>
    <w:rsid w:val="31C205E6"/>
    <w:rsid w:val="31C35BE1"/>
    <w:rsid w:val="31C409AB"/>
    <w:rsid w:val="31CF2D03"/>
    <w:rsid w:val="31E542D4"/>
    <w:rsid w:val="31E762BB"/>
    <w:rsid w:val="31FB7654"/>
    <w:rsid w:val="320720C4"/>
    <w:rsid w:val="320F4EAD"/>
    <w:rsid w:val="3227669B"/>
    <w:rsid w:val="3251196A"/>
    <w:rsid w:val="3264344B"/>
    <w:rsid w:val="326F3B9E"/>
    <w:rsid w:val="326F41AE"/>
    <w:rsid w:val="32700042"/>
    <w:rsid w:val="32825331"/>
    <w:rsid w:val="32843AED"/>
    <w:rsid w:val="328A6C2A"/>
    <w:rsid w:val="32904240"/>
    <w:rsid w:val="32911D66"/>
    <w:rsid w:val="329655CE"/>
    <w:rsid w:val="329A50BF"/>
    <w:rsid w:val="329F0927"/>
    <w:rsid w:val="32A7158A"/>
    <w:rsid w:val="32B64F51"/>
    <w:rsid w:val="32B75C71"/>
    <w:rsid w:val="32BF68D3"/>
    <w:rsid w:val="32CB34CA"/>
    <w:rsid w:val="32D87995"/>
    <w:rsid w:val="32DD4FAB"/>
    <w:rsid w:val="32DF1FDC"/>
    <w:rsid w:val="32E14A9C"/>
    <w:rsid w:val="32E7056D"/>
    <w:rsid w:val="33092244"/>
    <w:rsid w:val="33166F26"/>
    <w:rsid w:val="331D18DE"/>
    <w:rsid w:val="332E5807"/>
    <w:rsid w:val="333E1EEE"/>
    <w:rsid w:val="33482D6D"/>
    <w:rsid w:val="33484B1B"/>
    <w:rsid w:val="3350577D"/>
    <w:rsid w:val="335334BF"/>
    <w:rsid w:val="3353526D"/>
    <w:rsid w:val="33572FB0"/>
    <w:rsid w:val="33590AD6"/>
    <w:rsid w:val="33664FA1"/>
    <w:rsid w:val="336D632F"/>
    <w:rsid w:val="336E2317"/>
    <w:rsid w:val="337376BE"/>
    <w:rsid w:val="3377450D"/>
    <w:rsid w:val="33775400"/>
    <w:rsid w:val="337955D1"/>
    <w:rsid w:val="337F2687"/>
    <w:rsid w:val="33865643"/>
    <w:rsid w:val="338A5133"/>
    <w:rsid w:val="33957634"/>
    <w:rsid w:val="33B51A84"/>
    <w:rsid w:val="33B757FC"/>
    <w:rsid w:val="33C323F3"/>
    <w:rsid w:val="33CB74FA"/>
    <w:rsid w:val="33DA14EB"/>
    <w:rsid w:val="33E32A95"/>
    <w:rsid w:val="33E34843"/>
    <w:rsid w:val="33E67E90"/>
    <w:rsid w:val="34016560"/>
    <w:rsid w:val="340842AA"/>
    <w:rsid w:val="341040A7"/>
    <w:rsid w:val="34164C19"/>
    <w:rsid w:val="34256C0A"/>
    <w:rsid w:val="343230D5"/>
    <w:rsid w:val="344277BC"/>
    <w:rsid w:val="34441786"/>
    <w:rsid w:val="344A2B14"/>
    <w:rsid w:val="344D7F0F"/>
    <w:rsid w:val="34525525"/>
    <w:rsid w:val="3454349B"/>
    <w:rsid w:val="345D63A4"/>
    <w:rsid w:val="34667903"/>
    <w:rsid w:val="34724AC6"/>
    <w:rsid w:val="347436ED"/>
    <w:rsid w:val="347656B7"/>
    <w:rsid w:val="34796F56"/>
    <w:rsid w:val="348002E4"/>
    <w:rsid w:val="34897199"/>
    <w:rsid w:val="349E2664"/>
    <w:rsid w:val="34A614B6"/>
    <w:rsid w:val="34AA710F"/>
    <w:rsid w:val="34B14942"/>
    <w:rsid w:val="34B47F8E"/>
    <w:rsid w:val="34C226AB"/>
    <w:rsid w:val="34C71A6F"/>
    <w:rsid w:val="34CA77B1"/>
    <w:rsid w:val="34CF6B76"/>
    <w:rsid w:val="34D32B0A"/>
    <w:rsid w:val="34DF500B"/>
    <w:rsid w:val="34E97C37"/>
    <w:rsid w:val="34EB1C02"/>
    <w:rsid w:val="34EE16F2"/>
    <w:rsid w:val="34F211E2"/>
    <w:rsid w:val="34F30AB6"/>
    <w:rsid w:val="35011425"/>
    <w:rsid w:val="35131158"/>
    <w:rsid w:val="351729F7"/>
    <w:rsid w:val="351F18AB"/>
    <w:rsid w:val="352275ED"/>
    <w:rsid w:val="35246EC1"/>
    <w:rsid w:val="352B0250"/>
    <w:rsid w:val="353E0CF4"/>
    <w:rsid w:val="354D4472"/>
    <w:rsid w:val="355552CD"/>
    <w:rsid w:val="356D0868"/>
    <w:rsid w:val="35700359"/>
    <w:rsid w:val="35831E3A"/>
    <w:rsid w:val="358362DE"/>
    <w:rsid w:val="358D2CB9"/>
    <w:rsid w:val="35977693"/>
    <w:rsid w:val="35AE2C2F"/>
    <w:rsid w:val="35AF7058"/>
    <w:rsid w:val="35B30926"/>
    <w:rsid w:val="35EA3BFF"/>
    <w:rsid w:val="35FE5964"/>
    <w:rsid w:val="360016DD"/>
    <w:rsid w:val="36140CE4"/>
    <w:rsid w:val="361A2073"/>
    <w:rsid w:val="361E1B63"/>
    <w:rsid w:val="3627310D"/>
    <w:rsid w:val="362829E1"/>
    <w:rsid w:val="362C24D2"/>
    <w:rsid w:val="36341CD4"/>
    <w:rsid w:val="36370E76"/>
    <w:rsid w:val="363E0457"/>
    <w:rsid w:val="3659703F"/>
    <w:rsid w:val="366003CD"/>
    <w:rsid w:val="36653C36"/>
    <w:rsid w:val="367125DA"/>
    <w:rsid w:val="3680281D"/>
    <w:rsid w:val="369E2CA4"/>
    <w:rsid w:val="36A4650C"/>
    <w:rsid w:val="36A71B58"/>
    <w:rsid w:val="36B67FED"/>
    <w:rsid w:val="36BD0720"/>
    <w:rsid w:val="36C46BAE"/>
    <w:rsid w:val="36D6243D"/>
    <w:rsid w:val="36E36908"/>
    <w:rsid w:val="36EA5EE9"/>
    <w:rsid w:val="3701395E"/>
    <w:rsid w:val="37092813"/>
    <w:rsid w:val="371D006C"/>
    <w:rsid w:val="371F13C0"/>
    <w:rsid w:val="371F2036"/>
    <w:rsid w:val="37265173"/>
    <w:rsid w:val="372D416B"/>
    <w:rsid w:val="37341053"/>
    <w:rsid w:val="37384EA6"/>
    <w:rsid w:val="373A0C1E"/>
    <w:rsid w:val="37427AD3"/>
    <w:rsid w:val="3744384B"/>
    <w:rsid w:val="374B2E2B"/>
    <w:rsid w:val="37645C9B"/>
    <w:rsid w:val="376712E7"/>
    <w:rsid w:val="376932B2"/>
    <w:rsid w:val="376E6B1A"/>
    <w:rsid w:val="37735EDE"/>
    <w:rsid w:val="37751C56"/>
    <w:rsid w:val="3776445A"/>
    <w:rsid w:val="37781747"/>
    <w:rsid w:val="377D6925"/>
    <w:rsid w:val="379540A7"/>
    <w:rsid w:val="379A346B"/>
    <w:rsid w:val="37A85A61"/>
    <w:rsid w:val="37AD13F0"/>
    <w:rsid w:val="37BD53AB"/>
    <w:rsid w:val="37BF1123"/>
    <w:rsid w:val="37C16C4A"/>
    <w:rsid w:val="37C64260"/>
    <w:rsid w:val="37D422F5"/>
    <w:rsid w:val="37DD2351"/>
    <w:rsid w:val="380134EA"/>
    <w:rsid w:val="380B25BB"/>
    <w:rsid w:val="380F5C07"/>
    <w:rsid w:val="3814146F"/>
    <w:rsid w:val="382947EF"/>
    <w:rsid w:val="382D0783"/>
    <w:rsid w:val="384004B6"/>
    <w:rsid w:val="384D118B"/>
    <w:rsid w:val="38591578"/>
    <w:rsid w:val="385D51A0"/>
    <w:rsid w:val="38613F89"/>
    <w:rsid w:val="38651CCB"/>
    <w:rsid w:val="38983E4E"/>
    <w:rsid w:val="38B62526"/>
    <w:rsid w:val="38B93DC5"/>
    <w:rsid w:val="38C8225A"/>
    <w:rsid w:val="38CA4224"/>
    <w:rsid w:val="38CA5FD2"/>
    <w:rsid w:val="38CD7870"/>
    <w:rsid w:val="38CF35E8"/>
    <w:rsid w:val="38D373E5"/>
    <w:rsid w:val="38D46E50"/>
    <w:rsid w:val="38D64977"/>
    <w:rsid w:val="38DD7AB3"/>
    <w:rsid w:val="38F524D6"/>
    <w:rsid w:val="38FE5C7B"/>
    <w:rsid w:val="3905070F"/>
    <w:rsid w:val="39050DB8"/>
    <w:rsid w:val="39094D4C"/>
    <w:rsid w:val="390E2362"/>
    <w:rsid w:val="390E4110"/>
    <w:rsid w:val="39131727"/>
    <w:rsid w:val="391334D5"/>
    <w:rsid w:val="39180912"/>
    <w:rsid w:val="392456E2"/>
    <w:rsid w:val="393618B9"/>
    <w:rsid w:val="39477622"/>
    <w:rsid w:val="396B1563"/>
    <w:rsid w:val="396B787B"/>
    <w:rsid w:val="396F0F8E"/>
    <w:rsid w:val="3971644D"/>
    <w:rsid w:val="397228F1"/>
    <w:rsid w:val="39730417"/>
    <w:rsid w:val="397A3554"/>
    <w:rsid w:val="397D4DF2"/>
    <w:rsid w:val="3986639D"/>
    <w:rsid w:val="39925B6B"/>
    <w:rsid w:val="399D36E6"/>
    <w:rsid w:val="39A700C1"/>
    <w:rsid w:val="39B747A8"/>
    <w:rsid w:val="39BC1DBE"/>
    <w:rsid w:val="39C46EC5"/>
    <w:rsid w:val="39F41558"/>
    <w:rsid w:val="39F50E2C"/>
    <w:rsid w:val="3A0D6176"/>
    <w:rsid w:val="3A15327D"/>
    <w:rsid w:val="3A325BDD"/>
    <w:rsid w:val="3A361B71"/>
    <w:rsid w:val="3A39340F"/>
    <w:rsid w:val="3A3F02FA"/>
    <w:rsid w:val="3A494C37"/>
    <w:rsid w:val="3A4B4EF0"/>
    <w:rsid w:val="3A502665"/>
    <w:rsid w:val="3A52002D"/>
    <w:rsid w:val="3A575643"/>
    <w:rsid w:val="3A59585F"/>
    <w:rsid w:val="3A606BEE"/>
    <w:rsid w:val="3A706705"/>
    <w:rsid w:val="3A773F37"/>
    <w:rsid w:val="3A856654"/>
    <w:rsid w:val="3A8C79E3"/>
    <w:rsid w:val="3A914FF9"/>
    <w:rsid w:val="3A9B7C26"/>
    <w:rsid w:val="3AA0523C"/>
    <w:rsid w:val="3AA4763F"/>
    <w:rsid w:val="3ABC3ED2"/>
    <w:rsid w:val="3AC6401A"/>
    <w:rsid w:val="3ADB6274"/>
    <w:rsid w:val="3AE27603"/>
    <w:rsid w:val="3AE72AE5"/>
    <w:rsid w:val="3AEE41FA"/>
    <w:rsid w:val="3B0357CB"/>
    <w:rsid w:val="3B037579"/>
    <w:rsid w:val="3B073F58"/>
    <w:rsid w:val="3B0A6B5A"/>
    <w:rsid w:val="3B0E03F8"/>
    <w:rsid w:val="3B111C96"/>
    <w:rsid w:val="3B1B48C3"/>
    <w:rsid w:val="3B3B4BA8"/>
    <w:rsid w:val="3B3D2A8B"/>
    <w:rsid w:val="3B4007CD"/>
    <w:rsid w:val="3B4A1BD1"/>
    <w:rsid w:val="3B4A3F00"/>
    <w:rsid w:val="3B4D1077"/>
    <w:rsid w:val="3B521AA4"/>
    <w:rsid w:val="3B530501"/>
    <w:rsid w:val="3B581673"/>
    <w:rsid w:val="3B5E2A01"/>
    <w:rsid w:val="3B680F80"/>
    <w:rsid w:val="3B7566C9"/>
    <w:rsid w:val="3B762441"/>
    <w:rsid w:val="3B8737DA"/>
    <w:rsid w:val="3B8763FC"/>
    <w:rsid w:val="3B8E778B"/>
    <w:rsid w:val="3B911029"/>
    <w:rsid w:val="3B9823B7"/>
    <w:rsid w:val="3B9D79CE"/>
    <w:rsid w:val="3BA725FA"/>
    <w:rsid w:val="3BAE3989"/>
    <w:rsid w:val="3BB929BC"/>
    <w:rsid w:val="3BCC6E16"/>
    <w:rsid w:val="3BD50F16"/>
    <w:rsid w:val="3BD57A18"/>
    <w:rsid w:val="3BDA652C"/>
    <w:rsid w:val="3BF03FA1"/>
    <w:rsid w:val="3BFF2436"/>
    <w:rsid w:val="3C053208"/>
    <w:rsid w:val="3C123F18"/>
    <w:rsid w:val="3C300842"/>
    <w:rsid w:val="3C3519B4"/>
    <w:rsid w:val="3C395948"/>
    <w:rsid w:val="3C3A346E"/>
    <w:rsid w:val="3C3C71E7"/>
    <w:rsid w:val="3C506122"/>
    <w:rsid w:val="3C616C4D"/>
    <w:rsid w:val="3C667DC0"/>
    <w:rsid w:val="3C77021F"/>
    <w:rsid w:val="3C7B7F6E"/>
    <w:rsid w:val="3C7F0E81"/>
    <w:rsid w:val="3C8A7F52"/>
    <w:rsid w:val="3C8B7826"/>
    <w:rsid w:val="3C9E57AB"/>
    <w:rsid w:val="3CA813C3"/>
    <w:rsid w:val="3CB74ABF"/>
    <w:rsid w:val="3CB925E5"/>
    <w:rsid w:val="3CBA010B"/>
    <w:rsid w:val="3CBB635D"/>
    <w:rsid w:val="3CBD7FA7"/>
    <w:rsid w:val="3CBE7BFC"/>
    <w:rsid w:val="3CCD6091"/>
    <w:rsid w:val="3CCF3BB7"/>
    <w:rsid w:val="3CE138EA"/>
    <w:rsid w:val="3CE33B06"/>
    <w:rsid w:val="3CED3725"/>
    <w:rsid w:val="3CEF6007"/>
    <w:rsid w:val="3CF655E7"/>
    <w:rsid w:val="3D001FC2"/>
    <w:rsid w:val="3D00671C"/>
    <w:rsid w:val="3D0A5382"/>
    <w:rsid w:val="3D1102C5"/>
    <w:rsid w:val="3D197528"/>
    <w:rsid w:val="3D1B6DFC"/>
    <w:rsid w:val="3D2A34E3"/>
    <w:rsid w:val="3D2A703F"/>
    <w:rsid w:val="3D3305EA"/>
    <w:rsid w:val="3D363C36"/>
    <w:rsid w:val="3D393726"/>
    <w:rsid w:val="3D3E0D3C"/>
    <w:rsid w:val="3D4225DB"/>
    <w:rsid w:val="3D4445A5"/>
    <w:rsid w:val="3D491BBB"/>
    <w:rsid w:val="3D4E0F7F"/>
    <w:rsid w:val="3D4F2F4A"/>
    <w:rsid w:val="3D5E4508"/>
    <w:rsid w:val="3D6764E5"/>
    <w:rsid w:val="3D711112"/>
    <w:rsid w:val="3D7D1865"/>
    <w:rsid w:val="3D8B21D4"/>
    <w:rsid w:val="3D9848F1"/>
    <w:rsid w:val="3D9D5A63"/>
    <w:rsid w:val="3D9F7A2D"/>
    <w:rsid w:val="3DA70690"/>
    <w:rsid w:val="3DB1150E"/>
    <w:rsid w:val="3DBC05DF"/>
    <w:rsid w:val="3DC2196D"/>
    <w:rsid w:val="3DC96858"/>
    <w:rsid w:val="3DCC520C"/>
    <w:rsid w:val="3DD73210"/>
    <w:rsid w:val="3DE2791A"/>
    <w:rsid w:val="3DE3213E"/>
    <w:rsid w:val="3DE73182"/>
    <w:rsid w:val="3DF77869"/>
    <w:rsid w:val="3DFA2EB5"/>
    <w:rsid w:val="3DFE58BF"/>
    <w:rsid w:val="3E157CEF"/>
    <w:rsid w:val="3E173A67"/>
    <w:rsid w:val="3E1E5F84"/>
    <w:rsid w:val="3E2D328B"/>
    <w:rsid w:val="3E344619"/>
    <w:rsid w:val="3E371A14"/>
    <w:rsid w:val="3E500D27"/>
    <w:rsid w:val="3E5A1BA6"/>
    <w:rsid w:val="3E6E73FF"/>
    <w:rsid w:val="3E8B5AF0"/>
    <w:rsid w:val="3EA11583"/>
    <w:rsid w:val="3EA51073"/>
    <w:rsid w:val="3EBE0387"/>
    <w:rsid w:val="3EC86B10"/>
    <w:rsid w:val="3ECB4729"/>
    <w:rsid w:val="3ED03C16"/>
    <w:rsid w:val="3ED6747E"/>
    <w:rsid w:val="3ED71449"/>
    <w:rsid w:val="3ED951C1"/>
    <w:rsid w:val="3EDE6333"/>
    <w:rsid w:val="3EE651E8"/>
    <w:rsid w:val="3EE80F60"/>
    <w:rsid w:val="3EE933A7"/>
    <w:rsid w:val="3EF913BF"/>
    <w:rsid w:val="3F055FB6"/>
    <w:rsid w:val="3F171845"/>
    <w:rsid w:val="3F1735F3"/>
    <w:rsid w:val="3F222FE0"/>
    <w:rsid w:val="3F2C52F0"/>
    <w:rsid w:val="3F322120"/>
    <w:rsid w:val="3F450160"/>
    <w:rsid w:val="3F4A7E6C"/>
    <w:rsid w:val="3F520ACF"/>
    <w:rsid w:val="3F67457A"/>
    <w:rsid w:val="3F6A7BC7"/>
    <w:rsid w:val="3F7153F9"/>
    <w:rsid w:val="3F7171A7"/>
    <w:rsid w:val="3F8E1B07"/>
    <w:rsid w:val="3F9E4F7F"/>
    <w:rsid w:val="3FA05CDE"/>
    <w:rsid w:val="3FBB0422"/>
    <w:rsid w:val="3FDB2873"/>
    <w:rsid w:val="3FE200A5"/>
    <w:rsid w:val="3FE47979"/>
    <w:rsid w:val="3FFA53EF"/>
    <w:rsid w:val="400224F5"/>
    <w:rsid w:val="400C0C7E"/>
    <w:rsid w:val="400D3374"/>
    <w:rsid w:val="400E0E9A"/>
    <w:rsid w:val="40175FA1"/>
    <w:rsid w:val="401B7113"/>
    <w:rsid w:val="401D10DD"/>
    <w:rsid w:val="401D2E8B"/>
    <w:rsid w:val="401F6C03"/>
    <w:rsid w:val="40210BCD"/>
    <w:rsid w:val="40302BBE"/>
    <w:rsid w:val="403A1C8F"/>
    <w:rsid w:val="403A57EB"/>
    <w:rsid w:val="403F1053"/>
    <w:rsid w:val="403F3199"/>
    <w:rsid w:val="40464190"/>
    <w:rsid w:val="40582115"/>
    <w:rsid w:val="40583EC3"/>
    <w:rsid w:val="405E3BCF"/>
    <w:rsid w:val="406665E0"/>
    <w:rsid w:val="40832372"/>
    <w:rsid w:val="40A35352"/>
    <w:rsid w:val="40A92971"/>
    <w:rsid w:val="40AD2461"/>
    <w:rsid w:val="40B530C4"/>
    <w:rsid w:val="40BB2DD0"/>
    <w:rsid w:val="40BE641C"/>
    <w:rsid w:val="40C559FD"/>
    <w:rsid w:val="40C94DC1"/>
    <w:rsid w:val="40D21EC7"/>
    <w:rsid w:val="40DB5220"/>
    <w:rsid w:val="40F005A0"/>
    <w:rsid w:val="40F57964"/>
    <w:rsid w:val="410D1152"/>
    <w:rsid w:val="41126768"/>
    <w:rsid w:val="41171FD0"/>
    <w:rsid w:val="411C75E7"/>
    <w:rsid w:val="411E57ED"/>
    <w:rsid w:val="41200E85"/>
    <w:rsid w:val="41270465"/>
    <w:rsid w:val="412A5BBE"/>
    <w:rsid w:val="41304771"/>
    <w:rsid w:val="41384420"/>
    <w:rsid w:val="413E57AF"/>
    <w:rsid w:val="41406E31"/>
    <w:rsid w:val="414F52C6"/>
    <w:rsid w:val="415D5C35"/>
    <w:rsid w:val="416074D3"/>
    <w:rsid w:val="41682658"/>
    <w:rsid w:val="416F7716"/>
    <w:rsid w:val="41720FB5"/>
    <w:rsid w:val="418331C2"/>
    <w:rsid w:val="419378A9"/>
    <w:rsid w:val="419453CF"/>
    <w:rsid w:val="41970A1B"/>
    <w:rsid w:val="419B675D"/>
    <w:rsid w:val="41A5138A"/>
    <w:rsid w:val="41A90E7A"/>
    <w:rsid w:val="41AD023F"/>
    <w:rsid w:val="41B15F81"/>
    <w:rsid w:val="41BD0482"/>
    <w:rsid w:val="41C0099D"/>
    <w:rsid w:val="41C2018E"/>
    <w:rsid w:val="41C537DA"/>
    <w:rsid w:val="41CF6407"/>
    <w:rsid w:val="41D34149"/>
    <w:rsid w:val="41D41C6F"/>
    <w:rsid w:val="41E974C9"/>
    <w:rsid w:val="41FF6172"/>
    <w:rsid w:val="42091919"/>
    <w:rsid w:val="420A743F"/>
    <w:rsid w:val="42156510"/>
    <w:rsid w:val="422748D1"/>
    <w:rsid w:val="423050F8"/>
    <w:rsid w:val="424741EF"/>
    <w:rsid w:val="424B1F31"/>
    <w:rsid w:val="42674891"/>
    <w:rsid w:val="426E79CE"/>
    <w:rsid w:val="42707BEA"/>
    <w:rsid w:val="4280377E"/>
    <w:rsid w:val="429A07C3"/>
    <w:rsid w:val="429A6A15"/>
    <w:rsid w:val="42A11B51"/>
    <w:rsid w:val="42AD499A"/>
    <w:rsid w:val="42AD6748"/>
    <w:rsid w:val="42BF46CD"/>
    <w:rsid w:val="42BF647C"/>
    <w:rsid w:val="42D53EF1"/>
    <w:rsid w:val="42DF267A"/>
    <w:rsid w:val="43030E0A"/>
    <w:rsid w:val="430420E0"/>
    <w:rsid w:val="430976F7"/>
    <w:rsid w:val="43104F29"/>
    <w:rsid w:val="43140575"/>
    <w:rsid w:val="432033BE"/>
    <w:rsid w:val="4326474D"/>
    <w:rsid w:val="432664FB"/>
    <w:rsid w:val="43282273"/>
    <w:rsid w:val="43364990"/>
    <w:rsid w:val="433E3844"/>
    <w:rsid w:val="434B7D0F"/>
    <w:rsid w:val="434D7F2B"/>
    <w:rsid w:val="43503578"/>
    <w:rsid w:val="436F7EA2"/>
    <w:rsid w:val="43747266"/>
    <w:rsid w:val="437B05F4"/>
    <w:rsid w:val="437C6602"/>
    <w:rsid w:val="439B47F3"/>
    <w:rsid w:val="43B27D8E"/>
    <w:rsid w:val="43B6787E"/>
    <w:rsid w:val="43BC29BB"/>
    <w:rsid w:val="43C875B2"/>
    <w:rsid w:val="43CC52F4"/>
    <w:rsid w:val="43D23F8D"/>
    <w:rsid w:val="43D30430"/>
    <w:rsid w:val="43DE2931"/>
    <w:rsid w:val="43FE2FD4"/>
    <w:rsid w:val="43FE4D82"/>
    <w:rsid w:val="4407632C"/>
    <w:rsid w:val="44093E52"/>
    <w:rsid w:val="440F6F8F"/>
    <w:rsid w:val="441F3676"/>
    <w:rsid w:val="44224F14"/>
    <w:rsid w:val="442962A2"/>
    <w:rsid w:val="442D5B26"/>
    <w:rsid w:val="442E1B0B"/>
    <w:rsid w:val="44354C47"/>
    <w:rsid w:val="4436451B"/>
    <w:rsid w:val="443A225E"/>
    <w:rsid w:val="444255B6"/>
    <w:rsid w:val="44507CD3"/>
    <w:rsid w:val="44676DCB"/>
    <w:rsid w:val="446E63AB"/>
    <w:rsid w:val="447A08AC"/>
    <w:rsid w:val="44801C3A"/>
    <w:rsid w:val="44912B1C"/>
    <w:rsid w:val="449B0822"/>
    <w:rsid w:val="44A65B45"/>
    <w:rsid w:val="44AC2A30"/>
    <w:rsid w:val="44C164DB"/>
    <w:rsid w:val="44DE708D"/>
    <w:rsid w:val="44EB3558"/>
    <w:rsid w:val="44F06DC0"/>
    <w:rsid w:val="44F12C03"/>
    <w:rsid w:val="44F22B38"/>
    <w:rsid w:val="44F41E14"/>
    <w:rsid w:val="450D34CE"/>
    <w:rsid w:val="451C7BB5"/>
    <w:rsid w:val="451E753C"/>
    <w:rsid w:val="45264D11"/>
    <w:rsid w:val="453C0257"/>
    <w:rsid w:val="4541586E"/>
    <w:rsid w:val="454D4278"/>
    <w:rsid w:val="455E01CE"/>
    <w:rsid w:val="457C2402"/>
    <w:rsid w:val="457C68A6"/>
    <w:rsid w:val="457F787C"/>
    <w:rsid w:val="45800144"/>
    <w:rsid w:val="45813EBC"/>
    <w:rsid w:val="45877724"/>
    <w:rsid w:val="45967968"/>
    <w:rsid w:val="459736E0"/>
    <w:rsid w:val="45997458"/>
    <w:rsid w:val="45A51597"/>
    <w:rsid w:val="45C142B9"/>
    <w:rsid w:val="45C81AEB"/>
    <w:rsid w:val="45D40490"/>
    <w:rsid w:val="45D65CD0"/>
    <w:rsid w:val="45F34DBA"/>
    <w:rsid w:val="460743C1"/>
    <w:rsid w:val="46164604"/>
    <w:rsid w:val="4645313C"/>
    <w:rsid w:val="46456C98"/>
    <w:rsid w:val="464949DA"/>
    <w:rsid w:val="464A039C"/>
    <w:rsid w:val="464E0242"/>
    <w:rsid w:val="464F7B16"/>
    <w:rsid w:val="46546F3A"/>
    <w:rsid w:val="466510E8"/>
    <w:rsid w:val="466E2692"/>
    <w:rsid w:val="4674757D"/>
    <w:rsid w:val="46774EA5"/>
    <w:rsid w:val="46780E1B"/>
    <w:rsid w:val="46873754"/>
    <w:rsid w:val="468E063F"/>
    <w:rsid w:val="469043B7"/>
    <w:rsid w:val="46916381"/>
    <w:rsid w:val="46942249"/>
    <w:rsid w:val="46AA2F9F"/>
    <w:rsid w:val="46B05D1B"/>
    <w:rsid w:val="46B61944"/>
    <w:rsid w:val="46BC33FE"/>
    <w:rsid w:val="46C87FF5"/>
    <w:rsid w:val="46DC75FC"/>
    <w:rsid w:val="46E62229"/>
    <w:rsid w:val="46F57F25"/>
    <w:rsid w:val="46FA3F26"/>
    <w:rsid w:val="470E1780"/>
    <w:rsid w:val="47170634"/>
    <w:rsid w:val="471A6376"/>
    <w:rsid w:val="471E5E67"/>
    <w:rsid w:val="471F1BDF"/>
    <w:rsid w:val="47213261"/>
    <w:rsid w:val="472471F5"/>
    <w:rsid w:val="47347547"/>
    <w:rsid w:val="47372C60"/>
    <w:rsid w:val="473E02B7"/>
    <w:rsid w:val="475C24EB"/>
    <w:rsid w:val="4760647F"/>
    <w:rsid w:val="47655843"/>
    <w:rsid w:val="476F66C2"/>
    <w:rsid w:val="47887784"/>
    <w:rsid w:val="47947ED7"/>
    <w:rsid w:val="47A10846"/>
    <w:rsid w:val="47A345BE"/>
    <w:rsid w:val="47AC3472"/>
    <w:rsid w:val="47B33460"/>
    <w:rsid w:val="47B40579"/>
    <w:rsid w:val="47C90A3D"/>
    <w:rsid w:val="47CF0F0F"/>
    <w:rsid w:val="47DD7AD0"/>
    <w:rsid w:val="47DE55F6"/>
    <w:rsid w:val="47E32C0C"/>
    <w:rsid w:val="47E349BA"/>
    <w:rsid w:val="47EF15B1"/>
    <w:rsid w:val="47F646ED"/>
    <w:rsid w:val="48345216"/>
    <w:rsid w:val="4839282C"/>
    <w:rsid w:val="483C7D79"/>
    <w:rsid w:val="484C255F"/>
    <w:rsid w:val="4851401A"/>
    <w:rsid w:val="48626F1D"/>
    <w:rsid w:val="48627FD5"/>
    <w:rsid w:val="48693111"/>
    <w:rsid w:val="48783354"/>
    <w:rsid w:val="487F6744"/>
    <w:rsid w:val="48847F4B"/>
    <w:rsid w:val="48892DFF"/>
    <w:rsid w:val="488A3088"/>
    <w:rsid w:val="488C32A4"/>
    <w:rsid w:val="48AB197C"/>
    <w:rsid w:val="48B16866"/>
    <w:rsid w:val="48B56357"/>
    <w:rsid w:val="48BD16AF"/>
    <w:rsid w:val="48C60564"/>
    <w:rsid w:val="48D14424"/>
    <w:rsid w:val="48DA7B6B"/>
    <w:rsid w:val="48E22EC4"/>
    <w:rsid w:val="48E409EA"/>
    <w:rsid w:val="48EA3B26"/>
    <w:rsid w:val="48EB1D78"/>
    <w:rsid w:val="49025F37"/>
    <w:rsid w:val="49125B3D"/>
    <w:rsid w:val="49184B37"/>
    <w:rsid w:val="493059DD"/>
    <w:rsid w:val="49311755"/>
    <w:rsid w:val="49374FBE"/>
    <w:rsid w:val="4950607F"/>
    <w:rsid w:val="4957740E"/>
    <w:rsid w:val="49583186"/>
    <w:rsid w:val="495A5150"/>
    <w:rsid w:val="496658A3"/>
    <w:rsid w:val="4968786D"/>
    <w:rsid w:val="497955D6"/>
    <w:rsid w:val="497C50C6"/>
    <w:rsid w:val="498447B9"/>
    <w:rsid w:val="49891591"/>
    <w:rsid w:val="49A14B2D"/>
    <w:rsid w:val="49A55F90"/>
    <w:rsid w:val="49B605D8"/>
    <w:rsid w:val="49B760FE"/>
    <w:rsid w:val="49C16F7D"/>
    <w:rsid w:val="49CA4084"/>
    <w:rsid w:val="49E07403"/>
    <w:rsid w:val="49ED38CE"/>
    <w:rsid w:val="49F835A2"/>
    <w:rsid w:val="4A056E6A"/>
    <w:rsid w:val="4A064990"/>
    <w:rsid w:val="4A161077"/>
    <w:rsid w:val="4A201EF6"/>
    <w:rsid w:val="4A2B45B8"/>
    <w:rsid w:val="4A3C6604"/>
    <w:rsid w:val="4A3E412A"/>
    <w:rsid w:val="4A443E36"/>
    <w:rsid w:val="4A484FA8"/>
    <w:rsid w:val="4A4D25BF"/>
    <w:rsid w:val="4A4E6A63"/>
    <w:rsid w:val="4A596C44"/>
    <w:rsid w:val="4A5971B6"/>
    <w:rsid w:val="4A5C4847"/>
    <w:rsid w:val="4A5D49DF"/>
    <w:rsid w:val="4A673681"/>
    <w:rsid w:val="4A677B24"/>
    <w:rsid w:val="4A6A4F1F"/>
    <w:rsid w:val="4A6F4C2B"/>
    <w:rsid w:val="4A8328E2"/>
    <w:rsid w:val="4A910BFE"/>
    <w:rsid w:val="4A917B99"/>
    <w:rsid w:val="4A981C28"/>
    <w:rsid w:val="4A9B5A20"/>
    <w:rsid w:val="4A9F106C"/>
    <w:rsid w:val="4AA06B93"/>
    <w:rsid w:val="4AA85A47"/>
    <w:rsid w:val="4AA91EEB"/>
    <w:rsid w:val="4AAB7D42"/>
    <w:rsid w:val="4AB443EC"/>
    <w:rsid w:val="4AC7359A"/>
    <w:rsid w:val="4AC76815"/>
    <w:rsid w:val="4AD827D0"/>
    <w:rsid w:val="4ADB406F"/>
    <w:rsid w:val="4AE178D7"/>
    <w:rsid w:val="4AEF3676"/>
    <w:rsid w:val="4AF33166"/>
    <w:rsid w:val="4B1650A7"/>
    <w:rsid w:val="4B2B2900"/>
    <w:rsid w:val="4B307F16"/>
    <w:rsid w:val="4B3C4B0D"/>
    <w:rsid w:val="4B490FD8"/>
    <w:rsid w:val="4B63653E"/>
    <w:rsid w:val="4B6B0F4E"/>
    <w:rsid w:val="4B702A09"/>
    <w:rsid w:val="4B751DCD"/>
    <w:rsid w:val="4B865D88"/>
    <w:rsid w:val="4BAF3531"/>
    <w:rsid w:val="4BB351BD"/>
    <w:rsid w:val="4BBD3DBC"/>
    <w:rsid w:val="4BC30D8B"/>
    <w:rsid w:val="4BC52D55"/>
    <w:rsid w:val="4BDB2578"/>
    <w:rsid w:val="4BF4363A"/>
    <w:rsid w:val="4C06511B"/>
    <w:rsid w:val="4C215AB1"/>
    <w:rsid w:val="4C251A45"/>
    <w:rsid w:val="4C2D4456"/>
    <w:rsid w:val="4C341C88"/>
    <w:rsid w:val="4C3934BD"/>
    <w:rsid w:val="4C4243A5"/>
    <w:rsid w:val="4C5B7215"/>
    <w:rsid w:val="4C6023E1"/>
    <w:rsid w:val="4C6360CA"/>
    <w:rsid w:val="4C8C5620"/>
    <w:rsid w:val="4C940979"/>
    <w:rsid w:val="4CA12FA1"/>
    <w:rsid w:val="4CA3296A"/>
    <w:rsid w:val="4CA46E0E"/>
    <w:rsid w:val="4CA50490"/>
    <w:rsid w:val="4CA81DFB"/>
    <w:rsid w:val="4CAA5AA7"/>
    <w:rsid w:val="4CBD7AE2"/>
    <w:rsid w:val="4CC36B68"/>
    <w:rsid w:val="4CC76658"/>
    <w:rsid w:val="4CCE79E7"/>
    <w:rsid w:val="4CD34FFD"/>
    <w:rsid w:val="4CD55219"/>
    <w:rsid w:val="4CDB2544"/>
    <w:rsid w:val="4CE216E4"/>
    <w:rsid w:val="4CE23492"/>
    <w:rsid w:val="4CF338F1"/>
    <w:rsid w:val="4CF3569F"/>
    <w:rsid w:val="4CF80F08"/>
    <w:rsid w:val="4CFB09F8"/>
    <w:rsid w:val="4CFB4554"/>
    <w:rsid w:val="4CFF2296"/>
    <w:rsid w:val="4D027691"/>
    <w:rsid w:val="4D063625"/>
    <w:rsid w:val="4D583754"/>
    <w:rsid w:val="4D5A571F"/>
    <w:rsid w:val="4D5B5D3F"/>
    <w:rsid w:val="4D6420F9"/>
    <w:rsid w:val="4D700A9E"/>
    <w:rsid w:val="4D871BF8"/>
    <w:rsid w:val="4D891B60"/>
    <w:rsid w:val="4D897DB2"/>
    <w:rsid w:val="4D8B58D8"/>
    <w:rsid w:val="4D8E53C8"/>
    <w:rsid w:val="4D9F75D5"/>
    <w:rsid w:val="4DB43081"/>
    <w:rsid w:val="4DB7491F"/>
    <w:rsid w:val="4DBC0187"/>
    <w:rsid w:val="4DC1579E"/>
    <w:rsid w:val="4DC23BC1"/>
    <w:rsid w:val="4DC808DA"/>
    <w:rsid w:val="4DC96B69"/>
    <w:rsid w:val="4DD21759"/>
    <w:rsid w:val="4DDD3C5A"/>
    <w:rsid w:val="4DE1199C"/>
    <w:rsid w:val="4DE35714"/>
    <w:rsid w:val="4DE65204"/>
    <w:rsid w:val="4DEE5E67"/>
    <w:rsid w:val="4DF571F5"/>
    <w:rsid w:val="4DF94F37"/>
    <w:rsid w:val="4E105DDD"/>
    <w:rsid w:val="4E1458CD"/>
    <w:rsid w:val="4E1D7B05"/>
    <w:rsid w:val="4E1E499E"/>
    <w:rsid w:val="4E261AA5"/>
    <w:rsid w:val="4E2A50F1"/>
    <w:rsid w:val="4E2F2707"/>
    <w:rsid w:val="4E3715BC"/>
    <w:rsid w:val="4E4A7541"/>
    <w:rsid w:val="4E6273EC"/>
    <w:rsid w:val="4E654D13"/>
    <w:rsid w:val="4E726A98"/>
    <w:rsid w:val="4E850579"/>
    <w:rsid w:val="4E915170"/>
    <w:rsid w:val="4E9C3B15"/>
    <w:rsid w:val="4EA02117"/>
    <w:rsid w:val="4EA84268"/>
    <w:rsid w:val="4EC72940"/>
    <w:rsid w:val="4ED7041B"/>
    <w:rsid w:val="4EDD2163"/>
    <w:rsid w:val="4EDD6607"/>
    <w:rsid w:val="4EDE5EDB"/>
    <w:rsid w:val="4EE31050"/>
    <w:rsid w:val="4EE338B3"/>
    <w:rsid w:val="4EF13E61"/>
    <w:rsid w:val="4F0A0A7E"/>
    <w:rsid w:val="4F0C47F7"/>
    <w:rsid w:val="4F18319B"/>
    <w:rsid w:val="4F204746"/>
    <w:rsid w:val="4F22226C"/>
    <w:rsid w:val="4F3A75B6"/>
    <w:rsid w:val="4F3F2E1E"/>
    <w:rsid w:val="4F5166AD"/>
    <w:rsid w:val="4F560168"/>
    <w:rsid w:val="4F672375"/>
    <w:rsid w:val="4F716D4F"/>
    <w:rsid w:val="4F734876"/>
    <w:rsid w:val="4F7456AE"/>
    <w:rsid w:val="4F793C97"/>
    <w:rsid w:val="4F7B372A"/>
    <w:rsid w:val="4F9111A0"/>
    <w:rsid w:val="4F974A08"/>
    <w:rsid w:val="4FBE01E7"/>
    <w:rsid w:val="4FD84023"/>
    <w:rsid w:val="4FDD6193"/>
    <w:rsid w:val="4FF40030"/>
    <w:rsid w:val="50153B7F"/>
    <w:rsid w:val="501778F7"/>
    <w:rsid w:val="501C4F0D"/>
    <w:rsid w:val="501F49FD"/>
    <w:rsid w:val="50267B3A"/>
    <w:rsid w:val="502E69EF"/>
    <w:rsid w:val="50395ABF"/>
    <w:rsid w:val="503C1682"/>
    <w:rsid w:val="50463D38"/>
    <w:rsid w:val="504B75A0"/>
    <w:rsid w:val="505B3C87"/>
    <w:rsid w:val="50642410"/>
    <w:rsid w:val="50680152"/>
    <w:rsid w:val="50697A27"/>
    <w:rsid w:val="50722D7F"/>
    <w:rsid w:val="507A1C34"/>
    <w:rsid w:val="508C2093"/>
    <w:rsid w:val="508E40A3"/>
    <w:rsid w:val="508F56DF"/>
    <w:rsid w:val="5096098F"/>
    <w:rsid w:val="50A373DC"/>
    <w:rsid w:val="50B52C6C"/>
    <w:rsid w:val="50B67110"/>
    <w:rsid w:val="50CA4969"/>
    <w:rsid w:val="50D650BC"/>
    <w:rsid w:val="50D94BAC"/>
    <w:rsid w:val="50DD28EE"/>
    <w:rsid w:val="50DE21C3"/>
    <w:rsid w:val="50E13F2A"/>
    <w:rsid w:val="50E579F5"/>
    <w:rsid w:val="50E61077"/>
    <w:rsid w:val="50E757FA"/>
    <w:rsid w:val="50F73284"/>
    <w:rsid w:val="50FC089B"/>
    <w:rsid w:val="51134562"/>
    <w:rsid w:val="51167BAE"/>
    <w:rsid w:val="5119769F"/>
    <w:rsid w:val="512978E2"/>
    <w:rsid w:val="51402E7D"/>
    <w:rsid w:val="51450494"/>
    <w:rsid w:val="514566E6"/>
    <w:rsid w:val="514F4E6E"/>
    <w:rsid w:val="515C2822"/>
    <w:rsid w:val="5167665C"/>
    <w:rsid w:val="51695F30"/>
    <w:rsid w:val="516A7EFA"/>
    <w:rsid w:val="516E79EA"/>
    <w:rsid w:val="517843C5"/>
    <w:rsid w:val="517A638F"/>
    <w:rsid w:val="517B3EB5"/>
    <w:rsid w:val="517D19DC"/>
    <w:rsid w:val="51852020"/>
    <w:rsid w:val="51894824"/>
    <w:rsid w:val="51907961"/>
    <w:rsid w:val="519136D9"/>
    <w:rsid w:val="51945D80"/>
    <w:rsid w:val="519F1952"/>
    <w:rsid w:val="51B523BE"/>
    <w:rsid w:val="51B64EEE"/>
    <w:rsid w:val="51BB3490"/>
    <w:rsid w:val="51C15D6C"/>
    <w:rsid w:val="51C27C6F"/>
    <w:rsid w:val="51CC4711"/>
    <w:rsid w:val="51E25CE3"/>
    <w:rsid w:val="51E76792"/>
    <w:rsid w:val="51EC090F"/>
    <w:rsid w:val="51F003FF"/>
    <w:rsid w:val="51FA60F1"/>
    <w:rsid w:val="520159A6"/>
    <w:rsid w:val="5208399B"/>
    <w:rsid w:val="521045FE"/>
    <w:rsid w:val="521560B8"/>
    <w:rsid w:val="52262073"/>
    <w:rsid w:val="522D1654"/>
    <w:rsid w:val="52374280"/>
    <w:rsid w:val="5238328E"/>
    <w:rsid w:val="52483D98"/>
    <w:rsid w:val="524B1ADA"/>
    <w:rsid w:val="52662470"/>
    <w:rsid w:val="526D37FE"/>
    <w:rsid w:val="52770B21"/>
    <w:rsid w:val="52833022"/>
    <w:rsid w:val="52860D64"/>
    <w:rsid w:val="52957917"/>
    <w:rsid w:val="52974D1F"/>
    <w:rsid w:val="52A03BD4"/>
    <w:rsid w:val="52AB2578"/>
    <w:rsid w:val="52BC6534"/>
    <w:rsid w:val="52C04276"/>
    <w:rsid w:val="52C651A1"/>
    <w:rsid w:val="52DB4C0C"/>
    <w:rsid w:val="52E02222"/>
    <w:rsid w:val="52E141EC"/>
    <w:rsid w:val="52E55A8A"/>
    <w:rsid w:val="52EC506B"/>
    <w:rsid w:val="52F04AE9"/>
    <w:rsid w:val="52F97788"/>
    <w:rsid w:val="530F48B5"/>
    <w:rsid w:val="532E7431"/>
    <w:rsid w:val="5334431C"/>
    <w:rsid w:val="53424C8B"/>
    <w:rsid w:val="53530C46"/>
    <w:rsid w:val="53576BF3"/>
    <w:rsid w:val="535A6478"/>
    <w:rsid w:val="536015B5"/>
    <w:rsid w:val="53755060"/>
    <w:rsid w:val="53807561"/>
    <w:rsid w:val="53AC35C3"/>
    <w:rsid w:val="53B65679"/>
    <w:rsid w:val="53B731A2"/>
    <w:rsid w:val="53BA0CC5"/>
    <w:rsid w:val="53C953AC"/>
    <w:rsid w:val="53CE29C2"/>
    <w:rsid w:val="53D17DBD"/>
    <w:rsid w:val="53D665BC"/>
    <w:rsid w:val="53DD2C05"/>
    <w:rsid w:val="53E0223F"/>
    <w:rsid w:val="53E2021C"/>
    <w:rsid w:val="53F046E7"/>
    <w:rsid w:val="53F1220D"/>
    <w:rsid w:val="53F561A1"/>
    <w:rsid w:val="53FC752F"/>
    <w:rsid w:val="54161C73"/>
    <w:rsid w:val="54181E8F"/>
    <w:rsid w:val="541A1764"/>
    <w:rsid w:val="541C372E"/>
    <w:rsid w:val="54240834"/>
    <w:rsid w:val="5438608E"/>
    <w:rsid w:val="54414F42"/>
    <w:rsid w:val="544D38E7"/>
    <w:rsid w:val="545509EE"/>
    <w:rsid w:val="54572372"/>
    <w:rsid w:val="546E1AAF"/>
    <w:rsid w:val="546E385E"/>
    <w:rsid w:val="547075D6"/>
    <w:rsid w:val="54751090"/>
    <w:rsid w:val="54837309"/>
    <w:rsid w:val="548412D3"/>
    <w:rsid w:val="5488491F"/>
    <w:rsid w:val="548E5CAE"/>
    <w:rsid w:val="54921C42"/>
    <w:rsid w:val="5492579E"/>
    <w:rsid w:val="54BC281B"/>
    <w:rsid w:val="54C07EA1"/>
    <w:rsid w:val="54C811C0"/>
    <w:rsid w:val="54CA318A"/>
    <w:rsid w:val="54D10E25"/>
    <w:rsid w:val="54DE6C35"/>
    <w:rsid w:val="54F931B7"/>
    <w:rsid w:val="550146D2"/>
    <w:rsid w:val="552E598B"/>
    <w:rsid w:val="55322ADD"/>
    <w:rsid w:val="553E76D4"/>
    <w:rsid w:val="55452F55"/>
    <w:rsid w:val="555B0286"/>
    <w:rsid w:val="556709D9"/>
    <w:rsid w:val="55804813"/>
    <w:rsid w:val="55990DAE"/>
    <w:rsid w:val="559A7000"/>
    <w:rsid w:val="559B51B9"/>
    <w:rsid w:val="559E63C4"/>
    <w:rsid w:val="55AC0AE1"/>
    <w:rsid w:val="55B17635"/>
    <w:rsid w:val="55C349B6"/>
    <w:rsid w:val="55C51BA3"/>
    <w:rsid w:val="55C73B6D"/>
    <w:rsid w:val="55E93AE3"/>
    <w:rsid w:val="55E95892"/>
    <w:rsid w:val="55F10BEA"/>
    <w:rsid w:val="55F5289B"/>
    <w:rsid w:val="55FA5282"/>
    <w:rsid w:val="55FB6015"/>
    <w:rsid w:val="55FD758F"/>
    <w:rsid w:val="5604091D"/>
    <w:rsid w:val="56051FA0"/>
    <w:rsid w:val="56130B60"/>
    <w:rsid w:val="561B17C3"/>
    <w:rsid w:val="562513C5"/>
    <w:rsid w:val="56301712"/>
    <w:rsid w:val="563A433F"/>
    <w:rsid w:val="564B20A8"/>
    <w:rsid w:val="56513437"/>
    <w:rsid w:val="5656230A"/>
    <w:rsid w:val="565E627F"/>
    <w:rsid w:val="56617B1E"/>
    <w:rsid w:val="56660C90"/>
    <w:rsid w:val="56680EAC"/>
    <w:rsid w:val="56694C24"/>
    <w:rsid w:val="566E3FE9"/>
    <w:rsid w:val="56737851"/>
    <w:rsid w:val="56861332"/>
    <w:rsid w:val="568A343A"/>
    <w:rsid w:val="56925F29"/>
    <w:rsid w:val="56AD2D63"/>
    <w:rsid w:val="56B0015D"/>
    <w:rsid w:val="56B23ED5"/>
    <w:rsid w:val="56B55774"/>
    <w:rsid w:val="56CB143B"/>
    <w:rsid w:val="56DB78D0"/>
    <w:rsid w:val="56E322E1"/>
    <w:rsid w:val="56EB5639"/>
    <w:rsid w:val="56F95FA8"/>
    <w:rsid w:val="56FB3ACE"/>
    <w:rsid w:val="56FC33A3"/>
    <w:rsid w:val="56FE711B"/>
    <w:rsid w:val="57016C0B"/>
    <w:rsid w:val="5711443D"/>
    <w:rsid w:val="57144B90"/>
    <w:rsid w:val="572052E3"/>
    <w:rsid w:val="572C012C"/>
    <w:rsid w:val="5730129E"/>
    <w:rsid w:val="57315742"/>
    <w:rsid w:val="5737087F"/>
    <w:rsid w:val="57465100"/>
    <w:rsid w:val="57511940"/>
    <w:rsid w:val="575136EE"/>
    <w:rsid w:val="575925A3"/>
    <w:rsid w:val="575E22AF"/>
    <w:rsid w:val="575E23F2"/>
    <w:rsid w:val="576378C6"/>
    <w:rsid w:val="57792C45"/>
    <w:rsid w:val="577A0ADC"/>
    <w:rsid w:val="578F2469"/>
    <w:rsid w:val="578F25E2"/>
    <w:rsid w:val="579D2DD8"/>
    <w:rsid w:val="57AF3476"/>
    <w:rsid w:val="57B036AB"/>
    <w:rsid w:val="57BB325E"/>
    <w:rsid w:val="57BD0D84"/>
    <w:rsid w:val="57E53AFB"/>
    <w:rsid w:val="57EE53E1"/>
    <w:rsid w:val="57F50B12"/>
    <w:rsid w:val="57FF5DE3"/>
    <w:rsid w:val="58003759"/>
    <w:rsid w:val="580C1D0B"/>
    <w:rsid w:val="58150BC0"/>
    <w:rsid w:val="581B1F4E"/>
    <w:rsid w:val="581F1A3E"/>
    <w:rsid w:val="581F559B"/>
    <w:rsid w:val="582232DD"/>
    <w:rsid w:val="58254B7B"/>
    <w:rsid w:val="582A135F"/>
    <w:rsid w:val="58313520"/>
    <w:rsid w:val="58323126"/>
    <w:rsid w:val="58346B6C"/>
    <w:rsid w:val="58417C07"/>
    <w:rsid w:val="58461A08"/>
    <w:rsid w:val="584C59E9"/>
    <w:rsid w:val="58501BF8"/>
    <w:rsid w:val="58507E4A"/>
    <w:rsid w:val="58523BC2"/>
    <w:rsid w:val="58541621"/>
    <w:rsid w:val="58564D34"/>
    <w:rsid w:val="586B07E0"/>
    <w:rsid w:val="586C4558"/>
    <w:rsid w:val="587A0A23"/>
    <w:rsid w:val="587C29ED"/>
    <w:rsid w:val="587D6765"/>
    <w:rsid w:val="58922210"/>
    <w:rsid w:val="58D565A1"/>
    <w:rsid w:val="58D75E75"/>
    <w:rsid w:val="58DC7930"/>
    <w:rsid w:val="58E3481A"/>
    <w:rsid w:val="58FB707C"/>
    <w:rsid w:val="590D7AE9"/>
    <w:rsid w:val="591168DD"/>
    <w:rsid w:val="591F781C"/>
    <w:rsid w:val="59266DFD"/>
    <w:rsid w:val="592D361A"/>
    <w:rsid w:val="592D3CE7"/>
    <w:rsid w:val="593432C8"/>
    <w:rsid w:val="59350DEE"/>
    <w:rsid w:val="59486D73"/>
    <w:rsid w:val="59594ADC"/>
    <w:rsid w:val="59611BE3"/>
    <w:rsid w:val="596D09B6"/>
    <w:rsid w:val="596D4A2C"/>
    <w:rsid w:val="59723DF0"/>
    <w:rsid w:val="59732375"/>
    <w:rsid w:val="597436C4"/>
    <w:rsid w:val="597E4B39"/>
    <w:rsid w:val="5980475F"/>
    <w:rsid w:val="59815DE1"/>
    <w:rsid w:val="599124C8"/>
    <w:rsid w:val="59941FB8"/>
    <w:rsid w:val="59A87812"/>
    <w:rsid w:val="59B14918"/>
    <w:rsid w:val="59BD150F"/>
    <w:rsid w:val="59CF2FF0"/>
    <w:rsid w:val="59E56370"/>
    <w:rsid w:val="59F667CF"/>
    <w:rsid w:val="59FE7432"/>
    <w:rsid w:val="5A105AE3"/>
    <w:rsid w:val="5A113609"/>
    <w:rsid w:val="5A1530F9"/>
    <w:rsid w:val="5A1804F3"/>
    <w:rsid w:val="5A290952"/>
    <w:rsid w:val="5A3A490E"/>
    <w:rsid w:val="5A403EEE"/>
    <w:rsid w:val="5A44753A"/>
    <w:rsid w:val="5A490FF5"/>
    <w:rsid w:val="5A5534F6"/>
    <w:rsid w:val="5A731BCE"/>
    <w:rsid w:val="5A736072"/>
    <w:rsid w:val="5A767910"/>
    <w:rsid w:val="5A820063"/>
    <w:rsid w:val="5A87203E"/>
    <w:rsid w:val="5A9B4805"/>
    <w:rsid w:val="5AA93841"/>
    <w:rsid w:val="5AAB580B"/>
    <w:rsid w:val="5AAC50E0"/>
    <w:rsid w:val="5ABD109B"/>
    <w:rsid w:val="5ABF4E13"/>
    <w:rsid w:val="5AC8016B"/>
    <w:rsid w:val="5ADA1FF9"/>
    <w:rsid w:val="5ADC59C5"/>
    <w:rsid w:val="5AF2343A"/>
    <w:rsid w:val="5AF34ABD"/>
    <w:rsid w:val="5AF96577"/>
    <w:rsid w:val="5B0311A3"/>
    <w:rsid w:val="5B084A0C"/>
    <w:rsid w:val="5B0D3DD0"/>
    <w:rsid w:val="5B0E18F6"/>
    <w:rsid w:val="5B1038C0"/>
    <w:rsid w:val="5B184523"/>
    <w:rsid w:val="5B1C7B22"/>
    <w:rsid w:val="5B1F58B2"/>
    <w:rsid w:val="5B484E08"/>
    <w:rsid w:val="5B5163B3"/>
    <w:rsid w:val="5B523ED9"/>
    <w:rsid w:val="5B5B0FE0"/>
    <w:rsid w:val="5B6065F6"/>
    <w:rsid w:val="5B835E40"/>
    <w:rsid w:val="5B914A01"/>
    <w:rsid w:val="5BAD7361"/>
    <w:rsid w:val="5BCC5A39"/>
    <w:rsid w:val="5BD13050"/>
    <w:rsid w:val="5BD26DC8"/>
    <w:rsid w:val="5BD3501A"/>
    <w:rsid w:val="5BD448EE"/>
    <w:rsid w:val="5BDE751B"/>
    <w:rsid w:val="5BF907F8"/>
    <w:rsid w:val="5C1B076F"/>
    <w:rsid w:val="5C221AFD"/>
    <w:rsid w:val="5C245875"/>
    <w:rsid w:val="5C2A5C42"/>
    <w:rsid w:val="5C381321"/>
    <w:rsid w:val="5C537F09"/>
    <w:rsid w:val="5C6735EF"/>
    <w:rsid w:val="5C7560D1"/>
    <w:rsid w:val="5C7812C7"/>
    <w:rsid w:val="5C7D6D34"/>
    <w:rsid w:val="5C846314"/>
    <w:rsid w:val="5C86208C"/>
    <w:rsid w:val="5C8C341B"/>
    <w:rsid w:val="5C961BA3"/>
    <w:rsid w:val="5C967DF5"/>
    <w:rsid w:val="5C9A41EB"/>
    <w:rsid w:val="5CA73DB1"/>
    <w:rsid w:val="5CB52971"/>
    <w:rsid w:val="5CC2508E"/>
    <w:rsid w:val="5CC44962"/>
    <w:rsid w:val="5CC52489"/>
    <w:rsid w:val="5CD251BD"/>
    <w:rsid w:val="5CDA45F8"/>
    <w:rsid w:val="5CE172C2"/>
    <w:rsid w:val="5CE943C9"/>
    <w:rsid w:val="5CF07506"/>
    <w:rsid w:val="5CF76AE6"/>
    <w:rsid w:val="5CF84057"/>
    <w:rsid w:val="5D015BB7"/>
    <w:rsid w:val="5D041D1A"/>
    <w:rsid w:val="5D0B2591"/>
    <w:rsid w:val="5D123920"/>
    <w:rsid w:val="5D211ECF"/>
    <w:rsid w:val="5D431D2B"/>
    <w:rsid w:val="5D445AA3"/>
    <w:rsid w:val="5D5F2B4D"/>
    <w:rsid w:val="5D6B3030"/>
    <w:rsid w:val="5D6D0B56"/>
    <w:rsid w:val="5D706898"/>
    <w:rsid w:val="5D7874FB"/>
    <w:rsid w:val="5D867E6A"/>
    <w:rsid w:val="5D8A5BAC"/>
    <w:rsid w:val="5D8B722E"/>
    <w:rsid w:val="5D9702C9"/>
    <w:rsid w:val="5D9E6F62"/>
    <w:rsid w:val="5DA12EF6"/>
    <w:rsid w:val="5DA327CA"/>
    <w:rsid w:val="5DA54E78"/>
    <w:rsid w:val="5DA6050C"/>
    <w:rsid w:val="5DAB5B22"/>
    <w:rsid w:val="5DB26D32"/>
    <w:rsid w:val="5DB42C29"/>
    <w:rsid w:val="5DB87AC1"/>
    <w:rsid w:val="5DB9023F"/>
    <w:rsid w:val="5DC015CE"/>
    <w:rsid w:val="5DC0622F"/>
    <w:rsid w:val="5DC866D4"/>
    <w:rsid w:val="5DCD7847"/>
    <w:rsid w:val="5DD21301"/>
    <w:rsid w:val="5DD40BD5"/>
    <w:rsid w:val="5DE3706A"/>
    <w:rsid w:val="5DE40447"/>
    <w:rsid w:val="5DE828D3"/>
    <w:rsid w:val="5DED7EE9"/>
    <w:rsid w:val="5DF03535"/>
    <w:rsid w:val="5E0F7E5F"/>
    <w:rsid w:val="5E113BD7"/>
    <w:rsid w:val="5E1C432A"/>
    <w:rsid w:val="5E20206C"/>
    <w:rsid w:val="5E2579DF"/>
    <w:rsid w:val="5E343D6A"/>
    <w:rsid w:val="5E3B0C54"/>
    <w:rsid w:val="5E474598"/>
    <w:rsid w:val="5E543AC4"/>
    <w:rsid w:val="5E547F68"/>
    <w:rsid w:val="5E581806"/>
    <w:rsid w:val="5E5E4943"/>
    <w:rsid w:val="5E6C52B2"/>
    <w:rsid w:val="5E6C5EE5"/>
    <w:rsid w:val="5E767EDE"/>
    <w:rsid w:val="5E7B3747"/>
    <w:rsid w:val="5E873E9A"/>
    <w:rsid w:val="5E89488E"/>
    <w:rsid w:val="5E965803"/>
    <w:rsid w:val="5EB10F16"/>
    <w:rsid w:val="5EB6652D"/>
    <w:rsid w:val="5ECE2406"/>
    <w:rsid w:val="5ECF26F0"/>
    <w:rsid w:val="5EE906B0"/>
    <w:rsid w:val="5EF3152F"/>
    <w:rsid w:val="5EF4540A"/>
    <w:rsid w:val="5EF552A7"/>
    <w:rsid w:val="5EFC4888"/>
    <w:rsid w:val="5EFC565C"/>
    <w:rsid w:val="5F1119B5"/>
    <w:rsid w:val="5F2142EE"/>
    <w:rsid w:val="5F221E14"/>
    <w:rsid w:val="5F313E05"/>
    <w:rsid w:val="5F3A0F0C"/>
    <w:rsid w:val="5F3C1128"/>
    <w:rsid w:val="5F4A1345"/>
    <w:rsid w:val="5F5226F9"/>
    <w:rsid w:val="5F557AF4"/>
    <w:rsid w:val="5F645F89"/>
    <w:rsid w:val="5F7C32D2"/>
    <w:rsid w:val="5FC30F01"/>
    <w:rsid w:val="5FC42012"/>
    <w:rsid w:val="5FD21144"/>
    <w:rsid w:val="5FD41360"/>
    <w:rsid w:val="5FD96977"/>
    <w:rsid w:val="5FDC1FC3"/>
    <w:rsid w:val="5FDE5D3B"/>
    <w:rsid w:val="5FE07D05"/>
    <w:rsid w:val="5FF612D7"/>
    <w:rsid w:val="60052883"/>
    <w:rsid w:val="60082DB8"/>
    <w:rsid w:val="60114AF7"/>
    <w:rsid w:val="60121E89"/>
    <w:rsid w:val="60145C01"/>
    <w:rsid w:val="60196D73"/>
    <w:rsid w:val="60261490"/>
    <w:rsid w:val="60343BAD"/>
    <w:rsid w:val="60453A0D"/>
    <w:rsid w:val="60483AFC"/>
    <w:rsid w:val="605424A1"/>
    <w:rsid w:val="605E50CE"/>
    <w:rsid w:val="60714E01"/>
    <w:rsid w:val="60716BAF"/>
    <w:rsid w:val="60730B79"/>
    <w:rsid w:val="607641C6"/>
    <w:rsid w:val="607E751E"/>
    <w:rsid w:val="608F7035"/>
    <w:rsid w:val="60AC7BE7"/>
    <w:rsid w:val="60AE00AB"/>
    <w:rsid w:val="60B42F40"/>
    <w:rsid w:val="60B937EC"/>
    <w:rsid w:val="60BB7E2A"/>
    <w:rsid w:val="60D55390"/>
    <w:rsid w:val="60D61108"/>
    <w:rsid w:val="60D63B28"/>
    <w:rsid w:val="60DD4245"/>
    <w:rsid w:val="60E92BEA"/>
    <w:rsid w:val="60F670B5"/>
    <w:rsid w:val="610417D1"/>
    <w:rsid w:val="61077514"/>
    <w:rsid w:val="610B0DB2"/>
    <w:rsid w:val="611D2893"/>
    <w:rsid w:val="612956DC"/>
    <w:rsid w:val="612B4FB0"/>
    <w:rsid w:val="613025C6"/>
    <w:rsid w:val="61332749"/>
    <w:rsid w:val="61333E65"/>
    <w:rsid w:val="61363955"/>
    <w:rsid w:val="613A51F3"/>
    <w:rsid w:val="61412A26"/>
    <w:rsid w:val="614A07D9"/>
    <w:rsid w:val="614C3178"/>
    <w:rsid w:val="6166248C"/>
    <w:rsid w:val="61671D60"/>
    <w:rsid w:val="616B1851"/>
    <w:rsid w:val="616B7AA3"/>
    <w:rsid w:val="61785D1C"/>
    <w:rsid w:val="617C4873"/>
    <w:rsid w:val="618111C0"/>
    <w:rsid w:val="61840B64"/>
    <w:rsid w:val="61850469"/>
    <w:rsid w:val="618741B1"/>
    <w:rsid w:val="618C33ED"/>
    <w:rsid w:val="619C7C5C"/>
    <w:rsid w:val="61A92379"/>
    <w:rsid w:val="61AD3C17"/>
    <w:rsid w:val="61B76844"/>
    <w:rsid w:val="61BF7DEE"/>
    <w:rsid w:val="61C84EF5"/>
    <w:rsid w:val="61CD250B"/>
    <w:rsid w:val="61CF66AB"/>
    <w:rsid w:val="61D07906"/>
    <w:rsid w:val="61D70C94"/>
    <w:rsid w:val="61DE0274"/>
    <w:rsid w:val="61E67129"/>
    <w:rsid w:val="61EA4E6B"/>
    <w:rsid w:val="61F07FA8"/>
    <w:rsid w:val="61F23D20"/>
    <w:rsid w:val="61F41846"/>
    <w:rsid w:val="61FF01EB"/>
    <w:rsid w:val="62092E18"/>
    <w:rsid w:val="620D46B6"/>
    <w:rsid w:val="621023F8"/>
    <w:rsid w:val="62145A44"/>
    <w:rsid w:val="621A6DD3"/>
    <w:rsid w:val="621C0D9D"/>
    <w:rsid w:val="622B0FE0"/>
    <w:rsid w:val="624F5912"/>
    <w:rsid w:val="62500A46"/>
    <w:rsid w:val="62570027"/>
    <w:rsid w:val="625C73EB"/>
    <w:rsid w:val="626B0651"/>
    <w:rsid w:val="628726BA"/>
    <w:rsid w:val="62894684"/>
    <w:rsid w:val="628F77C1"/>
    <w:rsid w:val="62BB05B6"/>
    <w:rsid w:val="62BB6808"/>
    <w:rsid w:val="62C3746A"/>
    <w:rsid w:val="62CE02E9"/>
    <w:rsid w:val="62D11B87"/>
    <w:rsid w:val="62D653F0"/>
    <w:rsid w:val="62DB47B4"/>
    <w:rsid w:val="62E01DCA"/>
    <w:rsid w:val="62EE7829"/>
    <w:rsid w:val="63025FD8"/>
    <w:rsid w:val="630C0E11"/>
    <w:rsid w:val="631303F2"/>
    <w:rsid w:val="63175732"/>
    <w:rsid w:val="631B2E02"/>
    <w:rsid w:val="631E0FCF"/>
    <w:rsid w:val="63220635"/>
    <w:rsid w:val="6329551F"/>
    <w:rsid w:val="632E69D9"/>
    <w:rsid w:val="633640E0"/>
    <w:rsid w:val="63367F79"/>
    <w:rsid w:val="633914DA"/>
    <w:rsid w:val="63422A85"/>
    <w:rsid w:val="634E4F86"/>
    <w:rsid w:val="63534C92"/>
    <w:rsid w:val="63612F0B"/>
    <w:rsid w:val="636447A9"/>
    <w:rsid w:val="63690012"/>
    <w:rsid w:val="636C365E"/>
    <w:rsid w:val="63710391"/>
    <w:rsid w:val="63770981"/>
    <w:rsid w:val="6381535B"/>
    <w:rsid w:val="63862972"/>
    <w:rsid w:val="6390559E"/>
    <w:rsid w:val="63916680"/>
    <w:rsid w:val="63A948B2"/>
    <w:rsid w:val="63AD43A2"/>
    <w:rsid w:val="63BE2F70"/>
    <w:rsid w:val="63C67212"/>
    <w:rsid w:val="63D23E09"/>
    <w:rsid w:val="63D538F9"/>
    <w:rsid w:val="63DE27AE"/>
    <w:rsid w:val="63EC5374"/>
    <w:rsid w:val="63F35B2D"/>
    <w:rsid w:val="63F7561D"/>
    <w:rsid w:val="64000E11"/>
    <w:rsid w:val="64033FC2"/>
    <w:rsid w:val="64260C7B"/>
    <w:rsid w:val="6429154F"/>
    <w:rsid w:val="642F125B"/>
    <w:rsid w:val="643423CE"/>
    <w:rsid w:val="644D664B"/>
    <w:rsid w:val="64590086"/>
    <w:rsid w:val="645B3DFE"/>
    <w:rsid w:val="64630F05"/>
    <w:rsid w:val="64682077"/>
    <w:rsid w:val="646B45B5"/>
    <w:rsid w:val="646F3406"/>
    <w:rsid w:val="64713622"/>
    <w:rsid w:val="64744EC0"/>
    <w:rsid w:val="64852C29"/>
    <w:rsid w:val="64925346"/>
    <w:rsid w:val="64AD03D2"/>
    <w:rsid w:val="64AF1B57"/>
    <w:rsid w:val="64B61035"/>
    <w:rsid w:val="64B74DAD"/>
    <w:rsid w:val="64CA4AE0"/>
    <w:rsid w:val="64CB0FBF"/>
    <w:rsid w:val="64D67929"/>
    <w:rsid w:val="64DE2339"/>
    <w:rsid w:val="64EA33D4"/>
    <w:rsid w:val="64F9416E"/>
    <w:rsid w:val="651554E0"/>
    <w:rsid w:val="65181CEF"/>
    <w:rsid w:val="6518484F"/>
    <w:rsid w:val="653A1C66"/>
    <w:rsid w:val="653F727C"/>
    <w:rsid w:val="65444892"/>
    <w:rsid w:val="65474383"/>
    <w:rsid w:val="65515201"/>
    <w:rsid w:val="65600DD7"/>
    <w:rsid w:val="65622F6B"/>
    <w:rsid w:val="656F1080"/>
    <w:rsid w:val="657F58CB"/>
    <w:rsid w:val="65896749"/>
    <w:rsid w:val="6593581A"/>
    <w:rsid w:val="65962C14"/>
    <w:rsid w:val="659A600C"/>
    <w:rsid w:val="65A610A9"/>
    <w:rsid w:val="65B35574"/>
    <w:rsid w:val="65BF03BD"/>
    <w:rsid w:val="65C22647"/>
    <w:rsid w:val="65CE0600"/>
    <w:rsid w:val="65D73958"/>
    <w:rsid w:val="65DF6900"/>
    <w:rsid w:val="65E25E59"/>
    <w:rsid w:val="65F75DA9"/>
    <w:rsid w:val="660E742E"/>
    <w:rsid w:val="663C1A0D"/>
    <w:rsid w:val="663E7534"/>
    <w:rsid w:val="664F1741"/>
    <w:rsid w:val="66552ACF"/>
    <w:rsid w:val="665A3663"/>
    <w:rsid w:val="665E3732"/>
    <w:rsid w:val="66703465"/>
    <w:rsid w:val="667747F4"/>
    <w:rsid w:val="667B0788"/>
    <w:rsid w:val="668F5FE1"/>
    <w:rsid w:val="669929BC"/>
    <w:rsid w:val="66A650D9"/>
    <w:rsid w:val="66AB0941"/>
    <w:rsid w:val="66BE68C6"/>
    <w:rsid w:val="66C043ED"/>
    <w:rsid w:val="66C13477"/>
    <w:rsid w:val="66CA7019"/>
    <w:rsid w:val="66CF4630"/>
    <w:rsid w:val="66D93700"/>
    <w:rsid w:val="66D954AE"/>
    <w:rsid w:val="66E300DB"/>
    <w:rsid w:val="66EF4CD2"/>
    <w:rsid w:val="66F81DD8"/>
    <w:rsid w:val="66FB5425"/>
    <w:rsid w:val="670562A3"/>
    <w:rsid w:val="67065B78"/>
    <w:rsid w:val="670A38BA"/>
    <w:rsid w:val="67191D4F"/>
    <w:rsid w:val="672C3830"/>
    <w:rsid w:val="672F3320"/>
    <w:rsid w:val="673152EA"/>
    <w:rsid w:val="67397CFB"/>
    <w:rsid w:val="673B1CC5"/>
    <w:rsid w:val="673F7A07"/>
    <w:rsid w:val="674D37A6"/>
    <w:rsid w:val="674E7C4A"/>
    <w:rsid w:val="675E59B4"/>
    <w:rsid w:val="67801DFD"/>
    <w:rsid w:val="678278F4"/>
    <w:rsid w:val="6784541A"/>
    <w:rsid w:val="67855FCC"/>
    <w:rsid w:val="67A23AF2"/>
    <w:rsid w:val="67A41618"/>
    <w:rsid w:val="67A45ABC"/>
    <w:rsid w:val="67B101D9"/>
    <w:rsid w:val="67BD2434"/>
    <w:rsid w:val="67C1041C"/>
    <w:rsid w:val="67C73559"/>
    <w:rsid w:val="67DD4B2A"/>
    <w:rsid w:val="67E552B1"/>
    <w:rsid w:val="67E81E4D"/>
    <w:rsid w:val="67F73E3E"/>
    <w:rsid w:val="67FC2C0A"/>
    <w:rsid w:val="68064081"/>
    <w:rsid w:val="6833375F"/>
    <w:rsid w:val="685079F2"/>
    <w:rsid w:val="6852376A"/>
    <w:rsid w:val="685E5C6B"/>
    <w:rsid w:val="686235C4"/>
    <w:rsid w:val="68646FFA"/>
    <w:rsid w:val="68684D3A"/>
    <w:rsid w:val="68774F7F"/>
    <w:rsid w:val="68833924"/>
    <w:rsid w:val="688A2F04"/>
    <w:rsid w:val="68975621"/>
    <w:rsid w:val="689E250C"/>
    <w:rsid w:val="689E3091"/>
    <w:rsid w:val="68A5389A"/>
    <w:rsid w:val="68A65864"/>
    <w:rsid w:val="68B166E3"/>
    <w:rsid w:val="68C1269E"/>
    <w:rsid w:val="68C1444C"/>
    <w:rsid w:val="68C55CEA"/>
    <w:rsid w:val="68E32614"/>
    <w:rsid w:val="68E36170"/>
    <w:rsid w:val="68ED0D4F"/>
    <w:rsid w:val="68ED6FEF"/>
    <w:rsid w:val="68EF0D46"/>
    <w:rsid w:val="68F16ADF"/>
    <w:rsid w:val="68FA5365"/>
    <w:rsid w:val="68FE2FAA"/>
    <w:rsid w:val="690C3919"/>
    <w:rsid w:val="690D143F"/>
    <w:rsid w:val="69194288"/>
    <w:rsid w:val="6922313D"/>
    <w:rsid w:val="692C5D69"/>
    <w:rsid w:val="693E01B9"/>
    <w:rsid w:val="69470DF5"/>
    <w:rsid w:val="694A3C60"/>
    <w:rsid w:val="694C640B"/>
    <w:rsid w:val="69573822"/>
    <w:rsid w:val="695E731D"/>
    <w:rsid w:val="69717C20"/>
    <w:rsid w:val="698711F2"/>
    <w:rsid w:val="698A0CE2"/>
    <w:rsid w:val="698E432E"/>
    <w:rsid w:val="69912070"/>
    <w:rsid w:val="69937B96"/>
    <w:rsid w:val="699A513A"/>
    <w:rsid w:val="69B61AD7"/>
    <w:rsid w:val="69C02956"/>
    <w:rsid w:val="69C83CAA"/>
    <w:rsid w:val="69CA4D9F"/>
    <w:rsid w:val="69CD2A1A"/>
    <w:rsid w:val="69E06B54"/>
    <w:rsid w:val="69EC374B"/>
    <w:rsid w:val="69F10D61"/>
    <w:rsid w:val="69F148BD"/>
    <w:rsid w:val="69F543AD"/>
    <w:rsid w:val="69F66377"/>
    <w:rsid w:val="69FE02E4"/>
    <w:rsid w:val="6A130CD7"/>
    <w:rsid w:val="6A1A2066"/>
    <w:rsid w:val="6A1A3E14"/>
    <w:rsid w:val="6A242EE4"/>
    <w:rsid w:val="6A244C92"/>
    <w:rsid w:val="6A274783"/>
    <w:rsid w:val="6A2B4273"/>
    <w:rsid w:val="6A301889"/>
    <w:rsid w:val="6A3824EC"/>
    <w:rsid w:val="6A4B221F"/>
    <w:rsid w:val="6A554E4C"/>
    <w:rsid w:val="6A591A2A"/>
    <w:rsid w:val="6A681023"/>
    <w:rsid w:val="6A687275"/>
    <w:rsid w:val="6A6B0B13"/>
    <w:rsid w:val="6A723C50"/>
    <w:rsid w:val="6A7A2B04"/>
    <w:rsid w:val="6A8F4802"/>
    <w:rsid w:val="6A9279B6"/>
    <w:rsid w:val="6A927E4E"/>
    <w:rsid w:val="6A935974"/>
    <w:rsid w:val="6AA656A7"/>
    <w:rsid w:val="6AA83588"/>
    <w:rsid w:val="6AAD6A36"/>
    <w:rsid w:val="6AB204F0"/>
    <w:rsid w:val="6AC10733"/>
    <w:rsid w:val="6AC81AC2"/>
    <w:rsid w:val="6AD466B8"/>
    <w:rsid w:val="6AD93CCF"/>
    <w:rsid w:val="6ADB7A47"/>
    <w:rsid w:val="6ADE3093"/>
    <w:rsid w:val="6AE465A9"/>
    <w:rsid w:val="6AE663EC"/>
    <w:rsid w:val="6AEA1A38"/>
    <w:rsid w:val="6AEB57B0"/>
    <w:rsid w:val="6AEC0F62"/>
    <w:rsid w:val="6AEC14C0"/>
    <w:rsid w:val="6B081D4C"/>
    <w:rsid w:val="6B1A35C7"/>
    <w:rsid w:val="6B1B7E43"/>
    <w:rsid w:val="6B1E5B86"/>
    <w:rsid w:val="6B347157"/>
    <w:rsid w:val="6B364C7D"/>
    <w:rsid w:val="6B3727A3"/>
    <w:rsid w:val="6B4750DC"/>
    <w:rsid w:val="6B486645"/>
    <w:rsid w:val="6B52582F"/>
    <w:rsid w:val="6B607F4C"/>
    <w:rsid w:val="6B621F16"/>
    <w:rsid w:val="6B686E01"/>
    <w:rsid w:val="6B7632CC"/>
    <w:rsid w:val="6B7E03D2"/>
    <w:rsid w:val="6B7E7E55"/>
    <w:rsid w:val="6B827EC3"/>
    <w:rsid w:val="6B8C6F93"/>
    <w:rsid w:val="6B947BF6"/>
    <w:rsid w:val="6B95409A"/>
    <w:rsid w:val="6B9C5CCE"/>
    <w:rsid w:val="6BA0061E"/>
    <w:rsid w:val="6BA73DCD"/>
    <w:rsid w:val="6BBD0EFB"/>
    <w:rsid w:val="6BE64B4B"/>
    <w:rsid w:val="6BEB1F0C"/>
    <w:rsid w:val="6BF1329A"/>
    <w:rsid w:val="6BF608B1"/>
    <w:rsid w:val="6BF6265F"/>
    <w:rsid w:val="6BFB7C75"/>
    <w:rsid w:val="6C101972"/>
    <w:rsid w:val="6C1C0317"/>
    <w:rsid w:val="6C2C6080"/>
    <w:rsid w:val="6C2F3B9C"/>
    <w:rsid w:val="6C3118E9"/>
    <w:rsid w:val="6C365C3F"/>
    <w:rsid w:val="6C375151"/>
    <w:rsid w:val="6C384A25"/>
    <w:rsid w:val="6C3F4006"/>
    <w:rsid w:val="6C433504"/>
    <w:rsid w:val="6C472EBA"/>
    <w:rsid w:val="6C4909E0"/>
    <w:rsid w:val="6C564753"/>
    <w:rsid w:val="6C5A0E3F"/>
    <w:rsid w:val="6C692E30"/>
    <w:rsid w:val="6C6A77E5"/>
    <w:rsid w:val="6C6B53E0"/>
    <w:rsid w:val="6C77554D"/>
    <w:rsid w:val="6C81461E"/>
    <w:rsid w:val="6C8859AD"/>
    <w:rsid w:val="6C89702F"/>
    <w:rsid w:val="6C9003BD"/>
    <w:rsid w:val="6C953C26"/>
    <w:rsid w:val="6CA125CA"/>
    <w:rsid w:val="6CA97D11"/>
    <w:rsid w:val="6CAD71C1"/>
    <w:rsid w:val="6CB467A2"/>
    <w:rsid w:val="6CBF4A63"/>
    <w:rsid w:val="6CC91B21"/>
    <w:rsid w:val="6CD3474E"/>
    <w:rsid w:val="6CDE73AA"/>
    <w:rsid w:val="6CE150BD"/>
    <w:rsid w:val="6CE23D5D"/>
    <w:rsid w:val="6CED1CB3"/>
    <w:rsid w:val="6CF22E26"/>
    <w:rsid w:val="6D003795"/>
    <w:rsid w:val="6D042B59"/>
    <w:rsid w:val="6D082649"/>
    <w:rsid w:val="6D176D30"/>
    <w:rsid w:val="6D2356D5"/>
    <w:rsid w:val="6D2A25C0"/>
    <w:rsid w:val="6D2F5FED"/>
    <w:rsid w:val="6D45564C"/>
    <w:rsid w:val="6D5B09CB"/>
    <w:rsid w:val="6D5B4E6F"/>
    <w:rsid w:val="6D673814"/>
    <w:rsid w:val="6D68758C"/>
    <w:rsid w:val="6D714693"/>
    <w:rsid w:val="6D7E46BA"/>
    <w:rsid w:val="6D8223FC"/>
    <w:rsid w:val="6D997745"/>
    <w:rsid w:val="6DA85BDA"/>
    <w:rsid w:val="6DB14A8F"/>
    <w:rsid w:val="6DB66549"/>
    <w:rsid w:val="6DC5678C"/>
    <w:rsid w:val="6DCF13B9"/>
    <w:rsid w:val="6DEF2770"/>
    <w:rsid w:val="6DF66946"/>
    <w:rsid w:val="6DF901E4"/>
    <w:rsid w:val="6DFA4688"/>
    <w:rsid w:val="6DFB5D0A"/>
    <w:rsid w:val="6DFC5FDF"/>
    <w:rsid w:val="6E076DA5"/>
    <w:rsid w:val="6E0E3C8F"/>
    <w:rsid w:val="6E162B44"/>
    <w:rsid w:val="6E1A0886"/>
    <w:rsid w:val="6E2F772D"/>
    <w:rsid w:val="6E3556C0"/>
    <w:rsid w:val="6E4C468D"/>
    <w:rsid w:val="6E806C38"/>
    <w:rsid w:val="6E851A78"/>
    <w:rsid w:val="6E8977BA"/>
    <w:rsid w:val="6E90563A"/>
    <w:rsid w:val="6EAE5FF2"/>
    <w:rsid w:val="6EB20ABF"/>
    <w:rsid w:val="6EC15AA3"/>
    <w:rsid w:val="6EC627BC"/>
    <w:rsid w:val="6EC9215E"/>
    <w:rsid w:val="6ECB7DD2"/>
    <w:rsid w:val="6ECC76A7"/>
    <w:rsid w:val="6ED631C6"/>
    <w:rsid w:val="6ED70525"/>
    <w:rsid w:val="6ED8604B"/>
    <w:rsid w:val="6EE21242"/>
    <w:rsid w:val="6EE64C0C"/>
    <w:rsid w:val="6EE82732"/>
    <w:rsid w:val="6EE844E0"/>
    <w:rsid w:val="6EF32E85"/>
    <w:rsid w:val="6EF64E65"/>
    <w:rsid w:val="6F0A08FB"/>
    <w:rsid w:val="6F0D49FF"/>
    <w:rsid w:val="6F1572A0"/>
    <w:rsid w:val="6F190B3E"/>
    <w:rsid w:val="6F2B6AC3"/>
    <w:rsid w:val="6F2D45E9"/>
    <w:rsid w:val="6F3C65DA"/>
    <w:rsid w:val="6F451933"/>
    <w:rsid w:val="6F55769C"/>
    <w:rsid w:val="6F563B40"/>
    <w:rsid w:val="6F60051B"/>
    <w:rsid w:val="6F63625D"/>
    <w:rsid w:val="6F651DDB"/>
    <w:rsid w:val="6F6A75EB"/>
    <w:rsid w:val="6F6D49E6"/>
    <w:rsid w:val="6F7246F2"/>
    <w:rsid w:val="6F751AEC"/>
    <w:rsid w:val="6F7E3097"/>
    <w:rsid w:val="6F83444E"/>
    <w:rsid w:val="6F935C45"/>
    <w:rsid w:val="6F96218E"/>
    <w:rsid w:val="6F963F3C"/>
    <w:rsid w:val="6F9C0BD2"/>
    <w:rsid w:val="6FB40867"/>
    <w:rsid w:val="6FB86EC0"/>
    <w:rsid w:val="6FD131C7"/>
    <w:rsid w:val="6FEC0000"/>
    <w:rsid w:val="6FF173C5"/>
    <w:rsid w:val="6FFD045F"/>
    <w:rsid w:val="6FFE5F86"/>
    <w:rsid w:val="70025A76"/>
    <w:rsid w:val="70090BB2"/>
    <w:rsid w:val="701F03D6"/>
    <w:rsid w:val="7020414E"/>
    <w:rsid w:val="702459EC"/>
    <w:rsid w:val="70250B27"/>
    <w:rsid w:val="702C48A1"/>
    <w:rsid w:val="70335C2F"/>
    <w:rsid w:val="703A5210"/>
    <w:rsid w:val="703B3B29"/>
    <w:rsid w:val="70433998"/>
    <w:rsid w:val="70497201"/>
    <w:rsid w:val="70531E2E"/>
    <w:rsid w:val="70545BA6"/>
    <w:rsid w:val="705931BC"/>
    <w:rsid w:val="705F6A24"/>
    <w:rsid w:val="706202C3"/>
    <w:rsid w:val="7064403B"/>
    <w:rsid w:val="70645DE9"/>
    <w:rsid w:val="707324D0"/>
    <w:rsid w:val="707D6EAA"/>
    <w:rsid w:val="70840239"/>
    <w:rsid w:val="70912956"/>
    <w:rsid w:val="709D579F"/>
    <w:rsid w:val="70A408DB"/>
    <w:rsid w:val="70B52AE8"/>
    <w:rsid w:val="70BA3C5B"/>
    <w:rsid w:val="70C1323B"/>
    <w:rsid w:val="70D016D0"/>
    <w:rsid w:val="70D80585"/>
    <w:rsid w:val="70DF36C1"/>
    <w:rsid w:val="70E138DD"/>
    <w:rsid w:val="70EC5DDE"/>
    <w:rsid w:val="70F07921"/>
    <w:rsid w:val="70FC24C5"/>
    <w:rsid w:val="710D6480"/>
    <w:rsid w:val="71267542"/>
    <w:rsid w:val="71285068"/>
    <w:rsid w:val="712A20D3"/>
    <w:rsid w:val="712E4649"/>
    <w:rsid w:val="71324139"/>
    <w:rsid w:val="713427A8"/>
    <w:rsid w:val="713915FB"/>
    <w:rsid w:val="713A123F"/>
    <w:rsid w:val="713D663A"/>
    <w:rsid w:val="714125CE"/>
    <w:rsid w:val="714300F4"/>
    <w:rsid w:val="714D4ACF"/>
    <w:rsid w:val="715440AF"/>
    <w:rsid w:val="715E0A8A"/>
    <w:rsid w:val="71663DE2"/>
    <w:rsid w:val="716B66FC"/>
    <w:rsid w:val="717402AD"/>
    <w:rsid w:val="718F3339"/>
    <w:rsid w:val="719A3A8C"/>
    <w:rsid w:val="71B11502"/>
    <w:rsid w:val="71CB3ECE"/>
    <w:rsid w:val="71CD20B4"/>
    <w:rsid w:val="71D72C0E"/>
    <w:rsid w:val="71E371E1"/>
    <w:rsid w:val="71ED62B2"/>
    <w:rsid w:val="71F43D9A"/>
    <w:rsid w:val="71F47A9F"/>
    <w:rsid w:val="71F633B8"/>
    <w:rsid w:val="71F644AB"/>
    <w:rsid w:val="71FE401B"/>
    <w:rsid w:val="71FF51DE"/>
    <w:rsid w:val="72001B41"/>
    <w:rsid w:val="72181581"/>
    <w:rsid w:val="721B2E1F"/>
    <w:rsid w:val="72365713"/>
    <w:rsid w:val="723D0FE7"/>
    <w:rsid w:val="724C139E"/>
    <w:rsid w:val="724E7A3A"/>
    <w:rsid w:val="7258372B"/>
    <w:rsid w:val="725A74DF"/>
    <w:rsid w:val="726A16B0"/>
    <w:rsid w:val="726D6DFC"/>
    <w:rsid w:val="726D6F94"/>
    <w:rsid w:val="72802C82"/>
    <w:rsid w:val="72850298"/>
    <w:rsid w:val="72872262"/>
    <w:rsid w:val="728C1627"/>
    <w:rsid w:val="729E49EA"/>
    <w:rsid w:val="729E5C45"/>
    <w:rsid w:val="72B03567"/>
    <w:rsid w:val="72B52B61"/>
    <w:rsid w:val="72C74D55"/>
    <w:rsid w:val="72C9637F"/>
    <w:rsid w:val="72D134DE"/>
    <w:rsid w:val="72D354A8"/>
    <w:rsid w:val="72D57472"/>
    <w:rsid w:val="72E90827"/>
    <w:rsid w:val="72EB0A43"/>
    <w:rsid w:val="72EE5D1D"/>
    <w:rsid w:val="72F052AF"/>
    <w:rsid w:val="73041B05"/>
    <w:rsid w:val="730B69EF"/>
    <w:rsid w:val="731070EB"/>
    <w:rsid w:val="731E2B0E"/>
    <w:rsid w:val="73302EE9"/>
    <w:rsid w:val="73334198"/>
    <w:rsid w:val="73465C7A"/>
    <w:rsid w:val="73504D4A"/>
    <w:rsid w:val="735A7977"/>
    <w:rsid w:val="735C549D"/>
    <w:rsid w:val="736A5E0C"/>
    <w:rsid w:val="738D4520"/>
    <w:rsid w:val="73A86934"/>
    <w:rsid w:val="73B40E35"/>
    <w:rsid w:val="73B452D9"/>
    <w:rsid w:val="73B9644B"/>
    <w:rsid w:val="73C37F71"/>
    <w:rsid w:val="73F531FC"/>
    <w:rsid w:val="74122000"/>
    <w:rsid w:val="74220495"/>
    <w:rsid w:val="74253AE1"/>
    <w:rsid w:val="74341F76"/>
    <w:rsid w:val="74381A66"/>
    <w:rsid w:val="743A3291"/>
    <w:rsid w:val="74416441"/>
    <w:rsid w:val="74454183"/>
    <w:rsid w:val="744D4DE6"/>
    <w:rsid w:val="74542618"/>
    <w:rsid w:val="74714F78"/>
    <w:rsid w:val="7476433D"/>
    <w:rsid w:val="74793E2D"/>
    <w:rsid w:val="747F7695"/>
    <w:rsid w:val="74806F69"/>
    <w:rsid w:val="748527D2"/>
    <w:rsid w:val="7487654A"/>
    <w:rsid w:val="748C590E"/>
    <w:rsid w:val="749E3893"/>
    <w:rsid w:val="749F1AE5"/>
    <w:rsid w:val="74A34AF2"/>
    <w:rsid w:val="74AC7D5E"/>
    <w:rsid w:val="74B66E2F"/>
    <w:rsid w:val="74BA691F"/>
    <w:rsid w:val="74D13C69"/>
    <w:rsid w:val="74D3178F"/>
    <w:rsid w:val="74D53759"/>
    <w:rsid w:val="74E120FE"/>
    <w:rsid w:val="74E159E0"/>
    <w:rsid w:val="74E53270"/>
    <w:rsid w:val="74EA0887"/>
    <w:rsid w:val="74F11C15"/>
    <w:rsid w:val="74F553BA"/>
    <w:rsid w:val="74F6722B"/>
    <w:rsid w:val="74FF07D6"/>
    <w:rsid w:val="75087977"/>
    <w:rsid w:val="751122B7"/>
    <w:rsid w:val="751A2503"/>
    <w:rsid w:val="751A5610"/>
    <w:rsid w:val="7535244A"/>
    <w:rsid w:val="753938B5"/>
    <w:rsid w:val="753A35BC"/>
    <w:rsid w:val="75422B5F"/>
    <w:rsid w:val="754937FF"/>
    <w:rsid w:val="754D7793"/>
    <w:rsid w:val="75591A73"/>
    <w:rsid w:val="7568637B"/>
    <w:rsid w:val="756B5E6B"/>
    <w:rsid w:val="756D1BE3"/>
    <w:rsid w:val="75774810"/>
    <w:rsid w:val="75812F99"/>
    <w:rsid w:val="758807CB"/>
    <w:rsid w:val="75956A44"/>
    <w:rsid w:val="759E1D9D"/>
    <w:rsid w:val="75A82C1C"/>
    <w:rsid w:val="75A924F0"/>
    <w:rsid w:val="75B0387E"/>
    <w:rsid w:val="75BA64AB"/>
    <w:rsid w:val="75C335B1"/>
    <w:rsid w:val="75C80BC8"/>
    <w:rsid w:val="75CB06B8"/>
    <w:rsid w:val="75CB4B5C"/>
    <w:rsid w:val="75CD2682"/>
    <w:rsid w:val="75CE1F56"/>
    <w:rsid w:val="75D25EEA"/>
    <w:rsid w:val="75E17EDC"/>
    <w:rsid w:val="75E55C1E"/>
    <w:rsid w:val="75E874BC"/>
    <w:rsid w:val="75EA6D90"/>
    <w:rsid w:val="761402B1"/>
    <w:rsid w:val="76143E0D"/>
    <w:rsid w:val="76157B85"/>
    <w:rsid w:val="761B33ED"/>
    <w:rsid w:val="76285B0A"/>
    <w:rsid w:val="762D531E"/>
    <w:rsid w:val="763B3A90"/>
    <w:rsid w:val="763E532E"/>
    <w:rsid w:val="76522B87"/>
    <w:rsid w:val="767E572A"/>
    <w:rsid w:val="768B4DDB"/>
    <w:rsid w:val="76900ECE"/>
    <w:rsid w:val="76967512"/>
    <w:rsid w:val="769D3E02"/>
    <w:rsid w:val="76AF7FDA"/>
    <w:rsid w:val="76C27D0D"/>
    <w:rsid w:val="76C375E1"/>
    <w:rsid w:val="76D4359C"/>
    <w:rsid w:val="76E01F41"/>
    <w:rsid w:val="76E2215D"/>
    <w:rsid w:val="76ED668B"/>
    <w:rsid w:val="77112281"/>
    <w:rsid w:val="7713120E"/>
    <w:rsid w:val="77132317"/>
    <w:rsid w:val="771A18F7"/>
    <w:rsid w:val="771B741D"/>
    <w:rsid w:val="771F30EC"/>
    <w:rsid w:val="772A0B0D"/>
    <w:rsid w:val="7730111A"/>
    <w:rsid w:val="774249AA"/>
    <w:rsid w:val="77550B81"/>
    <w:rsid w:val="77577657"/>
    <w:rsid w:val="775D17E4"/>
    <w:rsid w:val="776E1C43"/>
    <w:rsid w:val="776E579F"/>
    <w:rsid w:val="77754D7F"/>
    <w:rsid w:val="777A05E8"/>
    <w:rsid w:val="77894387"/>
    <w:rsid w:val="77905715"/>
    <w:rsid w:val="7791148D"/>
    <w:rsid w:val="77925931"/>
    <w:rsid w:val="779F1DFC"/>
    <w:rsid w:val="77A318EC"/>
    <w:rsid w:val="77AE3DED"/>
    <w:rsid w:val="77AF64E3"/>
    <w:rsid w:val="77B358A8"/>
    <w:rsid w:val="77B934E3"/>
    <w:rsid w:val="77BA09E4"/>
    <w:rsid w:val="77BA191F"/>
    <w:rsid w:val="77BA2D12"/>
    <w:rsid w:val="77C6382D"/>
    <w:rsid w:val="77CB499F"/>
    <w:rsid w:val="77F02658"/>
    <w:rsid w:val="77F51A1C"/>
    <w:rsid w:val="77F55EC0"/>
    <w:rsid w:val="7808174F"/>
    <w:rsid w:val="78120820"/>
    <w:rsid w:val="78144598"/>
    <w:rsid w:val="781A1483"/>
    <w:rsid w:val="78215098"/>
    <w:rsid w:val="78252301"/>
    <w:rsid w:val="782A3DBC"/>
    <w:rsid w:val="783F0EE9"/>
    <w:rsid w:val="7840538D"/>
    <w:rsid w:val="7840629C"/>
    <w:rsid w:val="78462278"/>
    <w:rsid w:val="784A1D68"/>
    <w:rsid w:val="78615304"/>
    <w:rsid w:val="78632E2A"/>
    <w:rsid w:val="78762B5D"/>
    <w:rsid w:val="78774B27"/>
    <w:rsid w:val="787D6230"/>
    <w:rsid w:val="787E6D17"/>
    <w:rsid w:val="78804BB1"/>
    <w:rsid w:val="7883527A"/>
    <w:rsid w:val="78992CEF"/>
    <w:rsid w:val="78A51694"/>
    <w:rsid w:val="78AE679B"/>
    <w:rsid w:val="78BB0EB8"/>
    <w:rsid w:val="78BB40B5"/>
    <w:rsid w:val="78BE663D"/>
    <w:rsid w:val="78C93BB8"/>
    <w:rsid w:val="78D41240"/>
    <w:rsid w:val="78DD0E2E"/>
    <w:rsid w:val="78E026CC"/>
    <w:rsid w:val="78E15646"/>
    <w:rsid w:val="78E33F6B"/>
    <w:rsid w:val="78F32400"/>
    <w:rsid w:val="78F543CA"/>
    <w:rsid w:val="78F87A16"/>
    <w:rsid w:val="78FF0DA4"/>
    <w:rsid w:val="791800B8"/>
    <w:rsid w:val="791B54B2"/>
    <w:rsid w:val="79273E57"/>
    <w:rsid w:val="79297B73"/>
    <w:rsid w:val="79330A4E"/>
    <w:rsid w:val="793A002E"/>
    <w:rsid w:val="79607369"/>
    <w:rsid w:val="797C08AB"/>
    <w:rsid w:val="797D7F1B"/>
    <w:rsid w:val="798E14AF"/>
    <w:rsid w:val="799139C7"/>
    <w:rsid w:val="79921C19"/>
    <w:rsid w:val="79AE27CB"/>
    <w:rsid w:val="79C93160"/>
    <w:rsid w:val="79D264B9"/>
    <w:rsid w:val="79D7762B"/>
    <w:rsid w:val="79E45B22"/>
    <w:rsid w:val="79E85CDC"/>
    <w:rsid w:val="79F71A7C"/>
    <w:rsid w:val="7A056A5A"/>
    <w:rsid w:val="7A0D5743"/>
    <w:rsid w:val="7A100D8F"/>
    <w:rsid w:val="7A102B3D"/>
    <w:rsid w:val="7A1940E8"/>
    <w:rsid w:val="7A1E525A"/>
    <w:rsid w:val="7A1F7224"/>
    <w:rsid w:val="7A285F3F"/>
    <w:rsid w:val="7A287E87"/>
    <w:rsid w:val="7A392094"/>
    <w:rsid w:val="7A3C1B84"/>
    <w:rsid w:val="7A3C7DD6"/>
    <w:rsid w:val="7A601D17"/>
    <w:rsid w:val="7A6115EB"/>
    <w:rsid w:val="7A925C48"/>
    <w:rsid w:val="7A9B68AB"/>
    <w:rsid w:val="7AA634A2"/>
    <w:rsid w:val="7AA7253E"/>
    <w:rsid w:val="7AB4796D"/>
    <w:rsid w:val="7ABB519F"/>
    <w:rsid w:val="7ABE4C8F"/>
    <w:rsid w:val="7AC04563"/>
    <w:rsid w:val="7AC202DC"/>
    <w:rsid w:val="7AC8166A"/>
    <w:rsid w:val="7ACF47A6"/>
    <w:rsid w:val="7AD7365B"/>
    <w:rsid w:val="7AE069B4"/>
    <w:rsid w:val="7AEA6D39"/>
    <w:rsid w:val="7AF1296F"/>
    <w:rsid w:val="7AFE49FA"/>
    <w:rsid w:val="7B0408F4"/>
    <w:rsid w:val="7B0F54EB"/>
    <w:rsid w:val="7B31720F"/>
    <w:rsid w:val="7B332F87"/>
    <w:rsid w:val="7B342F77"/>
    <w:rsid w:val="7B355345"/>
    <w:rsid w:val="7B39337F"/>
    <w:rsid w:val="7B474C85"/>
    <w:rsid w:val="7B533629"/>
    <w:rsid w:val="7B551150"/>
    <w:rsid w:val="7B626777"/>
    <w:rsid w:val="7B6475E5"/>
    <w:rsid w:val="7B7535A0"/>
    <w:rsid w:val="7B7F7F7B"/>
    <w:rsid w:val="7B83645A"/>
    <w:rsid w:val="7B892BA7"/>
    <w:rsid w:val="7B8E6410"/>
    <w:rsid w:val="7B964105"/>
    <w:rsid w:val="7B9F686F"/>
    <w:rsid w:val="7BA619AB"/>
    <w:rsid w:val="7BAB6FC2"/>
    <w:rsid w:val="7BAE1B6F"/>
    <w:rsid w:val="7BB73BB8"/>
    <w:rsid w:val="7BC71922"/>
    <w:rsid w:val="7BCB31C0"/>
    <w:rsid w:val="7BD302C6"/>
    <w:rsid w:val="7BD61B65"/>
    <w:rsid w:val="7BD76009"/>
    <w:rsid w:val="7BDC53CD"/>
    <w:rsid w:val="7BE07740"/>
    <w:rsid w:val="7BE10C35"/>
    <w:rsid w:val="7BEB6F40"/>
    <w:rsid w:val="7BED25F2"/>
    <w:rsid w:val="7C0641F8"/>
    <w:rsid w:val="7C183F2B"/>
    <w:rsid w:val="7C1F52BA"/>
    <w:rsid w:val="7C2B3597"/>
    <w:rsid w:val="7C2B4AC5"/>
    <w:rsid w:val="7C32323F"/>
    <w:rsid w:val="7C492337"/>
    <w:rsid w:val="7C4D62CB"/>
    <w:rsid w:val="7C4F2043"/>
    <w:rsid w:val="7C556F2D"/>
    <w:rsid w:val="7C572CA5"/>
    <w:rsid w:val="7C6A0C2B"/>
    <w:rsid w:val="7C6F6241"/>
    <w:rsid w:val="7C8D66C7"/>
    <w:rsid w:val="7C943EFA"/>
    <w:rsid w:val="7C961A20"/>
    <w:rsid w:val="7C9C4B5C"/>
    <w:rsid w:val="7CA51C63"/>
    <w:rsid w:val="7CBA6FE1"/>
    <w:rsid w:val="7CBF08DB"/>
    <w:rsid w:val="7CCD11BA"/>
    <w:rsid w:val="7CD42548"/>
    <w:rsid w:val="7CE107C1"/>
    <w:rsid w:val="7CF95B0B"/>
    <w:rsid w:val="7D060A30"/>
    <w:rsid w:val="7D0A5F6A"/>
    <w:rsid w:val="7D0B68E9"/>
    <w:rsid w:val="7D1D3EEF"/>
    <w:rsid w:val="7D2012E9"/>
    <w:rsid w:val="7D221505"/>
    <w:rsid w:val="7D254B52"/>
    <w:rsid w:val="7D2A2168"/>
    <w:rsid w:val="7D3134F6"/>
    <w:rsid w:val="7D39684F"/>
    <w:rsid w:val="7D470F6C"/>
    <w:rsid w:val="7D494CE4"/>
    <w:rsid w:val="7D4F1BCF"/>
    <w:rsid w:val="7D4F6073"/>
    <w:rsid w:val="7D55314A"/>
    <w:rsid w:val="7D567401"/>
    <w:rsid w:val="7D60199E"/>
    <w:rsid w:val="7D603DDC"/>
    <w:rsid w:val="7D652812"/>
    <w:rsid w:val="7D6E64F9"/>
    <w:rsid w:val="7D747887"/>
    <w:rsid w:val="7D82078C"/>
    <w:rsid w:val="7D830C85"/>
    <w:rsid w:val="7D9677FD"/>
    <w:rsid w:val="7D9D293A"/>
    <w:rsid w:val="7DB12889"/>
    <w:rsid w:val="7DB3215D"/>
    <w:rsid w:val="7DBB54B6"/>
    <w:rsid w:val="7DBB7264"/>
    <w:rsid w:val="7DBF0B02"/>
    <w:rsid w:val="7DC10D1E"/>
    <w:rsid w:val="7DC46119"/>
    <w:rsid w:val="7DC600E3"/>
    <w:rsid w:val="7DC73E5B"/>
    <w:rsid w:val="7DCA74A7"/>
    <w:rsid w:val="7DCB394B"/>
    <w:rsid w:val="7DCC76C3"/>
    <w:rsid w:val="7DDD367E"/>
    <w:rsid w:val="7DF62BFD"/>
    <w:rsid w:val="7DFC3B04"/>
    <w:rsid w:val="7DFF53A3"/>
    <w:rsid w:val="7E0D5D12"/>
    <w:rsid w:val="7E152E18"/>
    <w:rsid w:val="7E306DBE"/>
    <w:rsid w:val="7E370FE0"/>
    <w:rsid w:val="7E3E7AAC"/>
    <w:rsid w:val="7E4B5BA8"/>
    <w:rsid w:val="7E573431"/>
    <w:rsid w:val="7E665422"/>
    <w:rsid w:val="7E6873EC"/>
    <w:rsid w:val="7E6B79EA"/>
    <w:rsid w:val="7E6D055E"/>
    <w:rsid w:val="7E7538B7"/>
    <w:rsid w:val="7E8A4DEA"/>
    <w:rsid w:val="7E927FC5"/>
    <w:rsid w:val="7E955D07"/>
    <w:rsid w:val="7E957AB5"/>
    <w:rsid w:val="7E98472F"/>
    <w:rsid w:val="7ECA3C03"/>
    <w:rsid w:val="7ECD724F"/>
    <w:rsid w:val="7ECF70E9"/>
    <w:rsid w:val="7ED85A8A"/>
    <w:rsid w:val="7EDC3936"/>
    <w:rsid w:val="7EE50A3C"/>
    <w:rsid w:val="7EF649F8"/>
    <w:rsid w:val="7EF667A6"/>
    <w:rsid w:val="7EFE1AFE"/>
    <w:rsid w:val="7F005876"/>
    <w:rsid w:val="7F007624"/>
    <w:rsid w:val="7F037115"/>
    <w:rsid w:val="7F080287"/>
    <w:rsid w:val="7F0C5FC9"/>
    <w:rsid w:val="7F1255AA"/>
    <w:rsid w:val="7F207CC7"/>
    <w:rsid w:val="7F2552DD"/>
    <w:rsid w:val="7F345520"/>
    <w:rsid w:val="7F3E661A"/>
    <w:rsid w:val="7F4734A5"/>
    <w:rsid w:val="7F4C286A"/>
    <w:rsid w:val="7F4C4618"/>
    <w:rsid w:val="7F54171E"/>
    <w:rsid w:val="7F5B0CFF"/>
    <w:rsid w:val="7F606315"/>
    <w:rsid w:val="7F6776A3"/>
    <w:rsid w:val="7F6C6A68"/>
    <w:rsid w:val="7F814588"/>
    <w:rsid w:val="7F8C710A"/>
    <w:rsid w:val="7F8D69DE"/>
    <w:rsid w:val="7F9A1827"/>
    <w:rsid w:val="7FA968F9"/>
    <w:rsid w:val="7FAB20C8"/>
    <w:rsid w:val="7FB84310"/>
    <w:rsid w:val="7FD60385"/>
    <w:rsid w:val="7FD8234F"/>
    <w:rsid w:val="7FE24F7C"/>
    <w:rsid w:val="7FE3518F"/>
    <w:rsid w:val="7FF058EB"/>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color w:val="E60066"/>
      <w:kern w:val="44"/>
      <w:sz w:val="33"/>
      <w:szCs w:val="33"/>
      <w:lang w:val="en-US" w:eastAsia="zh-CN" w:bidi="ar"/>
    </w:rPr>
  </w:style>
  <w:style w:type="paragraph" w:styleId="3">
    <w:name w:val="heading 2"/>
    <w:basedOn w:val="1"/>
    <w:next w:val="1"/>
    <w:qFormat/>
    <w:uiPriority w:val="0"/>
    <w:pPr>
      <w:keepNext/>
      <w:keepLines/>
      <w:spacing w:before="260" w:after="260" w:line="415" w:lineRule="auto"/>
      <w:outlineLvl w:val="1"/>
    </w:pPr>
    <w:rPr>
      <w:rFonts w:ascii="等线 Light" w:hAnsi="等线 Light" w:eastAsia="等线 Light"/>
      <w:b/>
      <w:bCs/>
      <w:sz w:val="32"/>
      <w:szCs w:val="32"/>
    </w:rPr>
  </w:style>
  <w:style w:type="paragraph" w:styleId="4">
    <w:name w:val="heading 3"/>
    <w:basedOn w:val="3"/>
    <w:next w:val="1"/>
    <w:qFormat/>
    <w:uiPriority w:val="0"/>
    <w:pPr>
      <w:keepNext/>
      <w:keepLines/>
      <w:spacing w:before="260" w:after="260" w:line="416" w:lineRule="auto"/>
      <w:outlineLvl w:val="2"/>
    </w:pPr>
    <w:rPr>
      <w:sz w:val="32"/>
      <w:szCs w:val="32"/>
    </w:rPr>
  </w:style>
  <w:style w:type="paragraph" w:styleId="5">
    <w:name w:val="heading 4"/>
    <w:basedOn w:val="4"/>
    <w:next w:val="1"/>
    <w:autoRedefine/>
    <w:qFormat/>
    <w:uiPriority w:val="9"/>
    <w:pPr>
      <w:keepNext/>
      <w:keepLines/>
      <w:spacing w:before="280" w:after="290" w:line="376" w:lineRule="auto"/>
      <w:outlineLvl w:val="3"/>
    </w:pPr>
    <w:rPr>
      <w:rFonts w:ascii="Cambria" w:hAnsi="Cambria" w:eastAsia="宋体" w:cs="Times New Roman"/>
      <w:sz w:val="24"/>
      <w:szCs w:val="28"/>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6">
    <w:name w:val="Body Text"/>
    <w:basedOn w:val="1"/>
    <w:autoRedefine/>
    <w:qFormat/>
    <w:uiPriority w:val="0"/>
    <w:pPr>
      <w:adjustRightInd w:val="0"/>
      <w:spacing w:after="60" w:line="360" w:lineRule="atLeast"/>
      <w:ind w:left="72" w:leftChars="30" w:right="30" w:rightChars="30"/>
      <w:jc w:val="center"/>
      <w:textAlignment w:val="baseline"/>
    </w:pPr>
  </w:style>
  <w:style w:type="paragraph" w:styleId="7">
    <w:name w:val="Body Text Indent"/>
    <w:basedOn w:val="1"/>
    <w:next w:val="8"/>
    <w:autoRedefine/>
    <w:qFormat/>
    <w:uiPriority w:val="0"/>
    <w:pPr>
      <w:widowControl/>
      <w:spacing w:before="100" w:beforeAutospacing="1" w:after="100" w:afterAutospacing="1"/>
      <w:jc w:val="left"/>
    </w:pPr>
    <w:rPr>
      <w:rFonts w:ascii="宋体" w:hAnsi="宋体" w:cs="宋体"/>
      <w:kern w:val="0"/>
      <w:sz w:val="24"/>
    </w:rPr>
  </w:style>
  <w:style w:type="paragraph" w:styleId="8">
    <w:name w:val="envelope return"/>
    <w:basedOn w:val="1"/>
    <w:autoRedefine/>
    <w:qFormat/>
    <w:uiPriority w:val="0"/>
    <w:pPr>
      <w:snapToGrid w:val="0"/>
    </w:pPr>
    <w:rPr>
      <w:rFonts w:ascii="Arial" w:hAnsi="Arial"/>
    </w:rPr>
  </w:style>
  <w:style w:type="paragraph" w:styleId="9">
    <w:name w:val="HTML Address"/>
    <w:basedOn w:val="1"/>
    <w:autoRedefine/>
    <w:qFormat/>
    <w:uiPriority w:val="0"/>
    <w:rPr>
      <w:i/>
    </w:rPr>
  </w:style>
  <w:style w:type="paragraph" w:styleId="10">
    <w:name w:val="Date"/>
    <w:basedOn w:val="1"/>
    <w:next w:val="1"/>
    <w:autoRedefine/>
    <w:qFormat/>
    <w:uiPriority w:val="0"/>
    <w:pPr>
      <w:ind w:left="2500" w:leftChars="2500"/>
    </w:pPr>
    <w:rPr>
      <w:kern w:val="0"/>
      <w:sz w:val="24"/>
      <w:szCs w:val="20"/>
    </w:rPr>
  </w:style>
  <w:style w:type="paragraph" w:styleId="11">
    <w:name w:val="Body Text Indent 2"/>
    <w:basedOn w:val="1"/>
    <w:qFormat/>
    <w:uiPriority w:val="0"/>
    <w:pPr>
      <w:spacing w:line="480" w:lineRule="auto"/>
      <w:ind w:left="420" w:leftChars="200"/>
    </w:p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next w:val="6"/>
    <w:autoRedefine/>
    <w:qFormat/>
    <w:uiPriority w:val="0"/>
    <w:pPr>
      <w:suppressAutoHyphens/>
      <w:jc w:val="left"/>
    </w:pPr>
    <w:rPr>
      <w:color w:val="000000"/>
      <w:kern w:val="1"/>
      <w:sz w:val="2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w:basedOn w:val="6"/>
    <w:next w:val="17"/>
    <w:autoRedefine/>
    <w:qFormat/>
    <w:uiPriority w:val="0"/>
    <w:pPr>
      <w:spacing w:after="120" w:afterLines="0"/>
      <w:ind w:firstLine="420" w:firstLineChars="100"/>
      <w:jc w:val="both"/>
    </w:pPr>
  </w:style>
  <w:style w:type="paragraph" w:styleId="17">
    <w:name w:val="Body Text First Indent 2"/>
    <w:basedOn w:val="7"/>
    <w:next w:val="18"/>
    <w:autoRedefine/>
    <w:qFormat/>
    <w:uiPriority w:val="0"/>
    <w:pPr>
      <w:tabs>
        <w:tab w:val="left" w:pos="945"/>
        <w:tab w:val="left" w:pos="1155"/>
      </w:tabs>
      <w:ind w:left="420" w:leftChars="200" w:firstLine="420" w:firstLineChars="200"/>
    </w:pPr>
  </w:style>
  <w:style w:type="paragraph" w:customStyle="1" w:styleId="18">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20">
    <w:name w:val="Table Grid"/>
    <w:basedOn w:val="19"/>
    <w:autoRedefine/>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autoRedefine/>
    <w:qFormat/>
    <w:uiPriority w:val="22"/>
    <w:rPr>
      <w:b/>
      <w:bCs/>
    </w:rPr>
  </w:style>
  <w:style w:type="character" w:styleId="23">
    <w:name w:val="page number"/>
    <w:autoRedefine/>
    <w:qFormat/>
    <w:uiPriority w:val="0"/>
  </w:style>
  <w:style w:type="character" w:styleId="24">
    <w:name w:val="FollowedHyperlink"/>
    <w:basedOn w:val="21"/>
    <w:qFormat/>
    <w:uiPriority w:val="0"/>
    <w:rPr>
      <w:color w:val="3D3D3D"/>
      <w:u w:val="none"/>
    </w:rPr>
  </w:style>
  <w:style w:type="character" w:styleId="25">
    <w:name w:val="Hyperlink"/>
    <w:basedOn w:val="21"/>
    <w:qFormat/>
    <w:uiPriority w:val="0"/>
    <w:rPr>
      <w:color w:val="3D3D3D"/>
      <w:u w:val="none"/>
    </w:rPr>
  </w:style>
  <w:style w:type="paragraph" w:customStyle="1" w:styleId="26">
    <w:name w:val="style4"/>
    <w:basedOn w:val="1"/>
    <w:next w:val="27"/>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2"/>
    <w:basedOn w:val="1"/>
    <w:next w:val="1"/>
    <w:qFormat/>
    <w:uiPriority w:val="0"/>
    <w:pPr>
      <w:adjustRightInd w:val="0"/>
      <w:spacing w:line="420" w:lineRule="atLeast"/>
      <w:ind w:left="1134" w:hanging="227"/>
      <w:textAlignment w:val="baseline"/>
    </w:pPr>
    <w:rPr>
      <w:kern w:val="0"/>
      <w:szCs w:val="20"/>
    </w:rPr>
  </w:style>
  <w:style w:type="paragraph" w:styleId="2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格式"/>
    <w:autoRedefine/>
    <w:qFormat/>
    <w:uiPriority w:val="0"/>
    <w:pPr>
      <w:spacing w:beforeLines="50" w:afterLines="50" w:line="360" w:lineRule="auto"/>
      <w:ind w:firstLine="480" w:firstLineChars="200"/>
    </w:pPr>
    <w:rPr>
      <w:rFonts w:ascii="Calibri" w:hAnsi="Calibri" w:eastAsia="宋体" w:cs="Times New Roman"/>
      <w:kern w:val="2"/>
      <w:sz w:val="24"/>
      <w:szCs w:val="22"/>
      <w:lang w:val="en-US" w:eastAsia="zh-CN" w:bidi="ar-SA"/>
    </w:rPr>
  </w:style>
  <w:style w:type="paragraph" w:customStyle="1" w:styleId="30">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31">
    <w:name w:val="Default"/>
    <w:next w:val="32"/>
    <w:autoRedefine/>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32">
    <w:name w:val="Char Char10 Char Char Char Char"/>
    <w:basedOn w:val="1"/>
    <w:next w:val="33"/>
    <w:autoRedefine/>
    <w:qFormat/>
    <w:uiPriority w:val="0"/>
    <w:rPr>
      <w:rFonts w:ascii="Calibri" w:hAnsi="Calibri"/>
      <w:kern w:val="0"/>
    </w:rPr>
  </w:style>
  <w:style w:type="paragraph" w:customStyle="1" w:styleId="33">
    <w:name w:val="xl87"/>
    <w:basedOn w:val="1"/>
    <w:next w:val="34"/>
    <w:autoRedefine/>
    <w:qFormat/>
    <w:uiPriority w:val="0"/>
    <w:pPr>
      <w:widowControl/>
      <w:shd w:val="clear" w:color="FFFFFF" w:fill="FFFFFF"/>
      <w:spacing w:before="280" w:after="280"/>
      <w:jc w:val="right"/>
    </w:pPr>
    <w:rPr>
      <w:rFonts w:ascii="宋体"/>
      <w:kern w:val="0"/>
      <w:sz w:val="24"/>
    </w:rPr>
  </w:style>
  <w:style w:type="paragraph" w:customStyle="1" w:styleId="34">
    <w:name w:val="xl72"/>
    <w:basedOn w:val="1"/>
    <w:next w:val="10"/>
    <w:autoRedefine/>
    <w:qFormat/>
    <w:uiPriority w:val="0"/>
    <w:pPr>
      <w:widowControl/>
      <w:shd w:val="clear" w:color="FFFFFF" w:fill="FFFFFF"/>
      <w:spacing w:before="280" w:after="280"/>
      <w:jc w:val="right"/>
    </w:pPr>
    <w:rPr>
      <w:rFonts w:ascii="宋体"/>
      <w:kern w:val="0"/>
      <w:sz w:val="24"/>
    </w:rPr>
  </w:style>
  <w:style w:type="paragraph" w:customStyle="1" w:styleId="35">
    <w:name w:val="Table Text"/>
    <w:basedOn w:val="1"/>
    <w:semiHidden/>
    <w:qFormat/>
    <w:uiPriority w:val="0"/>
    <w:rPr>
      <w:rFonts w:ascii="宋体" w:hAnsi="宋体" w:eastAsia="宋体" w:cs="宋体"/>
      <w:sz w:val="24"/>
      <w:szCs w:val="24"/>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 w:type="character" w:customStyle="1" w:styleId="37">
    <w:name w:val="NormalCharacter"/>
    <w:link w:val="38"/>
    <w:qFormat/>
    <w:uiPriority w:val="0"/>
    <w:rPr>
      <w:rFonts w:ascii="仿宋_GB2312" w:eastAsia="仿宋_GB2312"/>
      <w:sz w:val="24"/>
    </w:rPr>
  </w:style>
  <w:style w:type="paragraph" w:customStyle="1" w:styleId="38">
    <w:name w:val="UserStyle_0"/>
    <w:basedOn w:val="39"/>
    <w:link w:val="37"/>
    <w:qFormat/>
    <w:uiPriority w:val="0"/>
    <w:pPr>
      <w:shd w:val="clear" w:color="auto" w:fill="000080"/>
      <w:snapToGrid w:val="0"/>
      <w:spacing w:line="360" w:lineRule="auto"/>
      <w:jc w:val="both"/>
      <w:textAlignment w:val="baseline"/>
    </w:pPr>
    <w:rPr>
      <w:rFonts w:ascii="仿宋_GB2312" w:eastAsia="仿宋_GB2312"/>
      <w:sz w:val="24"/>
    </w:rPr>
  </w:style>
  <w:style w:type="paragraph" w:customStyle="1" w:styleId="39">
    <w:name w:val="NavPane"/>
    <w:basedOn w:val="1"/>
    <w:qFormat/>
    <w:uiPriority w:val="0"/>
    <w:pPr>
      <w:shd w:val="clear" w:color="auto" w:fill="000080"/>
      <w:jc w:val="both"/>
      <w:textAlignment w:val="baseline"/>
    </w:pPr>
  </w:style>
  <w:style w:type="paragraph" w:customStyle="1" w:styleId="40">
    <w:name w:val="！正文"/>
    <w:basedOn w:val="1"/>
    <w:qFormat/>
    <w:uiPriority w:val="0"/>
    <w:pPr>
      <w:spacing w:afterLines="50" w:line="400" w:lineRule="exact"/>
      <w:ind w:right="210" w:firstLine="420" w:firstLineChars="200"/>
    </w:pPr>
    <w:rPr>
      <w:rFonts w:ascii="宋体" w:hAnsi="宋体" w:eastAsia="仿宋_GB2312"/>
      <w:kern w:val="0"/>
      <w:sz w:val="24"/>
    </w:rPr>
  </w:style>
  <w:style w:type="paragraph" w:customStyle="1" w:styleId="41">
    <w:name w:val="Table Paragraph"/>
    <w:basedOn w:val="1"/>
    <w:qFormat/>
    <w:uiPriority w:val="1"/>
    <w:rPr>
      <w:rFonts w:ascii="宋体" w:hAnsi="宋体" w:eastAsia="宋体" w:cs="宋体"/>
      <w:lang w:val="zh-CN" w:eastAsia="zh-CN" w:bidi="zh-CN"/>
    </w:rPr>
  </w:style>
  <w:style w:type="paragraph" w:customStyle="1" w:styleId="42">
    <w:name w:val="标题 51"/>
    <w:basedOn w:val="1"/>
    <w:qFormat/>
    <w:uiPriority w:val="1"/>
    <w:pPr>
      <w:autoSpaceDE w:val="0"/>
      <w:autoSpaceDN w:val="0"/>
      <w:ind w:left="1274" w:hanging="634"/>
      <w:jc w:val="left"/>
      <w:outlineLvl w:val="5"/>
    </w:pPr>
    <w:rPr>
      <w:rFonts w:ascii="宋体" w:hAnsi="宋体" w:cs="宋体"/>
      <w:b/>
      <w:bCs/>
      <w:kern w:val="0"/>
      <w:szCs w:val="21"/>
      <w:lang w:val="zh-CN" w:bidi="zh-CN"/>
    </w:rPr>
  </w:style>
  <w:style w:type="paragraph" w:styleId="4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22335</Words>
  <Characters>24324</Characters>
  <Lines>0</Lines>
  <Paragraphs>0</Paragraphs>
  <TotalTime>35</TotalTime>
  <ScaleCrop>false</ScaleCrop>
  <LinksUpToDate>false</LinksUpToDate>
  <CharactersWithSpaces>25705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2024-01-03T02:42:00Z</dcterms:created>
  <dc:creator>L ～～</dc:creator>
  <cp:lastModifiedBy>肖肖</cp:lastModifiedBy>
  <cp:lastPrinted>2024-12-30T08:08:00Z</cp:lastPrinted>
  <dcterms:modified xsi:type="dcterms:W3CDTF">2025-06-25T07:36:10Z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2D421062145F42DA89846FBED0E3B3E9_13</vt:lpwstr>
  </property>
  <property fmtid="{D5CDD505-2E9C-101B-9397-08002B2CF9AE}" pid="4" name="KSOTemplateDocerSaveRecord">
    <vt:lpwstr>eyJoZGlkIjoiMWY0ZGNmZTRlYTc5MzliZWRiM2UyY2Q1YmQ4ZTE5YzQiLCJ1c2VySWQiOiIyOTM1MzYxNzIifQ==</vt:lpwstr>
  </property>
</Properties>
</file>