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pPr w:leftFromText="180" w:rightFromText="180" w:vertAnchor="page" w:horzAnchor="page" w:tblpX="1845" w:tblpY="16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420"/>
        <w:gridCol w:w="1845"/>
        <w:gridCol w:w="1380"/>
        <w:gridCol w:w="300"/>
        <w:gridCol w:w="1605"/>
        <w:gridCol w:w="1185"/>
        <w:gridCol w:w="405"/>
        <w:gridCol w:w="727"/>
      </w:tblGrid>
      <w:tr w14:paraId="0125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522" w:type="dxa"/>
            <w:gridSpan w:val="9"/>
            <w:vAlign w:val="center"/>
          </w:tcPr>
          <w:p w14:paraId="4FDDD1A3">
            <w:pPr>
              <w:pStyle w:val="18"/>
              <w:spacing w:line="440" w:lineRule="exact"/>
              <w:jc w:val="center"/>
              <w:rPr>
                <w:rFonts w:hint="eastAsia" w:ascii="宋体" w:cs="宋体"/>
                <w:b/>
                <w:bCs/>
                <w:sz w:val="24"/>
                <w:szCs w:val="24"/>
                <w:lang w:val="en-US" w:eastAsia="zh-CN"/>
              </w:rPr>
            </w:pPr>
            <w:r>
              <w:rPr>
                <w:rFonts w:hint="eastAsia" w:ascii="宋体" w:cs="宋体"/>
                <w:b/>
                <w:bCs/>
                <w:sz w:val="24"/>
                <w:szCs w:val="24"/>
                <w:lang w:val="en-US" w:eastAsia="zh-CN"/>
              </w:rPr>
              <w:t>驻马店市中心医院全自动酶免分析仪（工作站）采购项目</w:t>
            </w:r>
          </w:p>
          <w:p w14:paraId="63BCD5E3">
            <w:pPr>
              <w:pStyle w:val="18"/>
              <w:spacing w:line="440" w:lineRule="exact"/>
              <w:jc w:val="center"/>
              <w:rPr>
                <w:rFonts w:hint="eastAsia" w:ascii="宋体" w:cs="宋体"/>
                <w:sz w:val="21"/>
                <w:vertAlign w:val="baseline"/>
                <w:lang w:val="en-US" w:eastAsia="zh-CN"/>
              </w:rPr>
            </w:pPr>
            <w:r>
              <w:rPr>
                <w:rFonts w:hint="eastAsia" w:ascii="宋体" w:cs="宋体"/>
                <w:b/>
                <w:bCs/>
                <w:sz w:val="24"/>
                <w:szCs w:val="24"/>
                <w:lang w:val="en-US" w:eastAsia="zh-CN"/>
              </w:rPr>
              <w:t>未成交单位得分与排名</w:t>
            </w:r>
            <w:bookmarkStart w:id="0" w:name="_GoBack"/>
            <w:bookmarkEnd w:id="0"/>
          </w:p>
        </w:tc>
      </w:tr>
      <w:tr w14:paraId="6C0B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75" w:type="dxa"/>
            <w:gridSpan w:val="2"/>
            <w:vAlign w:val="center"/>
          </w:tcPr>
          <w:p w14:paraId="1A148E8F">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序号</w:t>
            </w:r>
          </w:p>
        </w:tc>
        <w:tc>
          <w:tcPr>
            <w:tcW w:w="3525" w:type="dxa"/>
            <w:gridSpan w:val="3"/>
            <w:vAlign w:val="center"/>
          </w:tcPr>
          <w:p w14:paraId="49A3095B">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单位名称</w:t>
            </w:r>
          </w:p>
        </w:tc>
        <w:tc>
          <w:tcPr>
            <w:tcW w:w="1605" w:type="dxa"/>
            <w:vAlign w:val="center"/>
          </w:tcPr>
          <w:p w14:paraId="5268AE2C">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得分</w:t>
            </w:r>
          </w:p>
        </w:tc>
        <w:tc>
          <w:tcPr>
            <w:tcW w:w="1185" w:type="dxa"/>
            <w:vAlign w:val="center"/>
          </w:tcPr>
          <w:p w14:paraId="3DF52515">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排名</w:t>
            </w:r>
          </w:p>
        </w:tc>
        <w:tc>
          <w:tcPr>
            <w:tcW w:w="1132" w:type="dxa"/>
            <w:gridSpan w:val="2"/>
            <w:vAlign w:val="center"/>
          </w:tcPr>
          <w:p w14:paraId="0A975C62">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备注</w:t>
            </w:r>
          </w:p>
        </w:tc>
      </w:tr>
      <w:tr w14:paraId="5342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75" w:type="dxa"/>
            <w:gridSpan w:val="2"/>
            <w:vAlign w:val="center"/>
          </w:tcPr>
          <w:p w14:paraId="09CAD96B">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1</w:t>
            </w:r>
          </w:p>
        </w:tc>
        <w:tc>
          <w:tcPr>
            <w:tcW w:w="3525" w:type="dxa"/>
            <w:gridSpan w:val="3"/>
            <w:vAlign w:val="center"/>
          </w:tcPr>
          <w:p w14:paraId="5B2DEAB1">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郑州裕禾兴生物科技有限公司</w:t>
            </w:r>
          </w:p>
        </w:tc>
        <w:tc>
          <w:tcPr>
            <w:tcW w:w="1605" w:type="dxa"/>
            <w:vAlign w:val="center"/>
          </w:tcPr>
          <w:p w14:paraId="2B536437">
            <w:pPr>
              <w:pStyle w:val="18"/>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93.0</w:t>
            </w:r>
            <w:r>
              <w:rPr>
                <w:rFonts w:hint="eastAsia" w:ascii="宋体" w:cs="宋体"/>
                <w:sz w:val="21"/>
                <w:vertAlign w:val="baseline"/>
                <w:lang w:val="en-US" w:eastAsia="zh-CN"/>
              </w:rPr>
              <w:t>0</w:t>
            </w:r>
          </w:p>
        </w:tc>
        <w:tc>
          <w:tcPr>
            <w:tcW w:w="1185" w:type="dxa"/>
            <w:vAlign w:val="center"/>
          </w:tcPr>
          <w:p w14:paraId="53C6741E">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2</w:t>
            </w:r>
          </w:p>
        </w:tc>
        <w:tc>
          <w:tcPr>
            <w:tcW w:w="1132" w:type="dxa"/>
            <w:gridSpan w:val="2"/>
            <w:vAlign w:val="center"/>
          </w:tcPr>
          <w:p w14:paraId="60F76492">
            <w:pPr>
              <w:pStyle w:val="18"/>
              <w:spacing w:line="440" w:lineRule="exact"/>
              <w:ind w:left="0" w:leftChars="0" w:firstLine="0" w:firstLineChars="0"/>
              <w:jc w:val="center"/>
              <w:rPr>
                <w:rFonts w:hint="default" w:ascii="宋体" w:cs="宋体"/>
                <w:sz w:val="21"/>
                <w:vertAlign w:val="baseline"/>
                <w:lang w:val="en-US" w:eastAsia="zh-CN"/>
              </w:rPr>
            </w:pPr>
          </w:p>
        </w:tc>
      </w:tr>
      <w:tr w14:paraId="36D8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75" w:type="dxa"/>
            <w:gridSpan w:val="2"/>
            <w:vAlign w:val="center"/>
          </w:tcPr>
          <w:p w14:paraId="0F526489">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2</w:t>
            </w:r>
          </w:p>
        </w:tc>
        <w:tc>
          <w:tcPr>
            <w:tcW w:w="3525" w:type="dxa"/>
            <w:gridSpan w:val="3"/>
            <w:vAlign w:val="center"/>
          </w:tcPr>
          <w:p w14:paraId="2DD3AFC9">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河南优迪医疗器械有限公司</w:t>
            </w:r>
          </w:p>
        </w:tc>
        <w:tc>
          <w:tcPr>
            <w:tcW w:w="1605" w:type="dxa"/>
            <w:vAlign w:val="center"/>
          </w:tcPr>
          <w:p w14:paraId="33DADC2A">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83.49</w:t>
            </w:r>
          </w:p>
        </w:tc>
        <w:tc>
          <w:tcPr>
            <w:tcW w:w="1185" w:type="dxa"/>
            <w:vAlign w:val="center"/>
          </w:tcPr>
          <w:p w14:paraId="46E27CD4">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3</w:t>
            </w:r>
          </w:p>
        </w:tc>
        <w:tc>
          <w:tcPr>
            <w:tcW w:w="1132" w:type="dxa"/>
            <w:gridSpan w:val="2"/>
            <w:vAlign w:val="center"/>
          </w:tcPr>
          <w:p w14:paraId="0EB97BB3">
            <w:pPr>
              <w:pStyle w:val="18"/>
              <w:spacing w:line="440" w:lineRule="exact"/>
              <w:ind w:left="0" w:leftChars="0" w:firstLine="0" w:firstLineChars="0"/>
              <w:jc w:val="center"/>
              <w:rPr>
                <w:rFonts w:hint="default" w:ascii="宋体" w:cs="宋体"/>
                <w:sz w:val="21"/>
                <w:vertAlign w:val="baseline"/>
                <w:lang w:val="en-US" w:eastAsia="zh-CN"/>
              </w:rPr>
            </w:pPr>
          </w:p>
        </w:tc>
      </w:tr>
      <w:tr w14:paraId="6183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75" w:type="dxa"/>
            <w:gridSpan w:val="2"/>
            <w:vAlign w:val="center"/>
          </w:tcPr>
          <w:p w14:paraId="59F46D7B">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3</w:t>
            </w:r>
          </w:p>
        </w:tc>
        <w:tc>
          <w:tcPr>
            <w:tcW w:w="3525" w:type="dxa"/>
            <w:gridSpan w:val="3"/>
            <w:vAlign w:val="center"/>
          </w:tcPr>
          <w:p w14:paraId="7CFE1416">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郑州迪恩医疗器械有限公司</w:t>
            </w:r>
          </w:p>
        </w:tc>
        <w:tc>
          <w:tcPr>
            <w:tcW w:w="1605" w:type="dxa"/>
            <w:vAlign w:val="center"/>
          </w:tcPr>
          <w:p w14:paraId="27FBB91C">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92.64</w:t>
            </w:r>
          </w:p>
        </w:tc>
        <w:tc>
          <w:tcPr>
            <w:tcW w:w="1185" w:type="dxa"/>
            <w:vAlign w:val="center"/>
          </w:tcPr>
          <w:p w14:paraId="118D29BE">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w:t>
            </w:r>
          </w:p>
        </w:tc>
        <w:tc>
          <w:tcPr>
            <w:tcW w:w="1132" w:type="dxa"/>
            <w:gridSpan w:val="2"/>
            <w:vAlign w:val="center"/>
          </w:tcPr>
          <w:p w14:paraId="240A465C">
            <w:pPr>
              <w:pStyle w:val="18"/>
              <w:spacing w:line="440" w:lineRule="exact"/>
              <w:ind w:left="0" w:leftChars="0" w:firstLine="0" w:firstLineChars="0"/>
              <w:jc w:val="center"/>
              <w:rPr>
                <w:rFonts w:hint="default" w:ascii="宋体" w:cs="宋体"/>
                <w:sz w:val="21"/>
                <w:vertAlign w:val="baseline"/>
                <w:lang w:val="en-US" w:eastAsia="zh-CN"/>
              </w:rPr>
            </w:pPr>
          </w:p>
        </w:tc>
      </w:tr>
      <w:tr w14:paraId="6EA5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522" w:type="dxa"/>
            <w:gridSpan w:val="9"/>
            <w:tcBorders>
              <w:top w:val="single" w:color="auto" w:sz="4" w:space="0"/>
              <w:left w:val="single" w:color="auto" w:sz="4" w:space="0"/>
              <w:bottom w:val="single" w:color="auto" w:sz="4" w:space="0"/>
              <w:right w:val="single" w:color="auto" w:sz="4" w:space="0"/>
            </w:tcBorders>
            <w:vAlign w:val="center"/>
          </w:tcPr>
          <w:p w14:paraId="0F556879">
            <w:pPr>
              <w:pStyle w:val="18"/>
              <w:spacing w:line="440" w:lineRule="exact"/>
              <w:jc w:val="center"/>
              <w:rPr>
                <w:rFonts w:hint="default" w:ascii="宋体" w:eastAsia="宋体" w:cs="宋体"/>
                <w:b/>
                <w:bCs/>
                <w:sz w:val="24"/>
                <w:szCs w:val="24"/>
                <w:lang w:val="en-US" w:eastAsia="zh-CN"/>
              </w:rPr>
            </w:pPr>
            <w:r>
              <w:rPr>
                <w:rFonts w:hint="default" w:ascii="宋体" w:eastAsia="宋体" w:cs="宋体"/>
                <w:b/>
                <w:bCs/>
                <w:sz w:val="21"/>
                <w:szCs w:val="21"/>
                <w:lang w:val="en-US" w:eastAsia="zh-CN"/>
              </w:rPr>
              <w:t>注：因郑州迪恩医疗器械有限公司所投产品与河南祯沃医疗器械有限公司所投产品的品牌、型号一致，根据《政府采购货物和服务招标投标管理办法》（财政部第87号令）第三十一条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河南祯沃医疗器械有限公司经综合评审后得分最高，被推荐为第一成交候选供应商，郑州迪恩医疗器械有限公司参与评审打分，但不参与最终排名。</w:t>
            </w:r>
          </w:p>
        </w:tc>
      </w:tr>
      <w:tr w14:paraId="3108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522" w:type="dxa"/>
            <w:gridSpan w:val="9"/>
            <w:tcBorders>
              <w:top w:val="single" w:color="auto" w:sz="4" w:space="0"/>
              <w:left w:val="single" w:color="auto" w:sz="4" w:space="0"/>
              <w:bottom w:val="single" w:color="auto" w:sz="4" w:space="0"/>
              <w:right w:val="single" w:color="auto" w:sz="4" w:space="0"/>
            </w:tcBorders>
            <w:vAlign w:val="center"/>
          </w:tcPr>
          <w:p w14:paraId="7E2CF2A8">
            <w:pPr>
              <w:pStyle w:val="18"/>
              <w:spacing w:line="440" w:lineRule="exact"/>
              <w:jc w:val="center"/>
              <w:rPr>
                <w:rFonts w:hint="eastAsia" w:ascii="宋体" w:eastAsia="宋体" w:cs="宋体"/>
                <w:b/>
                <w:bCs/>
                <w:sz w:val="24"/>
                <w:szCs w:val="24"/>
                <w:lang w:val="en-US" w:eastAsia="zh-CN"/>
              </w:rPr>
            </w:pPr>
            <w:r>
              <w:rPr>
                <w:rFonts w:hint="eastAsia" w:ascii="宋体" w:eastAsia="宋体" w:cs="宋体"/>
                <w:b/>
                <w:bCs/>
                <w:sz w:val="24"/>
                <w:szCs w:val="24"/>
                <w:lang w:val="en-US" w:eastAsia="zh-CN"/>
              </w:rPr>
              <w:t>驻马店市中心医院全自动酶免分析仪（工作站）采购项目</w:t>
            </w:r>
          </w:p>
          <w:p w14:paraId="193C991D">
            <w:pPr>
              <w:pStyle w:val="18"/>
              <w:spacing w:line="440" w:lineRule="exact"/>
              <w:jc w:val="center"/>
              <w:rPr>
                <w:rFonts w:hint="eastAsia" w:ascii="宋体" w:cs="宋体"/>
                <w:sz w:val="21"/>
                <w:vertAlign w:val="baseline"/>
                <w:lang w:val="en-US" w:eastAsia="zh-CN"/>
              </w:rPr>
            </w:pPr>
            <w:r>
              <w:rPr>
                <w:rFonts w:hint="eastAsia" w:ascii="宋体" w:eastAsia="宋体" w:cs="宋体"/>
                <w:b/>
                <w:bCs/>
                <w:sz w:val="24"/>
                <w:szCs w:val="24"/>
                <w:lang w:val="en-US" w:eastAsia="zh-CN"/>
              </w:rPr>
              <w:t>无效文件情况</w:t>
            </w:r>
          </w:p>
        </w:tc>
      </w:tr>
      <w:tr w14:paraId="1BA8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55" w:type="dxa"/>
            <w:tcBorders>
              <w:top w:val="single" w:color="auto" w:sz="4" w:space="0"/>
            </w:tcBorders>
            <w:vAlign w:val="center"/>
          </w:tcPr>
          <w:p w14:paraId="4EB48848">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序号</w:t>
            </w:r>
          </w:p>
        </w:tc>
        <w:tc>
          <w:tcPr>
            <w:tcW w:w="2265" w:type="dxa"/>
            <w:gridSpan w:val="2"/>
            <w:tcBorders>
              <w:top w:val="single" w:color="auto" w:sz="4" w:space="0"/>
            </w:tcBorders>
            <w:vAlign w:val="center"/>
          </w:tcPr>
          <w:p w14:paraId="330465BF">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单位名称</w:t>
            </w:r>
          </w:p>
        </w:tc>
        <w:tc>
          <w:tcPr>
            <w:tcW w:w="1380" w:type="dxa"/>
            <w:tcBorders>
              <w:top w:val="single" w:color="auto" w:sz="4" w:space="0"/>
            </w:tcBorders>
            <w:vAlign w:val="center"/>
          </w:tcPr>
          <w:p w14:paraId="1E8A5EE8">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废标节点</w:t>
            </w:r>
          </w:p>
        </w:tc>
        <w:tc>
          <w:tcPr>
            <w:tcW w:w="3495" w:type="dxa"/>
            <w:gridSpan w:val="4"/>
            <w:tcBorders>
              <w:top w:val="single" w:color="auto" w:sz="4" w:space="0"/>
            </w:tcBorders>
            <w:vAlign w:val="center"/>
          </w:tcPr>
          <w:p w14:paraId="63E00A2C">
            <w:pPr>
              <w:pStyle w:val="18"/>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废标原因</w:t>
            </w:r>
          </w:p>
        </w:tc>
        <w:tc>
          <w:tcPr>
            <w:tcW w:w="727" w:type="dxa"/>
            <w:tcBorders>
              <w:top w:val="single" w:color="auto" w:sz="4" w:space="0"/>
            </w:tcBorders>
            <w:vAlign w:val="center"/>
          </w:tcPr>
          <w:p w14:paraId="6BF8BEE1">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备注</w:t>
            </w:r>
          </w:p>
        </w:tc>
      </w:tr>
      <w:tr w14:paraId="4EDB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55" w:type="dxa"/>
            <w:vAlign w:val="center"/>
          </w:tcPr>
          <w:p w14:paraId="592AC40D">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1</w:t>
            </w:r>
          </w:p>
        </w:tc>
        <w:tc>
          <w:tcPr>
            <w:tcW w:w="2265" w:type="dxa"/>
            <w:gridSpan w:val="2"/>
            <w:vAlign w:val="center"/>
          </w:tcPr>
          <w:p w14:paraId="25BAE68E">
            <w:pPr>
              <w:pStyle w:val="18"/>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河南省厉亭商贸有限公司</w:t>
            </w:r>
          </w:p>
        </w:tc>
        <w:tc>
          <w:tcPr>
            <w:tcW w:w="1380" w:type="dxa"/>
            <w:vAlign w:val="center"/>
          </w:tcPr>
          <w:p w14:paraId="2CD19A2D">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符合性审查</w:t>
            </w:r>
          </w:p>
        </w:tc>
        <w:tc>
          <w:tcPr>
            <w:tcW w:w="3495" w:type="dxa"/>
            <w:gridSpan w:val="4"/>
            <w:vAlign w:val="center"/>
          </w:tcPr>
          <w:p w14:paraId="67A260A2">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未对采购文件第二章采购需求2.1、2.2、2.3、2.4、2.5要求进行响应</w:t>
            </w:r>
          </w:p>
        </w:tc>
        <w:tc>
          <w:tcPr>
            <w:tcW w:w="727" w:type="dxa"/>
            <w:vAlign w:val="center"/>
          </w:tcPr>
          <w:p w14:paraId="4A418E50">
            <w:pPr>
              <w:pStyle w:val="18"/>
              <w:spacing w:line="440" w:lineRule="exact"/>
              <w:ind w:left="0" w:leftChars="0" w:firstLine="0" w:firstLineChars="0"/>
              <w:jc w:val="center"/>
              <w:rPr>
                <w:rFonts w:hint="default" w:ascii="宋体" w:cs="宋体"/>
                <w:sz w:val="21"/>
                <w:vertAlign w:val="baseline"/>
                <w:lang w:val="en-US" w:eastAsia="zh-CN"/>
              </w:rPr>
            </w:pPr>
          </w:p>
        </w:tc>
      </w:tr>
      <w:tr w14:paraId="2BDA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55" w:type="dxa"/>
            <w:vAlign w:val="center"/>
          </w:tcPr>
          <w:p w14:paraId="6F1A20D7">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2</w:t>
            </w:r>
          </w:p>
        </w:tc>
        <w:tc>
          <w:tcPr>
            <w:tcW w:w="2265" w:type="dxa"/>
            <w:gridSpan w:val="2"/>
            <w:vAlign w:val="center"/>
          </w:tcPr>
          <w:p w14:paraId="5FB1AF00">
            <w:pPr>
              <w:pStyle w:val="18"/>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河南云韵医疗器械有限公司</w:t>
            </w:r>
          </w:p>
        </w:tc>
        <w:tc>
          <w:tcPr>
            <w:tcW w:w="1380" w:type="dxa"/>
            <w:vAlign w:val="center"/>
          </w:tcPr>
          <w:p w14:paraId="26B0B8D4">
            <w:pPr>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符合性审查</w:t>
            </w:r>
          </w:p>
        </w:tc>
        <w:tc>
          <w:tcPr>
            <w:tcW w:w="3495" w:type="dxa"/>
            <w:gridSpan w:val="4"/>
            <w:vAlign w:val="center"/>
          </w:tcPr>
          <w:p w14:paraId="3293C1E8">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未对采购文件第二章采购需求2.1、2.2、2.3、2.4、2.5要求进行响应</w:t>
            </w:r>
          </w:p>
        </w:tc>
        <w:tc>
          <w:tcPr>
            <w:tcW w:w="727" w:type="dxa"/>
            <w:vAlign w:val="center"/>
          </w:tcPr>
          <w:p w14:paraId="0AB13A92">
            <w:pPr>
              <w:pStyle w:val="18"/>
              <w:spacing w:line="440" w:lineRule="exact"/>
              <w:ind w:left="0" w:leftChars="0" w:firstLine="0" w:firstLineChars="0"/>
              <w:jc w:val="center"/>
              <w:rPr>
                <w:rFonts w:hint="default" w:ascii="宋体" w:cs="宋体"/>
                <w:sz w:val="21"/>
                <w:vertAlign w:val="baseline"/>
                <w:lang w:val="en-US" w:eastAsia="zh-CN"/>
              </w:rPr>
            </w:pPr>
          </w:p>
        </w:tc>
      </w:tr>
      <w:tr w14:paraId="6875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55" w:type="dxa"/>
            <w:vAlign w:val="center"/>
          </w:tcPr>
          <w:p w14:paraId="3CA5AC55">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3</w:t>
            </w:r>
          </w:p>
        </w:tc>
        <w:tc>
          <w:tcPr>
            <w:tcW w:w="2265" w:type="dxa"/>
            <w:gridSpan w:val="2"/>
            <w:vAlign w:val="center"/>
          </w:tcPr>
          <w:p w14:paraId="40A6B458">
            <w:pPr>
              <w:pStyle w:val="18"/>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河南易晟达医疗器械有限公司</w:t>
            </w:r>
          </w:p>
        </w:tc>
        <w:tc>
          <w:tcPr>
            <w:tcW w:w="1380" w:type="dxa"/>
            <w:vAlign w:val="center"/>
          </w:tcPr>
          <w:p w14:paraId="5831C078">
            <w:pPr>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符合性审查</w:t>
            </w:r>
          </w:p>
        </w:tc>
        <w:tc>
          <w:tcPr>
            <w:tcW w:w="3495" w:type="dxa"/>
            <w:gridSpan w:val="4"/>
            <w:vAlign w:val="center"/>
          </w:tcPr>
          <w:p w14:paraId="4563A3A9">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未对采购文件第二章采购需求2.1、2.2、2.3、2.4、2.5要求进行响应</w:t>
            </w:r>
          </w:p>
        </w:tc>
        <w:tc>
          <w:tcPr>
            <w:tcW w:w="727" w:type="dxa"/>
            <w:vAlign w:val="center"/>
          </w:tcPr>
          <w:p w14:paraId="3BD73F29">
            <w:pPr>
              <w:pStyle w:val="18"/>
              <w:spacing w:line="440" w:lineRule="exact"/>
              <w:ind w:left="0" w:leftChars="0" w:firstLine="0" w:firstLineChars="0"/>
              <w:jc w:val="center"/>
              <w:rPr>
                <w:rFonts w:hint="default" w:ascii="宋体" w:cs="宋体"/>
                <w:sz w:val="21"/>
                <w:vertAlign w:val="baseline"/>
                <w:lang w:val="en-US" w:eastAsia="zh-CN"/>
              </w:rPr>
            </w:pPr>
          </w:p>
        </w:tc>
      </w:tr>
      <w:tr w14:paraId="26A7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55" w:type="dxa"/>
            <w:vAlign w:val="center"/>
          </w:tcPr>
          <w:p w14:paraId="105C661C">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4</w:t>
            </w:r>
          </w:p>
        </w:tc>
        <w:tc>
          <w:tcPr>
            <w:tcW w:w="2265" w:type="dxa"/>
            <w:gridSpan w:val="2"/>
            <w:vAlign w:val="center"/>
          </w:tcPr>
          <w:p w14:paraId="0786D921">
            <w:pPr>
              <w:pStyle w:val="18"/>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河南秦冠医疗用品有限公司</w:t>
            </w:r>
          </w:p>
        </w:tc>
        <w:tc>
          <w:tcPr>
            <w:tcW w:w="1380" w:type="dxa"/>
            <w:vAlign w:val="center"/>
          </w:tcPr>
          <w:p w14:paraId="0C2ADAE3">
            <w:pPr>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符合性审查</w:t>
            </w:r>
          </w:p>
        </w:tc>
        <w:tc>
          <w:tcPr>
            <w:tcW w:w="3495" w:type="dxa"/>
            <w:gridSpan w:val="4"/>
            <w:vAlign w:val="center"/>
          </w:tcPr>
          <w:p w14:paraId="2EC07449">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未对采购文件第二章采购需求2.1、2.2、2.3、2.4、2.5要求进行响应</w:t>
            </w:r>
          </w:p>
        </w:tc>
        <w:tc>
          <w:tcPr>
            <w:tcW w:w="727" w:type="dxa"/>
            <w:vAlign w:val="center"/>
          </w:tcPr>
          <w:p w14:paraId="44D078F1">
            <w:pPr>
              <w:pStyle w:val="18"/>
              <w:spacing w:line="440" w:lineRule="exact"/>
              <w:ind w:left="0" w:leftChars="0" w:firstLine="0" w:firstLineChars="0"/>
              <w:jc w:val="center"/>
              <w:rPr>
                <w:rFonts w:hint="default" w:ascii="宋体" w:cs="宋体"/>
                <w:sz w:val="21"/>
                <w:vertAlign w:val="baseline"/>
                <w:lang w:val="en-US" w:eastAsia="zh-CN"/>
              </w:rPr>
            </w:pPr>
          </w:p>
        </w:tc>
      </w:tr>
    </w:tbl>
    <w:p w14:paraId="758C3444">
      <w:pPr>
        <w:tabs>
          <w:tab w:val="left" w:pos="3486"/>
        </w:tabs>
        <w:bidi w:val="0"/>
        <w:jc w:val="left"/>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宋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zZTk1NzZiMTcxOTU4MDEwM2VkMmQ5ZjExMTQ1ZDgifQ=="/>
  </w:docVars>
  <w:rsids>
    <w:rsidRoot w:val="2B8F56AA"/>
    <w:rsid w:val="00047D4B"/>
    <w:rsid w:val="000823AC"/>
    <w:rsid w:val="000C1FF9"/>
    <w:rsid w:val="000D4E9E"/>
    <w:rsid w:val="00101104"/>
    <w:rsid w:val="001360AE"/>
    <w:rsid w:val="001B09C1"/>
    <w:rsid w:val="001C2A21"/>
    <w:rsid w:val="00203266"/>
    <w:rsid w:val="002329FD"/>
    <w:rsid w:val="00236425"/>
    <w:rsid w:val="00286645"/>
    <w:rsid w:val="003E75B5"/>
    <w:rsid w:val="004B6CF7"/>
    <w:rsid w:val="004F1618"/>
    <w:rsid w:val="00530BC1"/>
    <w:rsid w:val="00591150"/>
    <w:rsid w:val="006378BF"/>
    <w:rsid w:val="006651AA"/>
    <w:rsid w:val="006A28E0"/>
    <w:rsid w:val="00754EDF"/>
    <w:rsid w:val="00843254"/>
    <w:rsid w:val="00851EC9"/>
    <w:rsid w:val="00897797"/>
    <w:rsid w:val="009C74C1"/>
    <w:rsid w:val="00A90173"/>
    <w:rsid w:val="00BD6592"/>
    <w:rsid w:val="00C21130"/>
    <w:rsid w:val="00C331C5"/>
    <w:rsid w:val="00D926E1"/>
    <w:rsid w:val="00E11EE7"/>
    <w:rsid w:val="00E4277A"/>
    <w:rsid w:val="00EB00B1"/>
    <w:rsid w:val="00F47299"/>
    <w:rsid w:val="00FA2DBA"/>
    <w:rsid w:val="00FC157D"/>
    <w:rsid w:val="017F0AD9"/>
    <w:rsid w:val="01BB3030"/>
    <w:rsid w:val="01D23809"/>
    <w:rsid w:val="01F33630"/>
    <w:rsid w:val="02492F45"/>
    <w:rsid w:val="02A00385"/>
    <w:rsid w:val="02C13B5B"/>
    <w:rsid w:val="02E708A5"/>
    <w:rsid w:val="02F24907"/>
    <w:rsid w:val="03165FB1"/>
    <w:rsid w:val="033F3780"/>
    <w:rsid w:val="03483348"/>
    <w:rsid w:val="035E63D7"/>
    <w:rsid w:val="03802BEC"/>
    <w:rsid w:val="039C1F85"/>
    <w:rsid w:val="03B07FA1"/>
    <w:rsid w:val="03E3359A"/>
    <w:rsid w:val="04117523"/>
    <w:rsid w:val="04471852"/>
    <w:rsid w:val="049727D9"/>
    <w:rsid w:val="04B213F8"/>
    <w:rsid w:val="04FF03D6"/>
    <w:rsid w:val="052D4D57"/>
    <w:rsid w:val="05306C95"/>
    <w:rsid w:val="060519C4"/>
    <w:rsid w:val="065E2E82"/>
    <w:rsid w:val="068437AF"/>
    <w:rsid w:val="07E95CD0"/>
    <w:rsid w:val="07F43A9E"/>
    <w:rsid w:val="08302226"/>
    <w:rsid w:val="083746A0"/>
    <w:rsid w:val="0842480A"/>
    <w:rsid w:val="086B1834"/>
    <w:rsid w:val="09057F6C"/>
    <w:rsid w:val="093337F0"/>
    <w:rsid w:val="095D5764"/>
    <w:rsid w:val="09886B94"/>
    <w:rsid w:val="09A26AB6"/>
    <w:rsid w:val="09B52ED8"/>
    <w:rsid w:val="09DB3CA3"/>
    <w:rsid w:val="0A151234"/>
    <w:rsid w:val="0A6A3D8E"/>
    <w:rsid w:val="0A9D041D"/>
    <w:rsid w:val="0AA52874"/>
    <w:rsid w:val="0ACC59CA"/>
    <w:rsid w:val="0B826DE8"/>
    <w:rsid w:val="0BD93A0F"/>
    <w:rsid w:val="0C8957EB"/>
    <w:rsid w:val="0D0A300F"/>
    <w:rsid w:val="0E056543"/>
    <w:rsid w:val="0E323572"/>
    <w:rsid w:val="0E693225"/>
    <w:rsid w:val="0F45018B"/>
    <w:rsid w:val="0FC9515F"/>
    <w:rsid w:val="100E76C7"/>
    <w:rsid w:val="10405AC8"/>
    <w:rsid w:val="107675FA"/>
    <w:rsid w:val="10AC580A"/>
    <w:rsid w:val="10D31A47"/>
    <w:rsid w:val="10D968B0"/>
    <w:rsid w:val="11141968"/>
    <w:rsid w:val="11363B05"/>
    <w:rsid w:val="11CC5D43"/>
    <w:rsid w:val="125A6BF4"/>
    <w:rsid w:val="12983853"/>
    <w:rsid w:val="12CE3168"/>
    <w:rsid w:val="13247404"/>
    <w:rsid w:val="134432F1"/>
    <w:rsid w:val="137F733C"/>
    <w:rsid w:val="13AD6B4C"/>
    <w:rsid w:val="14215C1B"/>
    <w:rsid w:val="142B0273"/>
    <w:rsid w:val="14393A0E"/>
    <w:rsid w:val="14CF71A0"/>
    <w:rsid w:val="14F26345"/>
    <w:rsid w:val="1582093B"/>
    <w:rsid w:val="159E329B"/>
    <w:rsid w:val="15AA0544"/>
    <w:rsid w:val="16116FAA"/>
    <w:rsid w:val="163B151A"/>
    <w:rsid w:val="1645376D"/>
    <w:rsid w:val="16493207"/>
    <w:rsid w:val="1680548D"/>
    <w:rsid w:val="172364B1"/>
    <w:rsid w:val="17281577"/>
    <w:rsid w:val="178F346C"/>
    <w:rsid w:val="17CF346B"/>
    <w:rsid w:val="17E40634"/>
    <w:rsid w:val="1817112C"/>
    <w:rsid w:val="181A1A01"/>
    <w:rsid w:val="186F1F37"/>
    <w:rsid w:val="188C00C4"/>
    <w:rsid w:val="19CF336F"/>
    <w:rsid w:val="19E25477"/>
    <w:rsid w:val="19F4467A"/>
    <w:rsid w:val="1A051B3B"/>
    <w:rsid w:val="1A484908"/>
    <w:rsid w:val="1A6D4AAE"/>
    <w:rsid w:val="1A9829AF"/>
    <w:rsid w:val="1AC225DB"/>
    <w:rsid w:val="1B4E306E"/>
    <w:rsid w:val="1B6F63D9"/>
    <w:rsid w:val="1B9C0DB0"/>
    <w:rsid w:val="1BC872C4"/>
    <w:rsid w:val="1C0C5FCF"/>
    <w:rsid w:val="1C11389C"/>
    <w:rsid w:val="1C7A1229"/>
    <w:rsid w:val="1C805F4D"/>
    <w:rsid w:val="1CFC037B"/>
    <w:rsid w:val="1D187DD7"/>
    <w:rsid w:val="1D9B7D74"/>
    <w:rsid w:val="1DA04055"/>
    <w:rsid w:val="1DB93368"/>
    <w:rsid w:val="1DF17A60"/>
    <w:rsid w:val="1E6E4153"/>
    <w:rsid w:val="1EA506D6"/>
    <w:rsid w:val="1EB140A9"/>
    <w:rsid w:val="1EE21909"/>
    <w:rsid w:val="1F736266"/>
    <w:rsid w:val="1FC013B2"/>
    <w:rsid w:val="20385E45"/>
    <w:rsid w:val="20C30E7A"/>
    <w:rsid w:val="20FC3C98"/>
    <w:rsid w:val="21985B5B"/>
    <w:rsid w:val="2212402F"/>
    <w:rsid w:val="22131ECC"/>
    <w:rsid w:val="22393715"/>
    <w:rsid w:val="2245246F"/>
    <w:rsid w:val="227B32F8"/>
    <w:rsid w:val="228E6FE6"/>
    <w:rsid w:val="22B2301A"/>
    <w:rsid w:val="22FD7D58"/>
    <w:rsid w:val="231338B5"/>
    <w:rsid w:val="23601777"/>
    <w:rsid w:val="23735872"/>
    <w:rsid w:val="23810773"/>
    <w:rsid w:val="238D18AA"/>
    <w:rsid w:val="23B11D2B"/>
    <w:rsid w:val="23B213C1"/>
    <w:rsid w:val="23F6460F"/>
    <w:rsid w:val="24207C9D"/>
    <w:rsid w:val="24826790"/>
    <w:rsid w:val="24D43721"/>
    <w:rsid w:val="25083B12"/>
    <w:rsid w:val="25444F3A"/>
    <w:rsid w:val="254E43DE"/>
    <w:rsid w:val="255319AC"/>
    <w:rsid w:val="256B1920"/>
    <w:rsid w:val="260A2BE9"/>
    <w:rsid w:val="26684A38"/>
    <w:rsid w:val="26B06F5F"/>
    <w:rsid w:val="26CC2BAE"/>
    <w:rsid w:val="26D375FD"/>
    <w:rsid w:val="26DB60FD"/>
    <w:rsid w:val="27247E9F"/>
    <w:rsid w:val="27942C06"/>
    <w:rsid w:val="279C1EF2"/>
    <w:rsid w:val="27E82DB0"/>
    <w:rsid w:val="280B0999"/>
    <w:rsid w:val="289B40D4"/>
    <w:rsid w:val="28AC38B3"/>
    <w:rsid w:val="28B44E58"/>
    <w:rsid w:val="28C4636D"/>
    <w:rsid w:val="29540456"/>
    <w:rsid w:val="29571FC3"/>
    <w:rsid w:val="29891E41"/>
    <w:rsid w:val="29FA0F90"/>
    <w:rsid w:val="29FB0865"/>
    <w:rsid w:val="2A1C0719"/>
    <w:rsid w:val="2A5F214E"/>
    <w:rsid w:val="2A6D5668"/>
    <w:rsid w:val="2A756198"/>
    <w:rsid w:val="2A965B56"/>
    <w:rsid w:val="2AC87FD0"/>
    <w:rsid w:val="2ACB39D3"/>
    <w:rsid w:val="2B1E66C7"/>
    <w:rsid w:val="2B8E1990"/>
    <w:rsid w:val="2B8F56AA"/>
    <w:rsid w:val="2C354849"/>
    <w:rsid w:val="2C516892"/>
    <w:rsid w:val="2C5223C6"/>
    <w:rsid w:val="2C895D5B"/>
    <w:rsid w:val="2CB05936"/>
    <w:rsid w:val="2CFE339D"/>
    <w:rsid w:val="2D7F3EA9"/>
    <w:rsid w:val="2D826F7D"/>
    <w:rsid w:val="2D946C06"/>
    <w:rsid w:val="2D9D235F"/>
    <w:rsid w:val="2DDC5F12"/>
    <w:rsid w:val="2DFE19B4"/>
    <w:rsid w:val="2E6F6F4B"/>
    <w:rsid w:val="2E896EDD"/>
    <w:rsid w:val="2E8C4FC8"/>
    <w:rsid w:val="2EF97A69"/>
    <w:rsid w:val="2F457EB2"/>
    <w:rsid w:val="2F6F21BB"/>
    <w:rsid w:val="2F8D5700"/>
    <w:rsid w:val="2FE14FD2"/>
    <w:rsid w:val="304B7576"/>
    <w:rsid w:val="306D01F1"/>
    <w:rsid w:val="307C24D8"/>
    <w:rsid w:val="30B525B4"/>
    <w:rsid w:val="30DD1343"/>
    <w:rsid w:val="30EF0655"/>
    <w:rsid w:val="310B3A83"/>
    <w:rsid w:val="310F3573"/>
    <w:rsid w:val="31630F7B"/>
    <w:rsid w:val="317B29B7"/>
    <w:rsid w:val="31F970B7"/>
    <w:rsid w:val="32007000"/>
    <w:rsid w:val="32421947"/>
    <w:rsid w:val="326A5408"/>
    <w:rsid w:val="326E7E26"/>
    <w:rsid w:val="32715B68"/>
    <w:rsid w:val="3276344F"/>
    <w:rsid w:val="32E715B5"/>
    <w:rsid w:val="33826993"/>
    <w:rsid w:val="338F274A"/>
    <w:rsid w:val="33995376"/>
    <w:rsid w:val="33E9252B"/>
    <w:rsid w:val="34016873"/>
    <w:rsid w:val="34AE30A3"/>
    <w:rsid w:val="34F6672C"/>
    <w:rsid w:val="35193E05"/>
    <w:rsid w:val="359009FB"/>
    <w:rsid w:val="35917D75"/>
    <w:rsid w:val="35FA07DE"/>
    <w:rsid w:val="36052B73"/>
    <w:rsid w:val="365E4F6F"/>
    <w:rsid w:val="3676374D"/>
    <w:rsid w:val="36D7032C"/>
    <w:rsid w:val="36DF2570"/>
    <w:rsid w:val="36F24C45"/>
    <w:rsid w:val="36FC6348"/>
    <w:rsid w:val="373B6D0B"/>
    <w:rsid w:val="37517D16"/>
    <w:rsid w:val="382948BE"/>
    <w:rsid w:val="382B019A"/>
    <w:rsid w:val="385C6972"/>
    <w:rsid w:val="386C3FC1"/>
    <w:rsid w:val="387C06BA"/>
    <w:rsid w:val="38BD3192"/>
    <w:rsid w:val="38C92CE7"/>
    <w:rsid w:val="395E2B25"/>
    <w:rsid w:val="397625DF"/>
    <w:rsid w:val="39E84727"/>
    <w:rsid w:val="3A3D4F91"/>
    <w:rsid w:val="3AB84FB4"/>
    <w:rsid w:val="3AF51365"/>
    <w:rsid w:val="3BAC3B76"/>
    <w:rsid w:val="3BC0467C"/>
    <w:rsid w:val="3C15129C"/>
    <w:rsid w:val="3C6368DB"/>
    <w:rsid w:val="3C6D7641"/>
    <w:rsid w:val="3C7060DA"/>
    <w:rsid w:val="3C82497F"/>
    <w:rsid w:val="3C826242"/>
    <w:rsid w:val="3CEA6C43"/>
    <w:rsid w:val="3CF77608"/>
    <w:rsid w:val="3DCC459A"/>
    <w:rsid w:val="3E447774"/>
    <w:rsid w:val="3E86706F"/>
    <w:rsid w:val="3E953565"/>
    <w:rsid w:val="3EE85404"/>
    <w:rsid w:val="3F145EF5"/>
    <w:rsid w:val="3FB5178A"/>
    <w:rsid w:val="3FE45BCB"/>
    <w:rsid w:val="40151953"/>
    <w:rsid w:val="40635C59"/>
    <w:rsid w:val="40CE4EB8"/>
    <w:rsid w:val="412C7419"/>
    <w:rsid w:val="417575EA"/>
    <w:rsid w:val="418103E9"/>
    <w:rsid w:val="41C061C4"/>
    <w:rsid w:val="422D15AD"/>
    <w:rsid w:val="429E596F"/>
    <w:rsid w:val="42F45931"/>
    <w:rsid w:val="431B5635"/>
    <w:rsid w:val="43302C6B"/>
    <w:rsid w:val="436D237B"/>
    <w:rsid w:val="43C04A36"/>
    <w:rsid w:val="44127B31"/>
    <w:rsid w:val="44202F4A"/>
    <w:rsid w:val="4432405C"/>
    <w:rsid w:val="44324779"/>
    <w:rsid w:val="44472C8C"/>
    <w:rsid w:val="44492A28"/>
    <w:rsid w:val="446812D2"/>
    <w:rsid w:val="44694FE1"/>
    <w:rsid w:val="44BD23C8"/>
    <w:rsid w:val="44F00B6E"/>
    <w:rsid w:val="45007839"/>
    <w:rsid w:val="453B74B5"/>
    <w:rsid w:val="453C5D54"/>
    <w:rsid w:val="45CB509E"/>
    <w:rsid w:val="45E666D4"/>
    <w:rsid w:val="463B050F"/>
    <w:rsid w:val="4642189D"/>
    <w:rsid w:val="46552E19"/>
    <w:rsid w:val="465B2048"/>
    <w:rsid w:val="467E10CA"/>
    <w:rsid w:val="469A4A55"/>
    <w:rsid w:val="46EC7407"/>
    <w:rsid w:val="46ED2214"/>
    <w:rsid w:val="47137FAD"/>
    <w:rsid w:val="47721D13"/>
    <w:rsid w:val="479B06F0"/>
    <w:rsid w:val="47F05EE4"/>
    <w:rsid w:val="48007DC3"/>
    <w:rsid w:val="480149AD"/>
    <w:rsid w:val="4812274C"/>
    <w:rsid w:val="489E48D3"/>
    <w:rsid w:val="48CC36A0"/>
    <w:rsid w:val="490F3BEA"/>
    <w:rsid w:val="491B40A0"/>
    <w:rsid w:val="495667B3"/>
    <w:rsid w:val="49892DB7"/>
    <w:rsid w:val="49B51045"/>
    <w:rsid w:val="49F27137"/>
    <w:rsid w:val="4A144FB4"/>
    <w:rsid w:val="4A330105"/>
    <w:rsid w:val="4AA74645"/>
    <w:rsid w:val="4ABE0B45"/>
    <w:rsid w:val="4B6B0F4E"/>
    <w:rsid w:val="4BF76C86"/>
    <w:rsid w:val="4C484DD8"/>
    <w:rsid w:val="4C4D645D"/>
    <w:rsid w:val="4C70366E"/>
    <w:rsid w:val="4C7E4CB1"/>
    <w:rsid w:val="4CD82614"/>
    <w:rsid w:val="4CF506BF"/>
    <w:rsid w:val="4CFF53E0"/>
    <w:rsid w:val="4D0758C8"/>
    <w:rsid w:val="4D2C4194"/>
    <w:rsid w:val="4D7775F6"/>
    <w:rsid w:val="4DE14F89"/>
    <w:rsid w:val="4E163B6E"/>
    <w:rsid w:val="4E516B22"/>
    <w:rsid w:val="4E561903"/>
    <w:rsid w:val="4E740A62"/>
    <w:rsid w:val="4EA47B02"/>
    <w:rsid w:val="4F7F4EB2"/>
    <w:rsid w:val="4FA43F0A"/>
    <w:rsid w:val="4FAC06D8"/>
    <w:rsid w:val="4FBD372E"/>
    <w:rsid w:val="50000E1B"/>
    <w:rsid w:val="500B381F"/>
    <w:rsid w:val="50143E06"/>
    <w:rsid w:val="50232FBB"/>
    <w:rsid w:val="502F4545"/>
    <w:rsid w:val="509E3B74"/>
    <w:rsid w:val="50A82573"/>
    <w:rsid w:val="50ED2406"/>
    <w:rsid w:val="51825DCB"/>
    <w:rsid w:val="52201508"/>
    <w:rsid w:val="52402F66"/>
    <w:rsid w:val="528A2602"/>
    <w:rsid w:val="52C35B14"/>
    <w:rsid w:val="52E24B58"/>
    <w:rsid w:val="531E1F24"/>
    <w:rsid w:val="5334421A"/>
    <w:rsid w:val="5334431C"/>
    <w:rsid w:val="535C7A51"/>
    <w:rsid w:val="536A78D0"/>
    <w:rsid w:val="53AC61F4"/>
    <w:rsid w:val="53B20179"/>
    <w:rsid w:val="53B75002"/>
    <w:rsid w:val="53CC27A6"/>
    <w:rsid w:val="53DD25EA"/>
    <w:rsid w:val="53E43F94"/>
    <w:rsid w:val="549239F0"/>
    <w:rsid w:val="549C661D"/>
    <w:rsid w:val="54D37411"/>
    <w:rsid w:val="55827391"/>
    <w:rsid w:val="55D64741"/>
    <w:rsid w:val="55D818D6"/>
    <w:rsid w:val="56005344"/>
    <w:rsid w:val="5665366A"/>
    <w:rsid w:val="56711F71"/>
    <w:rsid w:val="56733C94"/>
    <w:rsid w:val="56837A94"/>
    <w:rsid w:val="56B2480F"/>
    <w:rsid w:val="56BA722E"/>
    <w:rsid w:val="56D45D22"/>
    <w:rsid w:val="57014E5D"/>
    <w:rsid w:val="57030F30"/>
    <w:rsid w:val="571C1C97"/>
    <w:rsid w:val="572210A1"/>
    <w:rsid w:val="5725576E"/>
    <w:rsid w:val="575E22AF"/>
    <w:rsid w:val="57855BEF"/>
    <w:rsid w:val="57A5197D"/>
    <w:rsid w:val="588C440A"/>
    <w:rsid w:val="589A5A2C"/>
    <w:rsid w:val="58C83E84"/>
    <w:rsid w:val="58CF5506"/>
    <w:rsid w:val="58D01FF9"/>
    <w:rsid w:val="58DC348C"/>
    <w:rsid w:val="58FF78B0"/>
    <w:rsid w:val="5903310E"/>
    <w:rsid w:val="59261546"/>
    <w:rsid w:val="59A42AB2"/>
    <w:rsid w:val="59D267FD"/>
    <w:rsid w:val="59FF7B73"/>
    <w:rsid w:val="5AB81CD6"/>
    <w:rsid w:val="5AF34D1B"/>
    <w:rsid w:val="5B3154F9"/>
    <w:rsid w:val="5BF71C31"/>
    <w:rsid w:val="5C10351E"/>
    <w:rsid w:val="5C135D05"/>
    <w:rsid w:val="5C3F2150"/>
    <w:rsid w:val="5D571D76"/>
    <w:rsid w:val="5D605CE7"/>
    <w:rsid w:val="5D7A552B"/>
    <w:rsid w:val="5EB4080E"/>
    <w:rsid w:val="5ECC3E5E"/>
    <w:rsid w:val="5EF86846"/>
    <w:rsid w:val="5F174C87"/>
    <w:rsid w:val="5FCC5A29"/>
    <w:rsid w:val="5FE01AB3"/>
    <w:rsid w:val="6047323C"/>
    <w:rsid w:val="60BF5DE8"/>
    <w:rsid w:val="60C313F2"/>
    <w:rsid w:val="60C43038"/>
    <w:rsid w:val="60E61E26"/>
    <w:rsid w:val="619676D8"/>
    <w:rsid w:val="61AF3167"/>
    <w:rsid w:val="6261505B"/>
    <w:rsid w:val="62B72FD3"/>
    <w:rsid w:val="63043D0B"/>
    <w:rsid w:val="638A4ADD"/>
    <w:rsid w:val="63BB6384"/>
    <w:rsid w:val="63D3772F"/>
    <w:rsid w:val="63F24540"/>
    <w:rsid w:val="640911E3"/>
    <w:rsid w:val="64117A06"/>
    <w:rsid w:val="641E3D09"/>
    <w:rsid w:val="6447377F"/>
    <w:rsid w:val="64603C42"/>
    <w:rsid w:val="649726BC"/>
    <w:rsid w:val="64D3356D"/>
    <w:rsid w:val="65175ACB"/>
    <w:rsid w:val="651B1728"/>
    <w:rsid w:val="65206FF0"/>
    <w:rsid w:val="65652664"/>
    <w:rsid w:val="656647EB"/>
    <w:rsid w:val="656A757C"/>
    <w:rsid w:val="6598656B"/>
    <w:rsid w:val="659874A2"/>
    <w:rsid w:val="65AA283B"/>
    <w:rsid w:val="65B65064"/>
    <w:rsid w:val="662F4186"/>
    <w:rsid w:val="66352CFC"/>
    <w:rsid w:val="66476EBF"/>
    <w:rsid w:val="67012445"/>
    <w:rsid w:val="672447FD"/>
    <w:rsid w:val="67821FB4"/>
    <w:rsid w:val="67E939E2"/>
    <w:rsid w:val="68093B71"/>
    <w:rsid w:val="6881195A"/>
    <w:rsid w:val="68A12C6F"/>
    <w:rsid w:val="691122E2"/>
    <w:rsid w:val="69794717"/>
    <w:rsid w:val="697A2D0F"/>
    <w:rsid w:val="69844254"/>
    <w:rsid w:val="69B53FB1"/>
    <w:rsid w:val="6A3C022E"/>
    <w:rsid w:val="6A495721"/>
    <w:rsid w:val="6A5D4B7B"/>
    <w:rsid w:val="6B102D30"/>
    <w:rsid w:val="6B803A6D"/>
    <w:rsid w:val="6B841E74"/>
    <w:rsid w:val="6B930322"/>
    <w:rsid w:val="6BC8641A"/>
    <w:rsid w:val="6BE569E9"/>
    <w:rsid w:val="6BE5735F"/>
    <w:rsid w:val="6C345276"/>
    <w:rsid w:val="6CDA3375"/>
    <w:rsid w:val="6D8B3142"/>
    <w:rsid w:val="6E526291"/>
    <w:rsid w:val="6EA656E3"/>
    <w:rsid w:val="6F9D0DCD"/>
    <w:rsid w:val="6FB31AF1"/>
    <w:rsid w:val="6FCC3E02"/>
    <w:rsid w:val="6FF81FA5"/>
    <w:rsid w:val="701D28B0"/>
    <w:rsid w:val="70241CE7"/>
    <w:rsid w:val="702660F6"/>
    <w:rsid w:val="70380634"/>
    <w:rsid w:val="705A56A8"/>
    <w:rsid w:val="70716758"/>
    <w:rsid w:val="70CF769B"/>
    <w:rsid w:val="71493231"/>
    <w:rsid w:val="714B21E6"/>
    <w:rsid w:val="716562BC"/>
    <w:rsid w:val="71823C07"/>
    <w:rsid w:val="71920663"/>
    <w:rsid w:val="71B74666"/>
    <w:rsid w:val="71DD7E0A"/>
    <w:rsid w:val="72085EAD"/>
    <w:rsid w:val="723D0429"/>
    <w:rsid w:val="724E4B1F"/>
    <w:rsid w:val="726C7AA6"/>
    <w:rsid w:val="727F3070"/>
    <w:rsid w:val="729E36FA"/>
    <w:rsid w:val="73174D46"/>
    <w:rsid w:val="732E427C"/>
    <w:rsid w:val="733025D7"/>
    <w:rsid w:val="734138FC"/>
    <w:rsid w:val="737B357E"/>
    <w:rsid w:val="738238D4"/>
    <w:rsid w:val="73966235"/>
    <w:rsid w:val="739B71C6"/>
    <w:rsid w:val="73AE1CC8"/>
    <w:rsid w:val="73BF3611"/>
    <w:rsid w:val="7415405E"/>
    <w:rsid w:val="74163396"/>
    <w:rsid w:val="74DD5F11"/>
    <w:rsid w:val="74EB623F"/>
    <w:rsid w:val="75EC12EA"/>
    <w:rsid w:val="75F92B7B"/>
    <w:rsid w:val="760B7E8B"/>
    <w:rsid w:val="7632562E"/>
    <w:rsid w:val="76522EB4"/>
    <w:rsid w:val="76622A92"/>
    <w:rsid w:val="76695CD7"/>
    <w:rsid w:val="76A85E0F"/>
    <w:rsid w:val="76C5619B"/>
    <w:rsid w:val="771E077E"/>
    <w:rsid w:val="77304C77"/>
    <w:rsid w:val="776F0B07"/>
    <w:rsid w:val="777731D8"/>
    <w:rsid w:val="77B4311F"/>
    <w:rsid w:val="77F40CF7"/>
    <w:rsid w:val="78131F74"/>
    <w:rsid w:val="78446C1C"/>
    <w:rsid w:val="78B80B10"/>
    <w:rsid w:val="791863D0"/>
    <w:rsid w:val="79747B72"/>
    <w:rsid w:val="79844E10"/>
    <w:rsid w:val="79892351"/>
    <w:rsid w:val="7A9726FE"/>
    <w:rsid w:val="7AE835C0"/>
    <w:rsid w:val="7B387E72"/>
    <w:rsid w:val="7B54538B"/>
    <w:rsid w:val="7B7470FC"/>
    <w:rsid w:val="7BB816DF"/>
    <w:rsid w:val="7C344A26"/>
    <w:rsid w:val="7C444077"/>
    <w:rsid w:val="7C8D1DA0"/>
    <w:rsid w:val="7CCB0797"/>
    <w:rsid w:val="7D427F5D"/>
    <w:rsid w:val="7DA0242A"/>
    <w:rsid w:val="7EE359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ocked="1"/>
    <w:lsdException w:uiPriority="99" w:name="table of figures" w:locked="1"/>
    <w:lsdException w:uiPriority="99" w:name="envelope address" w:locked="1"/>
    <w:lsdException w:qFormat="1" w:unhideWhenUsed="0" w:uiPriority="99" w:semiHidden="0" w:name="envelope return"/>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0"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0" w:semiHidden="0" w:name="Plain Text" w:locked="1"/>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7"/>
    <w:autoRedefine/>
    <w:qFormat/>
    <w:uiPriority w:val="99"/>
    <w:pPr>
      <w:spacing w:beforeAutospacing="1" w:afterAutospacing="1"/>
      <w:jc w:val="left"/>
      <w:outlineLvl w:val="0"/>
    </w:pPr>
    <w:rPr>
      <w:rFonts w:ascii="宋体" w:hAnsi="宋体"/>
      <w:b/>
      <w:kern w:val="44"/>
      <w:sz w:val="48"/>
      <w:szCs w:val="48"/>
    </w:rPr>
  </w:style>
  <w:style w:type="paragraph" w:styleId="3">
    <w:name w:val="heading 2"/>
    <w:basedOn w:val="1"/>
    <w:next w:val="1"/>
    <w:link w:val="48"/>
    <w:autoRedefine/>
    <w:qFormat/>
    <w:uiPriority w:val="99"/>
    <w:pPr>
      <w:keepNext/>
      <w:keepLines/>
      <w:spacing w:before="260" w:after="260" w:line="416" w:lineRule="auto"/>
      <w:outlineLvl w:val="1"/>
    </w:pPr>
    <w:rPr>
      <w:rFonts w:ascii="Arial" w:hAnsi="Arial" w:eastAsia="黑体"/>
      <w:b/>
      <w:bCs/>
      <w:kern w:val="0"/>
      <w:sz w:val="32"/>
      <w:szCs w:val="32"/>
    </w:rPr>
  </w:style>
  <w:style w:type="character" w:default="1" w:styleId="22">
    <w:name w:val="Default Paragraph Font"/>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99"/>
    <w:pPr>
      <w:ind w:firstLine="420"/>
    </w:pPr>
    <w:rPr>
      <w:rFonts w:ascii="Times New Roman" w:hAnsi="Times New Roman"/>
      <w:szCs w:val="20"/>
    </w:rPr>
  </w:style>
  <w:style w:type="paragraph" w:styleId="5">
    <w:name w:val="caption"/>
    <w:basedOn w:val="1"/>
    <w:next w:val="1"/>
    <w:autoRedefine/>
    <w:qFormat/>
    <w:locked/>
    <w:uiPriority w:val="99"/>
    <w:rPr>
      <w:rFonts w:ascii="Cambria" w:hAnsi="Cambria" w:eastAsia="黑体" w:cs="Cambria"/>
      <w:sz w:val="20"/>
      <w:szCs w:val="20"/>
    </w:rPr>
  </w:style>
  <w:style w:type="paragraph" w:styleId="6">
    <w:name w:val="Body Text"/>
    <w:basedOn w:val="1"/>
    <w:next w:val="7"/>
    <w:link w:val="49"/>
    <w:qFormat/>
    <w:uiPriority w:val="99"/>
    <w:pPr>
      <w:spacing w:after="120"/>
    </w:pPr>
    <w:rPr>
      <w:kern w:val="0"/>
      <w:sz w:val="20"/>
    </w:rPr>
  </w:style>
  <w:style w:type="paragraph" w:customStyle="1" w:styleId="7">
    <w:name w:val="Default"/>
    <w:basedOn w:val="8"/>
    <w:next w:val="1"/>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Plain Text"/>
    <w:basedOn w:val="1"/>
    <w:next w:val="6"/>
    <w:autoRedefine/>
    <w:qFormat/>
    <w:locked/>
    <w:uiPriority w:val="0"/>
    <w:pPr>
      <w:widowControl/>
      <w:spacing w:before="100" w:beforeAutospacing="1" w:after="100" w:afterAutospacing="1"/>
      <w:jc w:val="left"/>
    </w:pPr>
    <w:rPr>
      <w:rFonts w:ascii="宋体" w:hAnsi="宋体" w:cs="宋体"/>
      <w:kern w:val="0"/>
      <w:sz w:val="24"/>
    </w:rPr>
  </w:style>
  <w:style w:type="paragraph" w:styleId="9">
    <w:name w:val="Body Text Indent"/>
    <w:basedOn w:val="1"/>
    <w:link w:val="51"/>
    <w:autoRedefine/>
    <w:qFormat/>
    <w:uiPriority w:val="99"/>
    <w:pPr>
      <w:ind w:left="360" w:firstLine="473"/>
    </w:pPr>
    <w:rPr>
      <w:rFonts w:ascii="宋体" w:hAnsi="宋体"/>
      <w:kern w:val="0"/>
      <w:sz w:val="24"/>
      <w:szCs w:val="20"/>
    </w:rPr>
  </w:style>
  <w:style w:type="paragraph" w:styleId="10">
    <w:name w:val="Date"/>
    <w:basedOn w:val="1"/>
    <w:next w:val="1"/>
    <w:link w:val="50"/>
    <w:autoRedefine/>
    <w:qFormat/>
    <w:uiPriority w:val="99"/>
    <w:pPr>
      <w:ind w:left="2500" w:leftChars="2500"/>
    </w:pPr>
    <w:rPr>
      <w:kern w:val="0"/>
      <w:sz w:val="24"/>
      <w:szCs w:val="20"/>
    </w:rPr>
  </w:style>
  <w:style w:type="paragraph" w:styleId="11">
    <w:name w:val="Balloon Text"/>
    <w:basedOn w:val="1"/>
    <w:link w:val="67"/>
    <w:autoRedefine/>
    <w:semiHidden/>
    <w:qFormat/>
    <w:uiPriority w:val="99"/>
    <w:rPr>
      <w:sz w:val="18"/>
      <w:szCs w:val="18"/>
    </w:rPr>
  </w:style>
  <w:style w:type="paragraph" w:styleId="12">
    <w:name w:val="footer"/>
    <w:basedOn w:val="1"/>
    <w:link w:val="52"/>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99"/>
    <w:pPr>
      <w:snapToGrid w:val="0"/>
    </w:pPr>
    <w:rPr>
      <w:rFonts w:ascii="Arial" w:hAnsi="Arial"/>
    </w:rPr>
  </w:style>
  <w:style w:type="paragraph" w:styleId="14">
    <w:name w:val="header"/>
    <w:basedOn w:val="1"/>
    <w:link w:val="53"/>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2"/>
    <w:basedOn w:val="1"/>
    <w:autoRedefine/>
    <w:qFormat/>
    <w:locked/>
    <w:uiPriority w:val="0"/>
    <w:pPr>
      <w:jc w:val="center"/>
    </w:pPr>
    <w:rPr>
      <w:rFonts w:ascii="宋体" w:hAnsi="宋体"/>
      <w:kern w:val="0"/>
      <w:sz w:val="20"/>
      <w:szCs w:val="20"/>
    </w:rPr>
  </w:style>
  <w:style w:type="paragraph" w:styleId="16">
    <w:name w:val="Normal (Web)"/>
    <w:basedOn w:val="1"/>
    <w:autoRedefine/>
    <w:qFormat/>
    <w:uiPriority w:val="99"/>
    <w:pPr>
      <w:spacing w:beforeAutospacing="1" w:afterAutospacing="1"/>
      <w:jc w:val="left"/>
    </w:pPr>
    <w:rPr>
      <w:kern w:val="0"/>
      <w:sz w:val="24"/>
    </w:rPr>
  </w:style>
  <w:style w:type="paragraph" w:styleId="17">
    <w:name w:val="Title"/>
    <w:basedOn w:val="1"/>
    <w:next w:val="1"/>
    <w:autoRedefine/>
    <w:qFormat/>
    <w:locked/>
    <w:uiPriority w:val="10"/>
    <w:pPr>
      <w:jc w:val="center"/>
      <w:outlineLvl w:val="0"/>
    </w:pPr>
    <w:rPr>
      <w:rFonts w:ascii="Cambria" w:hAnsi="Cambria"/>
      <w:b/>
      <w:bCs/>
      <w:kern w:val="28"/>
      <w:szCs w:val="32"/>
    </w:rPr>
  </w:style>
  <w:style w:type="paragraph" w:styleId="18">
    <w:name w:val="Body Text First Indent"/>
    <w:basedOn w:val="6"/>
    <w:next w:val="19"/>
    <w:link w:val="54"/>
    <w:autoRedefine/>
    <w:qFormat/>
    <w:uiPriority w:val="99"/>
    <w:pPr>
      <w:spacing w:after="0" w:line="360" w:lineRule="auto"/>
      <w:ind w:firstLine="420" w:firstLineChars="100"/>
    </w:pPr>
    <w:rPr>
      <w:szCs w:val="21"/>
    </w:rPr>
  </w:style>
  <w:style w:type="paragraph" w:styleId="19">
    <w:name w:val="Body Text First Indent 2"/>
    <w:basedOn w:val="9"/>
    <w:link w:val="55"/>
    <w:autoRedefine/>
    <w:qFormat/>
    <w:uiPriority w:val="99"/>
    <w:pPr>
      <w:spacing w:after="120"/>
      <w:ind w:left="0" w:firstLine="0"/>
    </w:pPr>
  </w:style>
  <w:style w:type="table" w:styleId="21">
    <w:name w:val="Table Grid"/>
    <w:basedOn w:val="20"/>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99"/>
    <w:rPr>
      <w:rFonts w:cs="Times New Roman"/>
    </w:rPr>
  </w:style>
  <w:style w:type="character" w:styleId="24">
    <w:name w:val="FollowedHyperlink"/>
    <w:basedOn w:val="22"/>
    <w:autoRedefine/>
    <w:qFormat/>
    <w:uiPriority w:val="99"/>
    <w:rPr>
      <w:rFonts w:cs="Times New Roman"/>
      <w:color w:val="444444"/>
      <w:sz w:val="16"/>
      <w:szCs w:val="16"/>
      <w:u w:val="none"/>
    </w:rPr>
  </w:style>
  <w:style w:type="character" w:styleId="25">
    <w:name w:val="Emphasis"/>
    <w:basedOn w:val="22"/>
    <w:autoRedefine/>
    <w:qFormat/>
    <w:uiPriority w:val="99"/>
    <w:rPr>
      <w:rFonts w:cs="Times New Roman"/>
    </w:rPr>
  </w:style>
  <w:style w:type="character" w:styleId="26">
    <w:name w:val="HTML Definition"/>
    <w:basedOn w:val="22"/>
    <w:autoRedefine/>
    <w:qFormat/>
    <w:uiPriority w:val="99"/>
    <w:rPr>
      <w:rFonts w:cs="Times New Roman"/>
    </w:rPr>
  </w:style>
  <w:style w:type="character" w:styleId="27">
    <w:name w:val="HTML Typewriter"/>
    <w:basedOn w:val="22"/>
    <w:autoRedefine/>
    <w:qFormat/>
    <w:uiPriority w:val="99"/>
    <w:rPr>
      <w:rFonts w:ascii="monospace" w:hAnsi="monospace" w:cs="monospace"/>
      <w:sz w:val="20"/>
    </w:rPr>
  </w:style>
  <w:style w:type="character" w:styleId="28">
    <w:name w:val="HTML Acronym"/>
    <w:basedOn w:val="22"/>
    <w:autoRedefine/>
    <w:qFormat/>
    <w:uiPriority w:val="99"/>
    <w:rPr>
      <w:rFonts w:cs="Times New Roman"/>
    </w:rPr>
  </w:style>
  <w:style w:type="character" w:styleId="29">
    <w:name w:val="HTML Variable"/>
    <w:basedOn w:val="22"/>
    <w:autoRedefine/>
    <w:qFormat/>
    <w:uiPriority w:val="99"/>
    <w:rPr>
      <w:rFonts w:cs="Times New Roman"/>
    </w:rPr>
  </w:style>
  <w:style w:type="character" w:styleId="30">
    <w:name w:val="Hyperlink"/>
    <w:basedOn w:val="22"/>
    <w:autoRedefine/>
    <w:qFormat/>
    <w:uiPriority w:val="99"/>
    <w:rPr>
      <w:rFonts w:cs="Times New Roman"/>
      <w:color w:val="444444"/>
      <w:sz w:val="16"/>
      <w:szCs w:val="16"/>
      <w:u w:val="none"/>
    </w:rPr>
  </w:style>
  <w:style w:type="character" w:styleId="31">
    <w:name w:val="HTML Code"/>
    <w:basedOn w:val="22"/>
    <w:autoRedefine/>
    <w:qFormat/>
    <w:uiPriority w:val="99"/>
    <w:rPr>
      <w:rFonts w:ascii="monospace" w:hAnsi="monospace" w:cs="monospace"/>
      <w:sz w:val="20"/>
    </w:rPr>
  </w:style>
  <w:style w:type="character" w:styleId="32">
    <w:name w:val="HTML Cite"/>
    <w:basedOn w:val="22"/>
    <w:autoRedefine/>
    <w:qFormat/>
    <w:uiPriority w:val="99"/>
    <w:rPr>
      <w:rFonts w:cs="Times New Roman"/>
    </w:rPr>
  </w:style>
  <w:style w:type="character" w:styleId="33">
    <w:name w:val="HTML Keyboard"/>
    <w:basedOn w:val="22"/>
    <w:autoRedefine/>
    <w:qFormat/>
    <w:uiPriority w:val="99"/>
    <w:rPr>
      <w:rFonts w:ascii="monospace" w:hAnsi="monospace" w:cs="monospace"/>
      <w:sz w:val="20"/>
    </w:rPr>
  </w:style>
  <w:style w:type="character" w:styleId="34">
    <w:name w:val="HTML Sample"/>
    <w:basedOn w:val="22"/>
    <w:autoRedefine/>
    <w:qFormat/>
    <w:uiPriority w:val="99"/>
    <w:rPr>
      <w:rFonts w:ascii="monospace" w:hAnsi="monospace" w:cs="monospace"/>
    </w:rPr>
  </w:style>
  <w:style w:type="paragraph" w:customStyle="1" w:styleId="3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36">
    <w:name w:val="无间隔1"/>
    <w:basedOn w:val="1"/>
    <w:next w:val="5"/>
    <w:autoRedefine/>
    <w:qFormat/>
    <w:uiPriority w:val="99"/>
    <w:pPr>
      <w:spacing w:line="400" w:lineRule="exact"/>
    </w:pPr>
    <w:rPr>
      <w:rFonts w:ascii="Times New Roman" w:hAnsi="Times New Roman"/>
      <w:sz w:val="24"/>
    </w:rPr>
  </w:style>
  <w:style w:type="paragraph" w:customStyle="1" w:styleId="37">
    <w:name w:val="正文1"/>
    <w:basedOn w:val="1"/>
    <w:next w:val="38"/>
    <w:autoRedefine/>
    <w:qFormat/>
    <w:uiPriority w:val="0"/>
    <w:pPr>
      <w:spacing w:line="360" w:lineRule="auto"/>
      <w:ind w:firstLine="180"/>
    </w:pPr>
    <w:rPr>
      <w:rFonts w:ascii="黑体" w:hAnsi="宋体"/>
      <w:bCs/>
      <w:color w:val="000000"/>
      <w:szCs w:val="21"/>
    </w:rPr>
  </w:style>
  <w:style w:type="paragraph" w:customStyle="1" w:styleId="38">
    <w:name w:val="正文文本1"/>
    <w:basedOn w:val="37"/>
    <w:next w:val="39"/>
    <w:autoRedefine/>
    <w:qFormat/>
    <w:uiPriority w:val="0"/>
    <w:pPr>
      <w:spacing w:after="120"/>
    </w:pPr>
    <w:rPr>
      <w:rFonts w:ascii="Times New Roman" w:hAnsi="Times New Roman"/>
      <w:kern w:val="0"/>
      <w:sz w:val="20"/>
    </w:rPr>
  </w:style>
  <w:style w:type="paragraph" w:customStyle="1" w:styleId="39">
    <w:name w:val="style4"/>
    <w:basedOn w:val="37"/>
    <w:next w:val="40"/>
    <w:autoRedefine/>
    <w:qFormat/>
    <w:uiPriority w:val="0"/>
    <w:pPr>
      <w:widowControl/>
      <w:spacing w:before="280" w:after="280"/>
    </w:pPr>
    <w:rPr>
      <w:rFonts w:ascii="宋体"/>
      <w:sz w:val="18"/>
    </w:rPr>
  </w:style>
  <w:style w:type="paragraph" w:customStyle="1" w:styleId="40">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1">
    <w:name w:val="_Style 2"/>
    <w:basedOn w:val="1"/>
    <w:next w:val="1"/>
    <w:autoRedefine/>
    <w:qFormat/>
    <w:uiPriority w:val="34"/>
    <w:pPr>
      <w:ind w:firstLine="420" w:firstLineChars="200"/>
    </w:pPr>
    <w:rPr>
      <w:szCs w:val="22"/>
    </w:rPr>
  </w:style>
  <w:style w:type="paragraph" w:customStyle="1" w:styleId="42">
    <w:name w:val="BodyText1I"/>
    <w:basedOn w:val="43"/>
    <w:autoRedefine/>
    <w:qFormat/>
    <w:uiPriority w:val="99"/>
    <w:pPr>
      <w:ind w:firstLine="420" w:firstLineChars="100"/>
    </w:pPr>
  </w:style>
  <w:style w:type="paragraph" w:customStyle="1" w:styleId="43">
    <w:name w:val="BodyText"/>
    <w:basedOn w:val="1"/>
    <w:autoRedefine/>
    <w:qFormat/>
    <w:uiPriority w:val="99"/>
    <w:pPr>
      <w:spacing w:after="120"/>
    </w:pPr>
  </w:style>
  <w:style w:type="paragraph" w:customStyle="1" w:styleId="44">
    <w:name w:val="Char Char10 Char Char Char Char"/>
    <w:basedOn w:val="1"/>
    <w:next w:val="45"/>
    <w:autoRedefine/>
    <w:qFormat/>
    <w:uiPriority w:val="99"/>
    <w:rPr>
      <w:kern w:val="0"/>
    </w:rPr>
  </w:style>
  <w:style w:type="paragraph" w:customStyle="1" w:styleId="45">
    <w:name w:val="xl87"/>
    <w:basedOn w:val="1"/>
    <w:next w:val="46"/>
    <w:autoRedefine/>
    <w:qFormat/>
    <w:uiPriority w:val="99"/>
    <w:pPr>
      <w:widowControl/>
      <w:shd w:val="clear" w:color="FFFFFF" w:fill="FFFFFF"/>
      <w:spacing w:before="280" w:after="280"/>
      <w:jc w:val="right"/>
    </w:pPr>
    <w:rPr>
      <w:rFonts w:ascii="宋体"/>
      <w:kern w:val="0"/>
      <w:sz w:val="24"/>
    </w:rPr>
  </w:style>
  <w:style w:type="paragraph" w:customStyle="1" w:styleId="46">
    <w:name w:val="xl72"/>
    <w:basedOn w:val="1"/>
    <w:next w:val="10"/>
    <w:autoRedefine/>
    <w:qFormat/>
    <w:uiPriority w:val="99"/>
    <w:pPr>
      <w:widowControl/>
      <w:shd w:val="clear" w:color="FFFFFF" w:fill="FFFFFF"/>
      <w:spacing w:before="280" w:after="280"/>
      <w:jc w:val="right"/>
    </w:pPr>
    <w:rPr>
      <w:rFonts w:ascii="宋体"/>
      <w:kern w:val="0"/>
      <w:sz w:val="24"/>
    </w:rPr>
  </w:style>
  <w:style w:type="character" w:customStyle="1" w:styleId="47">
    <w:name w:val="标题 1 Char"/>
    <w:basedOn w:val="22"/>
    <w:link w:val="2"/>
    <w:autoRedefine/>
    <w:qFormat/>
    <w:locked/>
    <w:uiPriority w:val="99"/>
    <w:rPr>
      <w:rFonts w:ascii="Calibri" w:hAnsi="Calibri" w:cs="Times New Roman"/>
      <w:b/>
      <w:bCs/>
      <w:kern w:val="44"/>
      <w:sz w:val="44"/>
      <w:szCs w:val="44"/>
    </w:rPr>
  </w:style>
  <w:style w:type="character" w:customStyle="1" w:styleId="48">
    <w:name w:val="标题 2 Char"/>
    <w:basedOn w:val="22"/>
    <w:link w:val="3"/>
    <w:autoRedefine/>
    <w:semiHidden/>
    <w:qFormat/>
    <w:locked/>
    <w:uiPriority w:val="99"/>
    <w:rPr>
      <w:rFonts w:ascii="Cambria" w:hAnsi="Cambria" w:eastAsia="宋体" w:cs="Times New Roman"/>
      <w:b/>
      <w:bCs/>
      <w:sz w:val="32"/>
      <w:szCs w:val="32"/>
    </w:rPr>
  </w:style>
  <w:style w:type="character" w:customStyle="1" w:styleId="49">
    <w:name w:val="正文文本 Char"/>
    <w:basedOn w:val="22"/>
    <w:link w:val="6"/>
    <w:autoRedefine/>
    <w:semiHidden/>
    <w:qFormat/>
    <w:locked/>
    <w:uiPriority w:val="99"/>
    <w:rPr>
      <w:rFonts w:ascii="Calibri" w:hAnsi="Calibri" w:cs="Times New Roman"/>
      <w:sz w:val="24"/>
      <w:szCs w:val="24"/>
    </w:rPr>
  </w:style>
  <w:style w:type="character" w:customStyle="1" w:styleId="50">
    <w:name w:val="日期 Char"/>
    <w:basedOn w:val="22"/>
    <w:link w:val="10"/>
    <w:autoRedefine/>
    <w:semiHidden/>
    <w:qFormat/>
    <w:locked/>
    <w:uiPriority w:val="99"/>
    <w:rPr>
      <w:rFonts w:ascii="Calibri" w:hAnsi="Calibri" w:cs="Times New Roman"/>
      <w:sz w:val="24"/>
      <w:szCs w:val="24"/>
    </w:rPr>
  </w:style>
  <w:style w:type="character" w:customStyle="1" w:styleId="51">
    <w:name w:val="正文文本缩进 Char"/>
    <w:basedOn w:val="22"/>
    <w:link w:val="9"/>
    <w:autoRedefine/>
    <w:semiHidden/>
    <w:qFormat/>
    <w:locked/>
    <w:uiPriority w:val="99"/>
    <w:rPr>
      <w:rFonts w:ascii="Calibri" w:hAnsi="Calibri" w:cs="Times New Roman"/>
      <w:sz w:val="24"/>
      <w:szCs w:val="24"/>
    </w:rPr>
  </w:style>
  <w:style w:type="character" w:customStyle="1" w:styleId="52">
    <w:name w:val="页脚 Char"/>
    <w:basedOn w:val="22"/>
    <w:link w:val="12"/>
    <w:autoRedefine/>
    <w:qFormat/>
    <w:locked/>
    <w:uiPriority w:val="99"/>
    <w:rPr>
      <w:rFonts w:ascii="Calibri" w:hAnsi="Calibri" w:eastAsia="宋体" w:cs="Times New Roman"/>
      <w:kern w:val="2"/>
      <w:sz w:val="18"/>
      <w:szCs w:val="18"/>
    </w:rPr>
  </w:style>
  <w:style w:type="character" w:customStyle="1" w:styleId="53">
    <w:name w:val="页眉 Char"/>
    <w:basedOn w:val="22"/>
    <w:link w:val="14"/>
    <w:autoRedefine/>
    <w:qFormat/>
    <w:locked/>
    <w:uiPriority w:val="99"/>
    <w:rPr>
      <w:rFonts w:ascii="Calibri" w:hAnsi="Calibri" w:eastAsia="宋体" w:cs="Times New Roman"/>
      <w:kern w:val="2"/>
      <w:sz w:val="18"/>
      <w:szCs w:val="18"/>
    </w:rPr>
  </w:style>
  <w:style w:type="character" w:customStyle="1" w:styleId="54">
    <w:name w:val="正文首行缩进 Char"/>
    <w:basedOn w:val="49"/>
    <w:link w:val="18"/>
    <w:autoRedefine/>
    <w:semiHidden/>
    <w:qFormat/>
    <w:locked/>
    <w:uiPriority w:val="99"/>
    <w:rPr>
      <w:rFonts w:ascii="Calibri" w:hAnsi="Calibri" w:cs="Times New Roman"/>
      <w:sz w:val="24"/>
      <w:szCs w:val="24"/>
    </w:rPr>
  </w:style>
  <w:style w:type="character" w:customStyle="1" w:styleId="55">
    <w:name w:val="正文首行缩进 2 Char"/>
    <w:basedOn w:val="51"/>
    <w:link w:val="19"/>
    <w:autoRedefine/>
    <w:semiHidden/>
    <w:qFormat/>
    <w:locked/>
    <w:uiPriority w:val="99"/>
    <w:rPr>
      <w:rFonts w:ascii="Calibri" w:hAnsi="Calibri" w:cs="Times New Roman"/>
      <w:sz w:val="24"/>
      <w:szCs w:val="24"/>
    </w:rPr>
  </w:style>
  <w:style w:type="character" w:customStyle="1" w:styleId="56">
    <w:name w:val="hover17"/>
    <w:basedOn w:val="22"/>
    <w:autoRedefine/>
    <w:qFormat/>
    <w:uiPriority w:val="99"/>
    <w:rPr>
      <w:rFonts w:cs="Times New Roman"/>
    </w:rPr>
  </w:style>
  <w:style w:type="paragraph" w:styleId="57">
    <w:name w:val="List Paragraph"/>
    <w:basedOn w:val="1"/>
    <w:autoRedefine/>
    <w:qFormat/>
    <w:uiPriority w:val="99"/>
    <w:pPr>
      <w:ind w:firstLine="420" w:firstLineChars="200"/>
    </w:pPr>
  </w:style>
  <w:style w:type="paragraph" w:customStyle="1" w:styleId="58">
    <w:name w:val="_Style 1"/>
    <w:basedOn w:val="1"/>
    <w:autoRedefine/>
    <w:qFormat/>
    <w:uiPriority w:val="99"/>
    <w:pPr>
      <w:spacing w:line="360" w:lineRule="auto"/>
      <w:ind w:firstLine="960" w:firstLineChars="200"/>
    </w:pPr>
  </w:style>
  <w:style w:type="character" w:customStyle="1" w:styleId="59">
    <w:name w:val="first-child"/>
    <w:basedOn w:val="22"/>
    <w:autoRedefine/>
    <w:qFormat/>
    <w:uiPriority w:val="99"/>
    <w:rPr>
      <w:rFonts w:cs="Times New Roman"/>
      <w:color w:val="1F3149"/>
      <w:sz w:val="24"/>
      <w:szCs w:val="24"/>
    </w:rPr>
  </w:style>
  <w:style w:type="character" w:customStyle="1" w:styleId="60">
    <w:name w:val="first-child1"/>
    <w:basedOn w:val="22"/>
    <w:autoRedefine/>
    <w:qFormat/>
    <w:uiPriority w:val="99"/>
    <w:rPr>
      <w:rFonts w:cs="Times New Roman"/>
      <w:color w:val="1F3149"/>
      <w:sz w:val="24"/>
      <w:szCs w:val="24"/>
    </w:rPr>
  </w:style>
  <w:style w:type="character" w:customStyle="1" w:styleId="61">
    <w:name w:val="xiadan"/>
    <w:basedOn w:val="22"/>
    <w:autoRedefine/>
    <w:qFormat/>
    <w:uiPriority w:val="99"/>
    <w:rPr>
      <w:rFonts w:cs="Times New Roman"/>
      <w:shd w:val="clear" w:color="auto" w:fill="E4393C"/>
    </w:rPr>
  </w:style>
  <w:style w:type="character" w:customStyle="1" w:styleId="62">
    <w:name w:val="icon_ds"/>
    <w:basedOn w:val="22"/>
    <w:autoRedefine/>
    <w:qFormat/>
    <w:uiPriority w:val="99"/>
    <w:rPr>
      <w:rFonts w:cs="Times New Roman"/>
      <w:sz w:val="21"/>
      <w:szCs w:val="21"/>
    </w:rPr>
  </w:style>
  <w:style w:type="character" w:customStyle="1" w:styleId="63">
    <w:name w:val="icon_ds1"/>
    <w:basedOn w:val="22"/>
    <w:autoRedefine/>
    <w:qFormat/>
    <w:uiPriority w:val="99"/>
    <w:rPr>
      <w:rFonts w:cs="Times New Roman"/>
    </w:rPr>
  </w:style>
  <w:style w:type="character" w:customStyle="1" w:styleId="64">
    <w:name w:val="fr"/>
    <w:basedOn w:val="22"/>
    <w:autoRedefine/>
    <w:qFormat/>
    <w:uiPriority w:val="99"/>
    <w:rPr>
      <w:rFonts w:cs="Times New Roman"/>
    </w:rPr>
  </w:style>
  <w:style w:type="character" w:customStyle="1" w:styleId="65">
    <w:name w:val="icon_gys"/>
    <w:basedOn w:val="22"/>
    <w:autoRedefine/>
    <w:qFormat/>
    <w:uiPriority w:val="99"/>
    <w:rPr>
      <w:rFonts w:cs="Times New Roman"/>
      <w:sz w:val="21"/>
      <w:szCs w:val="21"/>
    </w:rPr>
  </w:style>
  <w:style w:type="paragraph" w:customStyle="1" w:styleId="66">
    <w:name w:val="hkys"/>
    <w:basedOn w:val="1"/>
    <w:autoRedefine/>
    <w:qFormat/>
    <w:uiPriority w:val="99"/>
    <w:pPr>
      <w:jc w:val="left"/>
    </w:pPr>
    <w:rPr>
      <w:kern w:val="0"/>
    </w:rPr>
  </w:style>
  <w:style w:type="character" w:customStyle="1" w:styleId="67">
    <w:name w:val="批注框文本 Char"/>
    <w:basedOn w:val="22"/>
    <w:link w:val="11"/>
    <w:autoRedefine/>
    <w:semiHidden/>
    <w:qFormat/>
    <w:locked/>
    <w:uiPriority w:val="99"/>
    <w:rPr>
      <w:rFonts w:ascii="Calibri" w:hAnsi="Calibri" w:cs="Times New Roman"/>
      <w:sz w:val="2"/>
    </w:rPr>
  </w:style>
  <w:style w:type="character" w:customStyle="1" w:styleId="68">
    <w:name w:val="font01"/>
    <w:basedOn w:val="22"/>
    <w:autoRedefine/>
    <w:qFormat/>
    <w:uiPriority w:val="0"/>
    <w:rPr>
      <w:rFonts w:hint="eastAsia" w:ascii="宋体" w:hAnsi="宋体" w:eastAsia="宋体" w:cs="宋体"/>
      <w:color w:val="000000"/>
      <w:sz w:val="21"/>
      <w:szCs w:val="21"/>
      <w:u w:val="none"/>
    </w:rPr>
  </w:style>
  <w:style w:type="character" w:customStyle="1" w:styleId="69">
    <w:name w:val="NormalCharacter"/>
    <w:autoRedefine/>
    <w:semiHidden/>
    <w:qFormat/>
    <w:uiPriority w:val="0"/>
    <w:rPr>
      <w:kern w:val="2"/>
      <w:sz w:val="21"/>
      <w:szCs w:val="24"/>
      <w:lang w:val="en-US" w:eastAsia="zh-CN" w:bidi="ar-SA"/>
    </w:rPr>
  </w:style>
  <w:style w:type="character" w:customStyle="1" w:styleId="70">
    <w:name w:val="toolbarlabel"/>
    <w:basedOn w:val="22"/>
    <w:autoRedefine/>
    <w:qFormat/>
    <w:uiPriority w:val="0"/>
    <w:rPr>
      <w:color w:val="333333"/>
      <w:sz w:val="18"/>
      <w:szCs w:val="18"/>
    </w:rPr>
  </w:style>
  <w:style w:type="character" w:customStyle="1" w:styleId="71">
    <w:name w:val="toolbarlabel2"/>
    <w:basedOn w:val="22"/>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645</Words>
  <Characters>698</Characters>
  <Lines>1</Lines>
  <Paragraphs>1</Paragraphs>
  <TotalTime>0</TotalTime>
  <ScaleCrop>false</ScaleCrop>
  <LinksUpToDate>false</LinksUpToDate>
  <CharactersWithSpaces>698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2020-09-09T00:23:00Z</dcterms:created>
  <dc:creator>Administrator</dc:creator>
  <cp:lastModifiedBy>NTKO</cp:lastModifiedBy>
  <cp:lastPrinted>2023-09-18T02:13:00Z</cp:lastPrinted>
  <dcterms:modified xsi:type="dcterms:W3CDTF">2025-10-21T05:43:39Z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5F08163141EB4945BA73DFC5063AA1BD_13</vt:lpwstr>
  </property>
  <property fmtid="{D5CDD505-2E9C-101B-9397-08002B2CF9AE}" pid="4" name="KSOTemplateDocerSaveRecord">
    <vt:lpwstr>eyJoZGlkIjoiMTE1OGZjNTRmZmFmMGQyNDk1YWY1ZWY5N2ZiYWNmN2YiLCJ1c2VySWQiOiIzNTAwNjI5MjMifQ==</vt:lpwstr>
  </property>
</Properties>
</file>