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7B99">
      <w:pPr>
        <w:pStyle w:val="2"/>
        <w:tabs>
          <w:tab w:val="left" w:pos="0"/>
        </w:tabs>
        <w:autoSpaceDE w:val="0"/>
        <w:autoSpaceDN w:val="0"/>
        <w:adjustRightInd w:val="0"/>
        <w:spacing w:before="0" w:after="0" w:line="360" w:lineRule="auto"/>
        <w:ind w:left="992"/>
        <w:jc w:val="center"/>
        <w:rPr>
          <w:rFonts w:hint="eastAsia" w:hAnsi="宋体"/>
        </w:rPr>
      </w:pPr>
      <w:r>
        <w:rPr>
          <w:rFonts w:hint="eastAsia" w:hAnsi="宋体"/>
        </w:rPr>
        <w:t>采购需求</w:t>
      </w:r>
    </w:p>
    <w:p w14:paraId="034ACBC5">
      <w:pPr>
        <w:adjustRightInd w:val="0"/>
        <w:snapToGrid w:val="0"/>
        <w:spacing w:line="360" w:lineRule="auto"/>
        <w:rPr>
          <w:rFonts w:hint="eastAsia" w:ascii="宋体" w:hAnsi="宋体" w:cs="宋体"/>
          <w:b/>
          <w:bCs/>
          <w:sz w:val="24"/>
          <w:highlight w:val="yellow"/>
        </w:rPr>
      </w:pPr>
      <w:r>
        <w:rPr>
          <w:rFonts w:hint="eastAsia" w:ascii="黑体" w:hAnsi="黑体" w:eastAsia="黑体"/>
          <w:b/>
          <w:bCs/>
          <w:sz w:val="24"/>
        </w:rPr>
        <w:t>一</w:t>
      </w:r>
      <w:r>
        <w:rPr>
          <w:rFonts w:ascii="黑体" w:hAnsi="黑体" w:eastAsia="黑体"/>
          <w:b/>
          <w:bCs/>
          <w:sz w:val="24"/>
        </w:rPr>
        <w:t>、</w:t>
      </w:r>
      <w:r>
        <w:rPr>
          <w:rFonts w:hint="eastAsia" w:ascii="黑体" w:hAnsi="黑体" w:eastAsia="黑体"/>
          <w:b/>
          <w:bCs/>
          <w:sz w:val="24"/>
        </w:rPr>
        <w:t>采购要求</w:t>
      </w:r>
    </w:p>
    <w:p w14:paraId="309869D1">
      <w:pPr>
        <w:pStyle w:val="3"/>
        <w:wordWrap w:val="0"/>
        <w:topLinePunct/>
        <w:spacing w:after="0" w:line="360" w:lineRule="auto"/>
        <w:ind w:firstLine="241" w:firstLineChars="100"/>
        <w:rPr>
          <w:rFonts w:hint="eastAsia" w:ascii="宋体" w:hAnsi="宋体" w:cs="宋体"/>
          <w:b/>
          <w:bCs/>
          <w:sz w:val="24"/>
          <w:szCs w:val="24"/>
        </w:rPr>
      </w:pPr>
      <w:r>
        <w:rPr>
          <w:rFonts w:hint="eastAsia" w:ascii="宋体" w:hAnsi="宋体" w:cs="宋体"/>
          <w:b/>
          <w:bCs/>
          <w:sz w:val="24"/>
          <w:szCs w:val="24"/>
        </w:rPr>
        <w:t>1、大米</w:t>
      </w:r>
    </w:p>
    <w:p w14:paraId="402BD83C">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符合国家标准GB/T1354-2018要求。</w:t>
      </w:r>
    </w:p>
    <w:p w14:paraId="49FEDCE1">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（1）包装标准：产品应采用袋装包装形式，包装严密，图案完整；包装材料应符合食品包装材料卫生标准。</w:t>
      </w:r>
    </w:p>
    <w:p w14:paraId="20046383">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（2）标签标识：标明货物名称、净含量、生产者名称和地址、生产日期、保质期、货物标准号、质量等级、生产许可证号、货物批号等内容。</w:t>
      </w:r>
    </w:p>
    <w:p w14:paraId="2E3C7D97">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（3）运输：运输工具应清洁、无异味，运输时不得与有毒、有害、有腐蚀性货物混装,运输中应注意轻装、轻卸、防雨、防晒。</w:t>
      </w:r>
    </w:p>
    <w:p w14:paraId="14533F45">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（4）贮存：产品应存放于卫生、通风阴凉、干燥、清洁、无异味的库中。</w:t>
      </w:r>
    </w:p>
    <w:p w14:paraId="4CEDF86A">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（5）大米必须是厂家密封原包装货物且有厂家</w:t>
      </w:r>
      <w:r>
        <w:rPr>
          <w:rFonts w:hint="eastAsia" w:ascii="宋体" w:hAnsi="宋体" w:cs="宋体"/>
          <w:sz w:val="24"/>
          <w:szCs w:val="24"/>
          <w:lang w:eastAsia="zh-CN"/>
        </w:rPr>
        <w:t>出厂</w:t>
      </w:r>
      <w:r>
        <w:rPr>
          <w:rFonts w:hint="eastAsia" w:ascii="宋体" w:hAnsi="宋体" w:cs="宋体"/>
          <w:sz w:val="24"/>
          <w:szCs w:val="24"/>
        </w:rPr>
        <w:t>检验合格证。</w:t>
      </w:r>
    </w:p>
    <w:p w14:paraId="4C5521A9">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（6）大米质量等级为</w:t>
      </w:r>
      <w:r>
        <w:rPr>
          <w:rFonts w:hint="eastAsia" w:ascii="宋体" w:hAnsi="宋体" w:cs="宋体"/>
          <w:sz w:val="24"/>
          <w:szCs w:val="24"/>
          <w:lang w:eastAsia="zh-CN"/>
        </w:rPr>
        <w:t>优质</w:t>
      </w:r>
      <w:r>
        <w:rPr>
          <w:rFonts w:hint="eastAsia" w:ascii="宋体" w:hAnsi="宋体" w:cs="宋体"/>
          <w:sz w:val="24"/>
          <w:szCs w:val="24"/>
        </w:rPr>
        <w:t>一级</w:t>
      </w:r>
      <w:r>
        <w:rPr>
          <w:rFonts w:hint="eastAsia" w:ascii="宋体" w:hAnsi="宋体" w:cs="宋体"/>
          <w:sz w:val="24"/>
          <w:szCs w:val="24"/>
          <w:lang w:eastAsia="zh-CN"/>
        </w:rPr>
        <w:t>大米</w:t>
      </w:r>
      <w:r>
        <w:rPr>
          <w:rFonts w:hint="eastAsia" w:ascii="宋体" w:hAnsi="宋体" w:cs="宋体"/>
          <w:sz w:val="24"/>
          <w:szCs w:val="24"/>
        </w:rPr>
        <w:t>（绿色、有机食品除外），符合国家质量技术等级标准，须符合卫生要求，不得有腐烂、变质、油脂酸败、霉变、生虫、污秽不洁、混有异物或可能对人体健康有害的物质。</w:t>
      </w:r>
    </w:p>
    <w:p w14:paraId="5D36C400">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）质保期要求：应符合剩余质保期在其总质保期的2/3内。</w:t>
      </w:r>
    </w:p>
    <w:p w14:paraId="42CFA833">
      <w:pPr>
        <w:pStyle w:val="3"/>
        <w:wordWrap w:val="0"/>
        <w:topLinePunct/>
        <w:spacing w:after="0" w:line="360" w:lineRule="auto"/>
        <w:ind w:firstLine="241" w:firstLineChars="100"/>
        <w:rPr>
          <w:rFonts w:hint="eastAsia" w:ascii="宋体" w:hAnsi="宋体" w:cs="宋体"/>
          <w:b/>
          <w:bCs/>
          <w:sz w:val="24"/>
          <w:szCs w:val="24"/>
        </w:rPr>
      </w:pPr>
      <w:r>
        <w:rPr>
          <w:rFonts w:hint="eastAsia" w:ascii="宋体" w:hAnsi="宋体" w:cs="宋体"/>
          <w:b/>
          <w:bCs/>
          <w:sz w:val="24"/>
          <w:szCs w:val="24"/>
        </w:rPr>
        <w:t>2、面粉</w:t>
      </w:r>
    </w:p>
    <w:p w14:paraId="45477A6C">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符合国家标准GB/T1355-2021要求。</w:t>
      </w:r>
    </w:p>
    <w:p w14:paraId="18BDC433">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（1）包装标准：产品应采用袋装包装形式，包装严密，图案完整；包装材料应符合食品包装材料卫生标准。</w:t>
      </w:r>
    </w:p>
    <w:p w14:paraId="116AF837">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（2）不得加入添加剂或添加粉，保证面粉质量。</w:t>
      </w:r>
    </w:p>
    <w:p w14:paraId="495038AE">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（3）标签标识：标明产品名称、净含量、生产者名称和地址、生产日期、保质期、产品标准号、质量等级（绿色、有机食品除外）、生产许可证号、产品批号等内容。</w:t>
      </w:r>
    </w:p>
    <w:p w14:paraId="5A97D4D1">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（4）运输：运输工具应清洁、无异味，运输中应注意轻装、轻卸、防雨、防晒。</w:t>
      </w:r>
    </w:p>
    <w:p w14:paraId="1E7B5429">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（5）贮存：产品应存放于卫生、通风阴凉、干燥、清洁、无异味的库中。</w:t>
      </w:r>
    </w:p>
    <w:p w14:paraId="7E28E58A">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（6）面粉必须是厂家密封原包装产品且有厂家出厂检验合格证。</w:t>
      </w:r>
    </w:p>
    <w:p w14:paraId="59F2EC27">
      <w:pPr>
        <w:pStyle w:val="3"/>
        <w:wordWrap w:val="0"/>
        <w:topLinePunct/>
        <w:spacing w:after="0" w:line="360" w:lineRule="auto"/>
        <w:ind w:left="105" w:leftChars="50" w:firstLine="480" w:firstLineChars="200"/>
        <w:rPr>
          <w:rFonts w:hint="eastAsia" w:ascii="宋体" w:hAnsi="宋体" w:cs="宋体"/>
          <w:sz w:val="24"/>
          <w:szCs w:val="24"/>
        </w:rPr>
      </w:pPr>
      <w:r>
        <w:rPr>
          <w:rFonts w:hint="eastAsia" w:ascii="宋体" w:hAnsi="宋体" w:cs="宋体"/>
          <w:sz w:val="24"/>
          <w:szCs w:val="24"/>
        </w:rPr>
        <w:t>（7）面粉质量等级为精制粉，符合国家质量技术等级标准，不添加国家规定以外任何添加剂成分。不得有腐烂、变质、油脂酸败、霉变、生虫、污秽不洁、混有异物或可能对人体健康有害的物质。</w:t>
      </w:r>
    </w:p>
    <w:p w14:paraId="5929B0D2">
      <w:pPr>
        <w:pStyle w:val="3"/>
        <w:wordWrap w:val="0"/>
        <w:topLinePunct/>
        <w:spacing w:after="0" w:line="360" w:lineRule="auto"/>
        <w:ind w:left="105" w:leftChars="50" w:firstLine="480" w:firstLineChars="200"/>
        <w:rPr>
          <w:rFonts w:hint="eastAsia"/>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）质保期要求：应符合剩余质保期在其总质保期的2/3内。</w:t>
      </w:r>
    </w:p>
    <w:p w14:paraId="7CDCF2F8">
      <w:pPr>
        <w:pStyle w:val="3"/>
        <w:wordWrap w:val="0"/>
        <w:topLinePunct/>
        <w:spacing w:after="0" w:line="360" w:lineRule="auto"/>
        <w:ind w:firstLine="241" w:firstLineChars="100"/>
        <w:rPr>
          <w:rFonts w:hint="eastAsia" w:ascii="宋体" w:hAnsi="宋体" w:cs="宋体"/>
          <w:b/>
          <w:bCs/>
          <w:sz w:val="24"/>
          <w:szCs w:val="24"/>
        </w:rPr>
      </w:pPr>
      <w:r>
        <w:rPr>
          <w:rFonts w:hint="eastAsia" w:ascii="宋体" w:hAnsi="宋体" w:cs="宋体"/>
          <w:b/>
          <w:bCs/>
          <w:sz w:val="24"/>
          <w:szCs w:val="24"/>
        </w:rPr>
        <w:t>3、食用油</w:t>
      </w:r>
    </w:p>
    <w:p w14:paraId="53B5BBDC">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符合国家标准GB2716-2018要求。</w:t>
      </w:r>
    </w:p>
    <w:p w14:paraId="2251FC9C">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（1）执行标准</w:t>
      </w:r>
    </w:p>
    <w:p w14:paraId="412B394E">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食用油质量等级为一级（绿色、有机食品除外），符合国家质量技术等级最新标准：大豆油、植物调和油、香油等；液体具有油脂正常色泽，澄清透明，无焦臭、酸败及其他异味，口感好；无任何掺杂气味；</w:t>
      </w:r>
    </w:p>
    <w:p w14:paraId="344B2B2F">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（2）所提供的物品不得为转基因物品或转基因制成品，经查实所提供物品中具有转基因物品或转基因制成品立即终止合同，并由供应商将承担全部责任。</w:t>
      </w:r>
    </w:p>
    <w:p w14:paraId="4AC6FEA2">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（3）油类质量标准：符合国家质量等级最新标准。</w:t>
      </w:r>
    </w:p>
    <w:p w14:paraId="1775433A">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（4）质保期要求：并应符合剩余质保期在其总质保期的2/3内。</w:t>
      </w:r>
    </w:p>
    <w:p w14:paraId="56203FB0">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（5）包装要求：≥5L/桶的塑料软包装，包装应符合《食用植物油销售包装》（GB/T 17374-2024）要求，包装材料应清洁、卫生，不与油发生化学作用而产生变化，符合国家食品卫生标准和管理规定。</w:t>
      </w:r>
    </w:p>
    <w:p w14:paraId="6FE9329E">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（6）标签标识：标明产品名称、净含量、生产者名称和地址、生产日期、保质期、产品标准号、食品添加剂、质量等级、生产许可证号、产品批号等内容。</w:t>
      </w:r>
    </w:p>
    <w:p w14:paraId="2A646F62">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（7）必须是厂家密封原包装货物且有</w:t>
      </w:r>
      <w:r>
        <w:rPr>
          <w:rFonts w:hint="eastAsia" w:ascii="宋体" w:hAnsi="宋体" w:cs="宋体"/>
          <w:sz w:val="24"/>
          <w:szCs w:val="24"/>
        </w:rPr>
        <w:t>厂家</w:t>
      </w:r>
      <w:r>
        <w:rPr>
          <w:rFonts w:hint="eastAsia" w:ascii="宋体" w:hAnsi="宋体" w:cs="宋体"/>
          <w:sz w:val="24"/>
          <w:szCs w:val="24"/>
          <w:lang w:eastAsia="zh-CN"/>
        </w:rPr>
        <w:t>出厂</w:t>
      </w:r>
      <w:r>
        <w:rPr>
          <w:rFonts w:hint="eastAsia" w:ascii="宋体" w:hAnsi="宋体"/>
          <w:sz w:val="24"/>
        </w:rPr>
        <w:t>检验合格证。</w:t>
      </w:r>
    </w:p>
    <w:p w14:paraId="5FECB4F6">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（8）运输：运输时应外加纸箱、木箱等包装物，运输工具应清洁、无异味，运输时不得与有毒、有害、有腐蚀性货物混装，运输中应注意轻装、轻卸、防雨、防晒。</w:t>
      </w:r>
    </w:p>
    <w:p w14:paraId="02944781">
      <w:pPr>
        <w:pStyle w:val="3"/>
        <w:wordWrap w:val="0"/>
        <w:topLinePunct/>
        <w:spacing w:after="0" w:line="360" w:lineRule="auto"/>
        <w:ind w:left="105" w:leftChars="50" w:firstLine="480" w:firstLineChars="200"/>
        <w:rPr>
          <w:rFonts w:hint="eastAsia" w:ascii="宋体" w:hAnsi="宋体"/>
          <w:sz w:val="24"/>
        </w:rPr>
      </w:pPr>
      <w:r>
        <w:rPr>
          <w:rFonts w:hint="eastAsia" w:ascii="宋体" w:hAnsi="宋体"/>
          <w:sz w:val="24"/>
        </w:rPr>
        <w:t>（9）贮存：产品应存放于卫生、通风阴凉、干燥、清洁、无异味的库中。</w:t>
      </w:r>
    </w:p>
    <w:p w14:paraId="391BA774">
      <w:pPr>
        <w:pStyle w:val="3"/>
        <w:adjustRightInd w:val="0"/>
        <w:snapToGrid w:val="0"/>
        <w:spacing w:after="0" w:line="360" w:lineRule="auto"/>
        <w:jc w:val="left"/>
        <w:rPr>
          <w:rFonts w:hint="eastAsia" w:ascii="宋体" w:hAnsi="宋体" w:cs="宋体"/>
          <w:b/>
          <w:bCs/>
          <w:sz w:val="24"/>
          <w:szCs w:val="24"/>
        </w:rPr>
      </w:pPr>
      <w:bookmarkStart w:id="0" w:name="_Toc23339"/>
      <w:bookmarkEnd w:id="0"/>
      <w:bookmarkStart w:id="1" w:name="_Toc6798"/>
      <w:bookmarkEnd w:id="1"/>
      <w:r>
        <w:rPr>
          <w:rFonts w:hint="eastAsia" w:ascii="宋体" w:hAnsi="宋体" w:cs="宋体"/>
          <w:b/>
          <w:bCs/>
          <w:sz w:val="24"/>
          <w:szCs w:val="24"/>
        </w:rPr>
        <w:t>二、其他要求</w:t>
      </w:r>
    </w:p>
    <w:p w14:paraId="6A88B60B">
      <w:pPr>
        <w:pStyle w:val="3"/>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1、供应商在送货、安放等工作全部完成后必须配合采购人进行验收，如果发现数量不足或有质量等问题，供应商应按照采购人的要求采取补足或更换等处理措施，并承担由此发生的一切损失和费用。</w:t>
      </w:r>
    </w:p>
    <w:p w14:paraId="1E805762">
      <w:pPr>
        <w:pStyle w:val="3"/>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2、采购人将对供应商每次配送服务进行检查监督记录。每月对配送服务进行一期履约验收考核，主要验收考核内容包括货品品质、数量、配送时效性、服务态度，以及特殊情况供应商的响应速率、配合度等。考核结果未达到采购人要求的，采购人有权要求整改，整改后经采购人验收未合格的，采购人有权终止合同。如果供应商在服务期间内出现违反合同的各种情形，采购人有权随时终止合同。</w:t>
      </w:r>
    </w:p>
    <w:p w14:paraId="7761F567">
      <w:pPr>
        <w:pStyle w:val="3"/>
        <w:adjustRightInd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3、供应商应对其提供的产品能够一次性通过采购人组织的验收作出承诺，否则视为未响应采购文件。</w:t>
      </w:r>
    </w:p>
    <w:p w14:paraId="7723FE4A">
      <w:pPr>
        <w:pStyle w:val="3"/>
        <w:adjustRightInd w:val="0"/>
        <w:snapToGrid w:val="0"/>
        <w:spacing w:after="0" w:line="360" w:lineRule="auto"/>
        <w:ind w:firstLine="480" w:firstLineChars="200"/>
        <w:jc w:val="left"/>
        <w:rPr>
          <w:rFonts w:hint="eastAsia" w:ascii="宋体" w:hAnsi="宋体"/>
          <w:sz w:val="24"/>
        </w:rPr>
      </w:pPr>
      <w:r>
        <w:rPr>
          <w:rFonts w:hint="eastAsia" w:ascii="宋体" w:hAnsi="宋体" w:cs="宋体"/>
          <w:sz w:val="24"/>
          <w:szCs w:val="24"/>
        </w:rPr>
        <w:t>4、采购人按照国家相关法律法规、规范及相关规章制度，对供应商的食材卫生、价格、原材料购置渠道、服务态度、生产安全、从业人员情况、服务规程、食品存储标准工作等进行检查、监督，一旦发生（食品安全等）事故，经管理部门审查确认后，采购人有权追究供应商相关责任。</w:t>
      </w:r>
    </w:p>
    <w:p w14:paraId="6D9D36F7">
      <w:pPr>
        <w:rPr>
          <w:rFonts w:ascii="宋体" w:hAnsi="宋体" w:cs="宋体"/>
          <w:b/>
          <w:bCs/>
          <w:sz w:val="24"/>
        </w:rPr>
      </w:pPr>
      <w:r>
        <w:rPr>
          <w:rFonts w:hint="eastAsia" w:ascii="宋体" w:hAnsi="宋体" w:cs="宋体"/>
          <w:b/>
          <w:bCs/>
          <w:sz w:val="24"/>
        </w:rPr>
        <w:t>三、商务要求</w:t>
      </w:r>
    </w:p>
    <w:tbl>
      <w:tblPr>
        <w:tblStyle w:val="4"/>
        <w:tblW w:w="9135" w:type="dxa"/>
        <w:tblInd w:w="-51" w:type="dxa"/>
        <w:shd w:val="clear" w:color="auto" w:fill="FFFFFF"/>
        <w:tblLayout w:type="fixed"/>
        <w:tblCellMar>
          <w:top w:w="0" w:type="dxa"/>
          <w:left w:w="0" w:type="dxa"/>
          <w:bottom w:w="0" w:type="dxa"/>
          <w:right w:w="0" w:type="dxa"/>
        </w:tblCellMar>
      </w:tblPr>
      <w:tblGrid>
        <w:gridCol w:w="2385"/>
        <w:gridCol w:w="6750"/>
      </w:tblGrid>
      <w:tr w14:paraId="5F1BCAC7">
        <w:tblPrEx>
          <w:shd w:val="clear" w:color="auto" w:fill="FFFFFF"/>
          <w:tblCellMar>
            <w:top w:w="0" w:type="dxa"/>
            <w:left w:w="0" w:type="dxa"/>
            <w:bottom w:w="0" w:type="dxa"/>
            <w:right w:w="0" w:type="dxa"/>
          </w:tblCellMar>
        </w:tblPrEx>
        <w:trPr>
          <w:trHeight w:val="427" w:hRule="atLeast"/>
        </w:trPr>
        <w:tc>
          <w:tcPr>
            <w:tcW w:w="238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EC5CA7">
            <w:pPr>
              <w:widowControl/>
              <w:spacing w:line="500" w:lineRule="exact"/>
              <w:jc w:val="center"/>
              <w:rPr>
                <w:rFonts w:hint="eastAsia" w:ascii="宋体" w:hAnsi="宋体" w:cs="宋体"/>
                <w:kern w:val="0"/>
                <w:sz w:val="24"/>
              </w:rPr>
            </w:pPr>
            <w:r>
              <w:rPr>
                <w:rFonts w:hint="eastAsia" w:ascii="宋体" w:hAnsi="宋体" w:cs="宋体"/>
                <w:kern w:val="0"/>
                <w:sz w:val="24"/>
              </w:rPr>
              <w:t>合同履行期限</w:t>
            </w:r>
          </w:p>
        </w:tc>
        <w:tc>
          <w:tcPr>
            <w:tcW w:w="67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4F39CD">
            <w:pPr>
              <w:widowControl/>
              <w:spacing w:line="500" w:lineRule="exact"/>
              <w:rPr>
                <w:rFonts w:hint="eastAsia" w:ascii="宋体" w:hAnsi="宋体" w:cs="宋体"/>
                <w:kern w:val="0"/>
                <w:sz w:val="24"/>
              </w:rPr>
            </w:pPr>
            <w:r>
              <w:rPr>
                <w:rFonts w:hint="eastAsia" w:ascii="宋体" w:hAnsi="宋体" w:cs="宋体"/>
                <w:kern w:val="0"/>
                <w:sz w:val="24"/>
              </w:rPr>
              <w:t>三年，合同一年一签。一年合同期满后，经履约采购人验收合格后可续签下一年度合同（起始日期具体以合同为准）</w:t>
            </w:r>
          </w:p>
        </w:tc>
      </w:tr>
      <w:tr w14:paraId="410CFC3B">
        <w:tblPrEx>
          <w:tblCellMar>
            <w:top w:w="0" w:type="dxa"/>
            <w:left w:w="0" w:type="dxa"/>
            <w:bottom w:w="0" w:type="dxa"/>
            <w:right w:w="0" w:type="dxa"/>
          </w:tblCellMar>
        </w:tblPrEx>
        <w:trPr>
          <w:trHeight w:val="404" w:hRule="atLeast"/>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7CB722">
            <w:pPr>
              <w:widowControl/>
              <w:spacing w:line="500" w:lineRule="exact"/>
              <w:jc w:val="center"/>
              <w:rPr>
                <w:rFonts w:ascii="宋体" w:hAnsi="宋体" w:cs="宋体"/>
                <w:kern w:val="0"/>
                <w:sz w:val="24"/>
              </w:rPr>
            </w:pPr>
            <w:r>
              <w:rPr>
                <w:rFonts w:hint="eastAsia" w:ascii="宋体" w:hAnsi="宋体" w:cs="宋体"/>
                <w:kern w:val="0"/>
                <w:sz w:val="24"/>
              </w:rPr>
              <w:t>服务地点</w:t>
            </w:r>
          </w:p>
        </w:tc>
        <w:tc>
          <w:tcPr>
            <w:tcW w:w="67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3B1463">
            <w:pPr>
              <w:widowControl/>
              <w:spacing w:line="500" w:lineRule="exact"/>
              <w:rPr>
                <w:rFonts w:hint="eastAsia" w:ascii="宋体" w:hAnsi="宋体" w:cs="宋体"/>
                <w:kern w:val="0"/>
                <w:sz w:val="24"/>
              </w:rPr>
            </w:pPr>
            <w:r>
              <w:rPr>
                <w:rFonts w:hint="eastAsia" w:ascii="宋体" w:hAnsi="宋体" w:cs="宋体"/>
                <w:kern w:val="0"/>
                <w:sz w:val="24"/>
              </w:rPr>
              <w:t>驻马店市九县一区范围内各消防救援支队（大队）</w:t>
            </w:r>
          </w:p>
        </w:tc>
      </w:tr>
      <w:tr w14:paraId="65934351">
        <w:tblPrEx>
          <w:tblCellMar>
            <w:top w:w="0" w:type="dxa"/>
            <w:left w:w="0" w:type="dxa"/>
            <w:bottom w:w="0" w:type="dxa"/>
            <w:right w:w="0" w:type="dxa"/>
          </w:tblCellMar>
        </w:tblPrEx>
        <w:trPr>
          <w:trHeight w:val="443" w:hRule="atLeast"/>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F10F76">
            <w:pPr>
              <w:widowControl/>
              <w:spacing w:line="500" w:lineRule="exact"/>
              <w:jc w:val="center"/>
              <w:rPr>
                <w:rFonts w:ascii="宋体" w:hAnsi="宋体" w:cs="宋体"/>
                <w:kern w:val="0"/>
                <w:sz w:val="24"/>
              </w:rPr>
            </w:pPr>
            <w:r>
              <w:rPr>
                <w:rFonts w:hint="eastAsia" w:ascii="宋体" w:hAnsi="宋体" w:cs="宋体"/>
                <w:kern w:val="0"/>
                <w:sz w:val="24"/>
              </w:rPr>
              <w:t>合同签订时间</w:t>
            </w:r>
          </w:p>
        </w:tc>
        <w:tc>
          <w:tcPr>
            <w:tcW w:w="67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167BB1">
            <w:pPr>
              <w:widowControl/>
              <w:snapToGrid w:val="0"/>
              <w:spacing w:line="500" w:lineRule="exact"/>
              <w:rPr>
                <w:rFonts w:ascii="宋体" w:hAnsi="宋体" w:cs="宋体"/>
                <w:kern w:val="0"/>
                <w:sz w:val="24"/>
              </w:rPr>
            </w:pPr>
            <w:r>
              <w:rPr>
                <w:rFonts w:hint="eastAsia" w:ascii="宋体" w:hAnsi="宋体" w:cs="宋体"/>
                <w:kern w:val="0"/>
                <w:sz w:val="24"/>
              </w:rPr>
              <w:t>中标通知书发出之日起2个工作日内</w:t>
            </w:r>
          </w:p>
        </w:tc>
      </w:tr>
      <w:tr w14:paraId="1716E4F0">
        <w:tblPrEx>
          <w:tblCellMar>
            <w:top w:w="0" w:type="dxa"/>
            <w:left w:w="0" w:type="dxa"/>
            <w:bottom w:w="0" w:type="dxa"/>
            <w:right w:w="0" w:type="dxa"/>
          </w:tblCellMar>
        </w:tblPrEx>
        <w:trPr>
          <w:trHeight w:val="443" w:hRule="atLeast"/>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EDBC9A">
            <w:pPr>
              <w:widowControl/>
              <w:snapToGrid w:val="0"/>
              <w:spacing w:line="500" w:lineRule="exact"/>
              <w:jc w:val="center"/>
              <w:rPr>
                <w:rFonts w:hint="eastAsia" w:ascii="宋体" w:hAnsi="宋体" w:cs="宋体"/>
                <w:kern w:val="0"/>
                <w:sz w:val="24"/>
              </w:rPr>
            </w:pPr>
            <w:r>
              <w:rPr>
                <w:rFonts w:hint="eastAsia" w:ascii="宋体" w:hAnsi="宋体" w:cs="宋体"/>
                <w:kern w:val="0"/>
                <w:sz w:val="24"/>
              </w:rPr>
              <w:t>质量标准</w:t>
            </w:r>
          </w:p>
        </w:tc>
        <w:tc>
          <w:tcPr>
            <w:tcW w:w="67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47D620">
            <w:pPr>
              <w:widowControl/>
              <w:snapToGrid w:val="0"/>
              <w:spacing w:line="500" w:lineRule="exact"/>
              <w:rPr>
                <w:rFonts w:hint="eastAsia" w:ascii="宋体" w:hAnsi="宋体" w:cs="宋体"/>
                <w:kern w:val="0"/>
                <w:sz w:val="24"/>
              </w:rPr>
            </w:pPr>
            <w:r>
              <w:rPr>
                <w:rFonts w:hint="eastAsia" w:ascii="宋体" w:hAnsi="宋体" w:cs="宋体"/>
                <w:kern w:val="0"/>
                <w:sz w:val="24"/>
              </w:rPr>
              <w:t>合格（符合国家通用质量标准和现行行业标准及相关食品卫生安全要求）。</w:t>
            </w:r>
          </w:p>
        </w:tc>
      </w:tr>
      <w:tr w14:paraId="12949C96">
        <w:tblPrEx>
          <w:tblCellMar>
            <w:top w:w="0" w:type="dxa"/>
            <w:left w:w="0" w:type="dxa"/>
            <w:bottom w:w="0" w:type="dxa"/>
            <w:right w:w="0" w:type="dxa"/>
          </w:tblCellMar>
        </w:tblPrEx>
        <w:trPr>
          <w:trHeight w:val="593" w:hRule="atLeast"/>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33F183">
            <w:pPr>
              <w:widowControl/>
              <w:spacing w:line="500" w:lineRule="exact"/>
              <w:jc w:val="center"/>
              <w:rPr>
                <w:rFonts w:ascii="宋体" w:hAnsi="宋体" w:cs="宋体"/>
                <w:kern w:val="0"/>
                <w:sz w:val="24"/>
              </w:rPr>
            </w:pPr>
            <w:r>
              <w:rPr>
                <w:rFonts w:hint="eastAsia" w:ascii="宋体" w:hAnsi="宋体" w:cs="宋体"/>
                <w:kern w:val="0"/>
                <w:sz w:val="24"/>
              </w:rPr>
              <w:t>付款方式</w:t>
            </w:r>
          </w:p>
        </w:tc>
        <w:tc>
          <w:tcPr>
            <w:tcW w:w="67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A1C5E2">
            <w:pPr>
              <w:widowControl/>
              <w:spacing w:line="500" w:lineRule="exact"/>
              <w:rPr>
                <w:rFonts w:hint="eastAsia" w:ascii="宋体" w:hAnsi="宋体" w:cs="宋体"/>
                <w:kern w:val="0"/>
                <w:sz w:val="24"/>
              </w:rPr>
            </w:pPr>
            <w:r>
              <w:rPr>
                <w:rFonts w:hint="eastAsia" w:ascii="宋体" w:hAnsi="宋体" w:cs="宋体"/>
                <w:kern w:val="0"/>
                <w:sz w:val="24"/>
              </w:rPr>
              <w:t>每月结算一次</w:t>
            </w:r>
          </w:p>
        </w:tc>
      </w:tr>
      <w:tr w14:paraId="7E441AC8">
        <w:tblPrEx>
          <w:tblCellMar>
            <w:top w:w="0" w:type="dxa"/>
            <w:left w:w="0" w:type="dxa"/>
            <w:bottom w:w="0" w:type="dxa"/>
            <w:right w:w="0" w:type="dxa"/>
          </w:tblCellMar>
        </w:tblPrEx>
        <w:trPr>
          <w:trHeight w:val="478" w:hRule="atLeast"/>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C2E9B2">
            <w:pPr>
              <w:widowControl/>
              <w:snapToGrid w:val="0"/>
              <w:spacing w:line="500" w:lineRule="exact"/>
              <w:jc w:val="center"/>
              <w:rPr>
                <w:rFonts w:hint="eastAsia" w:ascii="宋体" w:hAnsi="宋体" w:cs="宋体"/>
                <w:kern w:val="0"/>
                <w:sz w:val="24"/>
              </w:rPr>
            </w:pPr>
            <w:r>
              <w:rPr>
                <w:rFonts w:hint="eastAsia" w:ascii="宋体" w:hAnsi="宋体" w:cs="宋体"/>
                <w:kern w:val="0"/>
                <w:sz w:val="24"/>
              </w:rPr>
              <w:t>配送要求</w:t>
            </w:r>
          </w:p>
        </w:tc>
        <w:tc>
          <w:tcPr>
            <w:tcW w:w="67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41C126">
            <w:pPr>
              <w:widowControl/>
              <w:snapToGrid w:val="0"/>
              <w:spacing w:line="500" w:lineRule="exact"/>
              <w:rPr>
                <w:rFonts w:hint="eastAsia" w:ascii="宋体" w:hAnsi="宋体" w:cs="宋体"/>
                <w:kern w:val="0"/>
                <w:sz w:val="24"/>
              </w:rPr>
            </w:pPr>
            <w:r>
              <w:rPr>
                <w:rFonts w:hint="eastAsia" w:ascii="宋体" w:hAnsi="宋体" w:cs="宋体"/>
                <w:kern w:val="0"/>
                <w:sz w:val="24"/>
              </w:rPr>
              <w:t>按照采购人的需求送达采购人指定的位置并验收合格；</w:t>
            </w:r>
          </w:p>
        </w:tc>
      </w:tr>
      <w:tr w14:paraId="505503DD">
        <w:tblPrEx>
          <w:tblCellMar>
            <w:top w:w="0" w:type="dxa"/>
            <w:left w:w="0" w:type="dxa"/>
            <w:bottom w:w="0" w:type="dxa"/>
            <w:right w:w="0" w:type="dxa"/>
          </w:tblCellMar>
        </w:tblPrEx>
        <w:trPr>
          <w:trHeight w:val="478" w:hRule="atLeast"/>
        </w:trPr>
        <w:tc>
          <w:tcPr>
            <w:tcW w:w="238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E72ACB">
            <w:pPr>
              <w:widowControl/>
              <w:snapToGrid w:val="0"/>
              <w:spacing w:line="360" w:lineRule="auto"/>
              <w:jc w:val="center"/>
              <w:rPr>
                <w:rFonts w:hint="eastAsia" w:ascii="宋体" w:hAnsi="宋体" w:cs="宋体"/>
                <w:kern w:val="0"/>
                <w:sz w:val="24"/>
              </w:rPr>
            </w:pPr>
            <w:r>
              <w:rPr>
                <w:rFonts w:hint="eastAsia" w:ascii="宋体" w:hAnsi="宋体" w:cs="宋体"/>
                <w:sz w:val="24"/>
              </w:rPr>
              <w:t>履约验收</w:t>
            </w:r>
          </w:p>
        </w:tc>
        <w:tc>
          <w:tcPr>
            <w:tcW w:w="67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F75EB2">
            <w:pPr>
              <w:spacing w:line="360" w:lineRule="auto"/>
              <w:rPr>
                <w:rFonts w:hint="eastAsia" w:ascii="宋体" w:hAnsi="宋体" w:cs="宋体"/>
                <w:sz w:val="24"/>
              </w:rPr>
            </w:pPr>
            <w:r>
              <w:rPr>
                <w:rFonts w:hint="eastAsia" w:ascii="宋体" w:hAnsi="宋体" w:cs="宋体"/>
                <w:sz w:val="24"/>
              </w:rPr>
              <w:t>验收时必须三人同时在场，并在供货清单上签字，确保产品质量、数量、手续齐全（供货单、检测报告、质量检测证明等材料，当场验清）；采购人根据国家有关规定、招标文件、中标供应商的投标文件以及合同约定的内容和验收标准进行验收。验收情况作为支付价款的依据。如有异议或其他外部单位需要抽检，以相关质量技术检验检测机构的检验结果为准，如产生检验检测费用，则该费用由乙方承担。</w:t>
            </w:r>
          </w:p>
        </w:tc>
      </w:tr>
    </w:tbl>
    <w:p w14:paraId="2E05D2C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86E6D"/>
    <w:rsid w:val="5EE8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2026-03-05T09:48:00Z</dcterms:created>
  <dc:creator>wang</dc:creator>
  <cp:lastModifiedBy>wang</cp:lastModifiedBy>
  <dcterms:modified xsi:type="dcterms:W3CDTF">2026-03-05T09:48:33Z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6A56072C05EE4212825835F89BA4C624_11</vt:lpwstr>
  </property>
  <property fmtid="{D5CDD505-2E9C-101B-9397-08002B2CF9AE}" pid="4" name="KSOTemplateDocerSaveRecord">
    <vt:lpwstr>eyJoZGlkIjoiZjhlYjBhZmExYmMwYWMyOWI5NTBiM2EzMTg4YmJkZTEiLCJ1c2VySWQiOiI0NjIzMjUxNjkifQ==</vt:lpwstr>
  </property>
</Properties>
</file>