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kern w:val="0"/>
          <w:sz w:val="48"/>
          <w:szCs w:val="48"/>
        </w:rPr>
      </w:pPr>
    </w:p>
    <w:p>
      <w:pPr>
        <w:jc w:val="center"/>
        <w:rPr>
          <w:b/>
          <w:sz w:val="52"/>
          <w:szCs w:val="52"/>
        </w:rPr>
      </w:pPr>
      <w:r>
        <w:rPr>
          <w:rFonts w:hint="eastAsia"/>
          <w:b/>
          <w:sz w:val="52"/>
          <w:szCs w:val="52"/>
        </w:rPr>
        <w:t>郑州铁路职业技术学院学生宿舍家具购置项目</w:t>
      </w:r>
    </w:p>
    <w:p>
      <w:pPr>
        <w:spacing w:line="360" w:lineRule="auto"/>
        <w:jc w:val="center"/>
        <w:rPr>
          <w:rFonts w:eastAsia="微软雅黑"/>
          <w:b/>
          <w:color w:val="000000"/>
          <w:spacing w:val="36"/>
          <w:sz w:val="56"/>
          <w:szCs w:val="56"/>
        </w:rPr>
      </w:pPr>
    </w:p>
    <w:p>
      <w:pPr>
        <w:rPr>
          <w:rFonts w:eastAsia="黑体"/>
          <w:sz w:val="36"/>
        </w:rPr>
      </w:pPr>
    </w:p>
    <w:p>
      <w:pPr>
        <w:rPr>
          <w:rFonts w:eastAsia="黑体"/>
          <w:sz w:val="36"/>
        </w:rPr>
      </w:pPr>
    </w:p>
    <w:p>
      <w:pPr>
        <w:jc w:val="center"/>
        <w:rPr>
          <w:b/>
          <w:sz w:val="104"/>
          <w:szCs w:val="104"/>
        </w:rPr>
      </w:pPr>
      <w:r>
        <w:rPr>
          <w:b/>
          <w:sz w:val="104"/>
          <w:szCs w:val="104"/>
        </w:rPr>
        <w:t>竞争性磋商文件</w:t>
      </w:r>
    </w:p>
    <w:p>
      <w:pPr>
        <w:jc w:val="center"/>
        <w:rPr>
          <w:b/>
          <w:sz w:val="40"/>
          <w:szCs w:val="40"/>
        </w:rPr>
      </w:pPr>
    </w:p>
    <w:p>
      <w:pPr>
        <w:jc w:val="center"/>
        <w:rPr>
          <w:b/>
          <w:sz w:val="40"/>
          <w:szCs w:val="40"/>
        </w:rPr>
      </w:pPr>
      <w:r>
        <w:rPr>
          <w:b/>
          <w:sz w:val="40"/>
          <w:szCs w:val="40"/>
        </w:rPr>
        <w:t>项目编号：</w:t>
      </w:r>
      <w:r>
        <w:rPr>
          <w:rFonts w:hint="eastAsia"/>
          <w:b/>
          <w:sz w:val="40"/>
          <w:szCs w:val="40"/>
        </w:rPr>
        <w:t>豫财磋商采购-2020-481</w:t>
      </w:r>
    </w:p>
    <w:p>
      <w:pPr>
        <w:jc w:val="center"/>
        <w:rPr>
          <w:rFonts w:eastAsia="黑体"/>
          <w:sz w:val="36"/>
        </w:rPr>
      </w:pPr>
    </w:p>
    <w:p>
      <w:pPr>
        <w:jc w:val="center"/>
        <w:rPr>
          <w:rFonts w:eastAsia="黑体"/>
          <w:sz w:val="36"/>
        </w:rPr>
      </w:pPr>
      <w:r>
        <w:rPr>
          <w:color w:val="000000"/>
        </w:rPr>
        <w:drawing>
          <wp:inline distT="0" distB="0" distL="114300" distR="114300">
            <wp:extent cx="1219200" cy="1219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1219200" cy="1219200"/>
                    </a:xfrm>
                    <a:prstGeom prst="rect">
                      <a:avLst/>
                    </a:prstGeom>
                    <a:noFill/>
                    <a:ln>
                      <a:noFill/>
                    </a:ln>
                  </pic:spPr>
                </pic:pic>
              </a:graphicData>
            </a:graphic>
          </wp:inline>
        </w:drawing>
      </w:r>
    </w:p>
    <w:p>
      <w:pPr>
        <w:rPr>
          <w:rFonts w:eastAsia="黑体"/>
          <w:sz w:val="36"/>
        </w:rPr>
      </w:pPr>
    </w:p>
    <w:p>
      <w:pPr>
        <w:rPr>
          <w:rFonts w:eastAsia="黑体"/>
          <w:sz w:val="36"/>
        </w:rPr>
      </w:pPr>
    </w:p>
    <w:p>
      <w:pPr>
        <w:rPr>
          <w:rFonts w:eastAsia="黑体"/>
          <w:sz w:val="36"/>
        </w:rPr>
      </w:pPr>
    </w:p>
    <w:p>
      <w:pPr>
        <w:tabs>
          <w:tab w:val="left" w:pos="360"/>
        </w:tabs>
        <w:ind w:firstLine="1600" w:firstLineChars="500"/>
        <w:rPr>
          <w:rFonts w:eastAsia="黑体"/>
          <w:sz w:val="32"/>
          <w:szCs w:val="32"/>
        </w:rPr>
      </w:pPr>
    </w:p>
    <w:p>
      <w:pPr>
        <w:tabs>
          <w:tab w:val="left" w:pos="360"/>
        </w:tabs>
        <w:ind w:firstLine="723" w:firstLineChars="200"/>
        <w:rPr>
          <w:b/>
          <w:sz w:val="36"/>
          <w:szCs w:val="36"/>
        </w:rPr>
      </w:pPr>
      <w:r>
        <w:rPr>
          <w:b/>
          <w:sz w:val="36"/>
          <w:szCs w:val="36"/>
        </w:rPr>
        <w:t>采购人：</w:t>
      </w:r>
      <w:r>
        <w:rPr>
          <w:rFonts w:hint="eastAsia"/>
          <w:b/>
          <w:sz w:val="36"/>
          <w:szCs w:val="36"/>
        </w:rPr>
        <w:t>郑州铁路职业技术学院</w:t>
      </w:r>
    </w:p>
    <w:p>
      <w:pPr>
        <w:tabs>
          <w:tab w:val="left" w:pos="360"/>
        </w:tabs>
        <w:rPr>
          <w:b/>
          <w:sz w:val="36"/>
          <w:szCs w:val="36"/>
        </w:rPr>
      </w:pPr>
    </w:p>
    <w:p>
      <w:pPr>
        <w:tabs>
          <w:tab w:val="left" w:pos="360"/>
        </w:tabs>
        <w:ind w:firstLine="723" w:firstLineChars="200"/>
        <w:rPr>
          <w:b/>
          <w:sz w:val="36"/>
          <w:szCs w:val="36"/>
        </w:rPr>
      </w:pPr>
      <w:r>
        <w:rPr>
          <w:b/>
          <w:sz w:val="36"/>
          <w:szCs w:val="36"/>
        </w:rPr>
        <w:t>集中采购机构：河南省公共资源交易中心</w:t>
      </w:r>
    </w:p>
    <w:p>
      <w:pPr>
        <w:spacing w:line="360" w:lineRule="auto"/>
        <w:jc w:val="center"/>
        <w:rPr>
          <w:b/>
          <w:sz w:val="36"/>
          <w:szCs w:val="36"/>
        </w:rPr>
      </w:pPr>
    </w:p>
    <w:p>
      <w:pPr>
        <w:spacing w:line="360" w:lineRule="auto"/>
        <w:jc w:val="center"/>
      </w:pPr>
      <w:r>
        <w:rPr>
          <w:b/>
          <w:sz w:val="36"/>
          <w:szCs w:val="36"/>
        </w:rPr>
        <w:t>2020年10月</w:t>
      </w:r>
      <w:r>
        <w:rPr>
          <w:rFonts w:eastAsia="黑体"/>
          <w:b/>
          <w:sz w:val="32"/>
          <w:szCs w:val="32"/>
        </w:rPr>
        <w:br w:type="page"/>
      </w:r>
      <w:r>
        <w:rPr>
          <w:rFonts w:eastAsia="黑体"/>
          <w:b/>
          <w:sz w:val="32"/>
          <w:szCs w:val="32"/>
        </w:rPr>
        <w:tab/>
      </w:r>
    </w:p>
    <w:p>
      <w:pPr>
        <w:spacing w:line="480" w:lineRule="auto"/>
        <w:jc w:val="center"/>
      </w:pPr>
      <w:r>
        <w:rPr>
          <w:rFonts w:eastAsia="黑体"/>
          <w:sz w:val="44"/>
          <w:szCs w:val="44"/>
        </w:rPr>
        <w:t>目录</w:t>
      </w:r>
      <w:bookmarkStart w:id="0" w:name="_Toc121902684"/>
      <w:bookmarkStart w:id="1" w:name="_Toc536445011"/>
      <w:r>
        <w:rPr>
          <w:rFonts w:eastAsia="等线"/>
          <w:sz w:val="44"/>
          <w:szCs w:val="44"/>
        </w:rPr>
        <w:fldChar w:fldCharType="begin"/>
      </w:r>
      <w:r>
        <w:rPr>
          <w:rFonts w:eastAsia="等线"/>
          <w:sz w:val="44"/>
          <w:szCs w:val="44"/>
        </w:rPr>
        <w:instrText xml:space="preserve"> TOC \o "1-1" \h \z \u </w:instrText>
      </w:r>
      <w:r>
        <w:rPr>
          <w:rFonts w:eastAsia="等线"/>
          <w:sz w:val="44"/>
          <w:szCs w:val="44"/>
        </w:rPr>
        <w:fldChar w:fldCharType="separate"/>
      </w:r>
    </w:p>
    <w:p>
      <w:pPr>
        <w:pStyle w:val="12"/>
        <w:spacing w:line="480" w:lineRule="auto"/>
        <w:rPr>
          <w:rFonts w:ascii="Times New Roman" w:hAnsi="Times New Roman" w:eastAsia="等线"/>
          <w:b w:val="0"/>
          <w:kern w:val="2"/>
          <w:szCs w:val="28"/>
        </w:rPr>
      </w:pPr>
      <w:r>
        <w:fldChar w:fldCharType="begin"/>
      </w:r>
      <w:r>
        <w:instrText xml:space="preserve"> HYPERLINK \l "_Toc44604846" </w:instrText>
      </w:r>
      <w:r>
        <w:fldChar w:fldCharType="separate"/>
      </w:r>
      <w:r>
        <w:rPr>
          <w:rStyle w:val="20"/>
          <w:rFonts w:ascii="Times New Roman" w:hAnsi="Times New Roman"/>
          <w:sz w:val="32"/>
          <w:szCs w:val="32"/>
        </w:rPr>
        <w:t>第一部分竞争性磋商公告</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_Toc44604846 \h </w:instrText>
      </w:r>
      <w:r>
        <w:rPr>
          <w:rFonts w:ascii="Times New Roman" w:hAnsi="Times New Roman"/>
          <w:sz w:val="32"/>
          <w:szCs w:val="32"/>
        </w:rPr>
        <w:fldChar w:fldCharType="separate"/>
      </w:r>
      <w:r>
        <w:rPr>
          <w:rFonts w:ascii="Times New Roman" w:hAnsi="Times New Roman"/>
          <w:sz w:val="32"/>
          <w:szCs w:val="32"/>
        </w:rPr>
        <w:t>3</w:t>
      </w:r>
      <w:r>
        <w:rPr>
          <w:rFonts w:ascii="Times New Roman" w:hAnsi="Times New Roman"/>
          <w:sz w:val="32"/>
          <w:szCs w:val="32"/>
        </w:rPr>
        <w:fldChar w:fldCharType="end"/>
      </w:r>
      <w:r>
        <w:rPr>
          <w:rFonts w:ascii="Times New Roman" w:hAnsi="Times New Roman"/>
          <w:sz w:val="32"/>
          <w:szCs w:val="32"/>
        </w:rPr>
        <w:fldChar w:fldCharType="end"/>
      </w:r>
    </w:p>
    <w:p>
      <w:pPr>
        <w:pStyle w:val="12"/>
        <w:spacing w:line="480" w:lineRule="auto"/>
        <w:rPr>
          <w:rFonts w:ascii="Times New Roman" w:hAnsi="Times New Roman" w:eastAsia="等线"/>
          <w:b w:val="0"/>
          <w:kern w:val="2"/>
          <w:szCs w:val="28"/>
        </w:rPr>
      </w:pPr>
      <w:r>
        <w:fldChar w:fldCharType="begin"/>
      </w:r>
      <w:r>
        <w:instrText xml:space="preserve"> HYPERLINK \l "_Toc44604847" </w:instrText>
      </w:r>
      <w:r>
        <w:fldChar w:fldCharType="separate"/>
      </w:r>
      <w:r>
        <w:rPr>
          <w:rStyle w:val="20"/>
          <w:rFonts w:ascii="Times New Roman" w:hAnsi="Times New Roman"/>
          <w:sz w:val="32"/>
          <w:szCs w:val="32"/>
        </w:rPr>
        <w:t>第二部分竞争性磋商项目资料表</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_Toc44604847 \h </w:instrText>
      </w:r>
      <w:r>
        <w:rPr>
          <w:rFonts w:ascii="Times New Roman" w:hAnsi="Times New Roman"/>
          <w:sz w:val="32"/>
          <w:szCs w:val="32"/>
        </w:rPr>
        <w:fldChar w:fldCharType="separate"/>
      </w:r>
      <w:r>
        <w:rPr>
          <w:rFonts w:ascii="Times New Roman" w:hAnsi="Times New Roman"/>
          <w:sz w:val="32"/>
          <w:szCs w:val="32"/>
        </w:rPr>
        <w:t>6</w:t>
      </w:r>
      <w:r>
        <w:rPr>
          <w:rFonts w:ascii="Times New Roman" w:hAnsi="Times New Roman"/>
          <w:sz w:val="32"/>
          <w:szCs w:val="32"/>
        </w:rPr>
        <w:fldChar w:fldCharType="end"/>
      </w:r>
      <w:r>
        <w:rPr>
          <w:rFonts w:ascii="Times New Roman" w:hAnsi="Times New Roman"/>
          <w:sz w:val="32"/>
          <w:szCs w:val="32"/>
        </w:rPr>
        <w:fldChar w:fldCharType="end"/>
      </w:r>
    </w:p>
    <w:p>
      <w:pPr>
        <w:pStyle w:val="12"/>
        <w:spacing w:line="480" w:lineRule="auto"/>
        <w:rPr>
          <w:rFonts w:ascii="Times New Roman" w:hAnsi="Times New Roman" w:eastAsia="等线"/>
          <w:b w:val="0"/>
          <w:kern w:val="2"/>
          <w:szCs w:val="28"/>
        </w:rPr>
      </w:pPr>
      <w:r>
        <w:fldChar w:fldCharType="begin"/>
      </w:r>
      <w:r>
        <w:instrText xml:space="preserve"> HYPERLINK \l "_Toc44604848" </w:instrText>
      </w:r>
      <w:r>
        <w:fldChar w:fldCharType="separate"/>
      </w:r>
      <w:r>
        <w:rPr>
          <w:rStyle w:val="20"/>
          <w:rFonts w:ascii="Times New Roman" w:hAnsi="Times New Roman"/>
          <w:sz w:val="32"/>
          <w:szCs w:val="32"/>
        </w:rPr>
        <w:t>第三部分竞争性磋商须知</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_Toc44604848 \h </w:instrText>
      </w:r>
      <w:r>
        <w:rPr>
          <w:rFonts w:ascii="Times New Roman" w:hAnsi="Times New Roman"/>
          <w:sz w:val="32"/>
          <w:szCs w:val="32"/>
        </w:rPr>
        <w:fldChar w:fldCharType="separate"/>
      </w:r>
      <w:r>
        <w:rPr>
          <w:rFonts w:ascii="Times New Roman" w:hAnsi="Times New Roman"/>
          <w:sz w:val="32"/>
          <w:szCs w:val="32"/>
        </w:rPr>
        <w:t>12</w:t>
      </w:r>
      <w:r>
        <w:rPr>
          <w:rFonts w:ascii="Times New Roman" w:hAnsi="Times New Roman"/>
          <w:sz w:val="32"/>
          <w:szCs w:val="32"/>
        </w:rPr>
        <w:fldChar w:fldCharType="end"/>
      </w:r>
      <w:r>
        <w:rPr>
          <w:rFonts w:ascii="Times New Roman" w:hAnsi="Times New Roman"/>
          <w:sz w:val="32"/>
          <w:szCs w:val="32"/>
        </w:rPr>
        <w:fldChar w:fldCharType="end"/>
      </w:r>
    </w:p>
    <w:p>
      <w:pPr>
        <w:pStyle w:val="12"/>
        <w:spacing w:line="480" w:lineRule="auto"/>
        <w:rPr>
          <w:rFonts w:ascii="Times New Roman" w:hAnsi="Times New Roman" w:eastAsia="等线"/>
          <w:b w:val="0"/>
          <w:kern w:val="2"/>
          <w:szCs w:val="28"/>
        </w:rPr>
      </w:pPr>
      <w:r>
        <w:fldChar w:fldCharType="begin"/>
      </w:r>
      <w:r>
        <w:instrText xml:space="preserve"> HYPERLINK \l "_Toc44604849" </w:instrText>
      </w:r>
      <w:r>
        <w:fldChar w:fldCharType="separate"/>
      </w:r>
      <w:r>
        <w:rPr>
          <w:rStyle w:val="20"/>
          <w:rFonts w:ascii="Times New Roman" w:hAnsi="Times New Roman"/>
          <w:sz w:val="32"/>
          <w:szCs w:val="32"/>
        </w:rPr>
        <w:t>第四部分合同格式</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_Toc44604849 \h </w:instrText>
      </w:r>
      <w:r>
        <w:rPr>
          <w:rFonts w:ascii="Times New Roman" w:hAnsi="Times New Roman"/>
          <w:sz w:val="32"/>
          <w:szCs w:val="32"/>
        </w:rPr>
        <w:fldChar w:fldCharType="separate"/>
      </w:r>
      <w:r>
        <w:rPr>
          <w:rFonts w:ascii="Times New Roman" w:hAnsi="Times New Roman"/>
          <w:sz w:val="32"/>
          <w:szCs w:val="32"/>
        </w:rPr>
        <w:t>27</w:t>
      </w:r>
      <w:r>
        <w:rPr>
          <w:rFonts w:ascii="Times New Roman" w:hAnsi="Times New Roman"/>
          <w:sz w:val="32"/>
          <w:szCs w:val="32"/>
        </w:rPr>
        <w:fldChar w:fldCharType="end"/>
      </w:r>
      <w:r>
        <w:rPr>
          <w:rFonts w:ascii="Times New Roman" w:hAnsi="Times New Roman"/>
          <w:sz w:val="32"/>
          <w:szCs w:val="32"/>
        </w:rPr>
        <w:fldChar w:fldCharType="end"/>
      </w:r>
    </w:p>
    <w:p>
      <w:pPr>
        <w:pStyle w:val="12"/>
        <w:spacing w:line="480" w:lineRule="auto"/>
        <w:rPr>
          <w:rFonts w:ascii="Times New Roman" w:hAnsi="Times New Roman" w:eastAsia="等线"/>
          <w:b w:val="0"/>
          <w:kern w:val="2"/>
          <w:szCs w:val="28"/>
        </w:rPr>
      </w:pPr>
      <w:r>
        <w:fldChar w:fldCharType="begin"/>
      </w:r>
      <w:r>
        <w:instrText xml:space="preserve"> HYPERLINK \l "_Toc44604850" </w:instrText>
      </w:r>
      <w:r>
        <w:fldChar w:fldCharType="separate"/>
      </w:r>
      <w:r>
        <w:rPr>
          <w:rStyle w:val="20"/>
          <w:rFonts w:ascii="Times New Roman" w:hAnsi="Times New Roman"/>
          <w:sz w:val="32"/>
          <w:szCs w:val="32"/>
        </w:rPr>
        <w:t>第五部分采购项目需求及有关要求</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_Toc44604850 \h </w:instrText>
      </w:r>
      <w:r>
        <w:rPr>
          <w:rFonts w:ascii="Times New Roman" w:hAnsi="Times New Roman"/>
          <w:sz w:val="32"/>
          <w:szCs w:val="32"/>
        </w:rPr>
        <w:fldChar w:fldCharType="separate"/>
      </w:r>
      <w:r>
        <w:rPr>
          <w:rFonts w:ascii="Times New Roman" w:hAnsi="Times New Roman"/>
          <w:sz w:val="32"/>
          <w:szCs w:val="32"/>
        </w:rPr>
        <w:t>27</w:t>
      </w:r>
      <w:r>
        <w:rPr>
          <w:rFonts w:ascii="Times New Roman" w:hAnsi="Times New Roman"/>
          <w:sz w:val="32"/>
          <w:szCs w:val="32"/>
        </w:rPr>
        <w:fldChar w:fldCharType="end"/>
      </w:r>
      <w:r>
        <w:rPr>
          <w:rFonts w:ascii="Times New Roman" w:hAnsi="Times New Roman"/>
          <w:sz w:val="32"/>
          <w:szCs w:val="32"/>
        </w:rPr>
        <w:fldChar w:fldCharType="end"/>
      </w:r>
    </w:p>
    <w:p>
      <w:pPr>
        <w:pStyle w:val="12"/>
        <w:spacing w:line="480" w:lineRule="auto"/>
        <w:rPr>
          <w:rFonts w:ascii="Times New Roman" w:hAnsi="Times New Roman" w:eastAsia="等线"/>
          <w:b w:val="0"/>
          <w:kern w:val="2"/>
          <w:szCs w:val="28"/>
        </w:rPr>
      </w:pPr>
      <w:r>
        <w:fldChar w:fldCharType="begin"/>
      </w:r>
      <w:r>
        <w:instrText xml:space="preserve"> HYPERLINK \l "_Toc44604851" </w:instrText>
      </w:r>
      <w:r>
        <w:fldChar w:fldCharType="separate"/>
      </w:r>
      <w:r>
        <w:rPr>
          <w:rStyle w:val="20"/>
          <w:rFonts w:ascii="Times New Roman" w:hAnsi="Times New Roman"/>
          <w:sz w:val="32"/>
          <w:szCs w:val="32"/>
        </w:rPr>
        <w:t>第六部分磋商响应文件格式及内容</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_Toc44604851 \h </w:instrText>
      </w:r>
      <w:r>
        <w:rPr>
          <w:rFonts w:ascii="Times New Roman" w:hAnsi="Times New Roman"/>
          <w:sz w:val="32"/>
          <w:szCs w:val="32"/>
        </w:rPr>
        <w:fldChar w:fldCharType="separate"/>
      </w:r>
      <w:r>
        <w:rPr>
          <w:rFonts w:ascii="Times New Roman" w:hAnsi="Times New Roman"/>
          <w:sz w:val="32"/>
          <w:szCs w:val="32"/>
        </w:rPr>
        <w:t>34</w:t>
      </w:r>
      <w:r>
        <w:rPr>
          <w:rFonts w:ascii="Times New Roman" w:hAnsi="Times New Roman"/>
          <w:sz w:val="32"/>
          <w:szCs w:val="32"/>
        </w:rPr>
        <w:fldChar w:fldCharType="end"/>
      </w:r>
      <w:r>
        <w:rPr>
          <w:rFonts w:ascii="Times New Roman" w:hAnsi="Times New Roman"/>
          <w:sz w:val="32"/>
          <w:szCs w:val="32"/>
        </w:rPr>
        <w:fldChar w:fldCharType="end"/>
      </w:r>
    </w:p>
    <w:p>
      <w:pPr>
        <w:spacing w:line="480" w:lineRule="auto"/>
        <w:jc w:val="center"/>
        <w:rPr>
          <w:rFonts w:eastAsia="等线"/>
          <w:sz w:val="44"/>
          <w:szCs w:val="44"/>
        </w:rPr>
      </w:pPr>
      <w:r>
        <w:rPr>
          <w:rFonts w:eastAsia="等线"/>
          <w:sz w:val="44"/>
          <w:szCs w:val="44"/>
        </w:rPr>
        <w:fldChar w:fldCharType="end"/>
      </w:r>
    </w:p>
    <w:p>
      <w:pPr>
        <w:pStyle w:val="3"/>
        <w:spacing w:line="360" w:lineRule="auto"/>
        <w:ind w:left="0" w:firstLine="0"/>
        <w:rPr>
          <w:rFonts w:ascii="Times New Roman"/>
          <w:b/>
          <w:sz w:val="44"/>
          <w:szCs w:val="44"/>
        </w:rPr>
      </w:pPr>
      <w:r>
        <w:rPr>
          <w:rFonts w:ascii="Times New Roman" w:eastAsia="等线"/>
          <w:sz w:val="44"/>
          <w:szCs w:val="44"/>
        </w:rPr>
        <w:br w:type="page"/>
      </w:r>
      <w:bookmarkStart w:id="2" w:name="_Toc44604846"/>
      <w:r>
        <w:rPr>
          <w:rFonts w:ascii="Times New Roman"/>
          <w:b/>
          <w:sz w:val="44"/>
          <w:szCs w:val="44"/>
        </w:rPr>
        <w:t>第一部分</w:t>
      </w:r>
      <w:bookmarkEnd w:id="0"/>
      <w:r>
        <w:rPr>
          <w:rFonts w:ascii="Times New Roman"/>
          <w:b/>
          <w:sz w:val="44"/>
          <w:szCs w:val="44"/>
        </w:rPr>
        <w:t>竞争性磋商公告</w:t>
      </w:r>
      <w:bookmarkEnd w:id="1"/>
      <w:bookmarkEnd w:id="2"/>
    </w:p>
    <w:p>
      <w:pPr>
        <w:spacing w:line="400" w:lineRule="exact"/>
        <w:jc w:val="center"/>
        <w:rPr>
          <w:b/>
          <w:kern w:val="0"/>
          <w:sz w:val="32"/>
          <w:szCs w:val="32"/>
        </w:rPr>
      </w:pPr>
      <w:bookmarkStart w:id="3" w:name="OLE_LINK4"/>
      <w:bookmarkStart w:id="4" w:name="OLE_LINK2"/>
      <w:bookmarkStart w:id="5" w:name="OLE_LINK1"/>
      <w:bookmarkStart w:id="6" w:name="_Toc90712511"/>
      <w:bookmarkStart w:id="7" w:name="_Toc90713330"/>
      <w:r>
        <w:rPr>
          <w:rFonts w:hint="eastAsia"/>
          <w:b/>
          <w:kern w:val="0"/>
          <w:sz w:val="32"/>
          <w:szCs w:val="32"/>
        </w:rPr>
        <w:t>郑州铁路职业技术学院学生宿舍家具购置项目</w:t>
      </w:r>
      <w:r>
        <w:rPr>
          <w:b/>
          <w:kern w:val="0"/>
          <w:sz w:val="32"/>
          <w:szCs w:val="32"/>
        </w:rPr>
        <w:t>-竞争性磋商公告</w:t>
      </w:r>
    </w:p>
    <w:bookmarkEnd w:id="3"/>
    <w:bookmarkEnd w:id="4"/>
    <w:p>
      <w:pPr>
        <w:widowControl/>
        <w:jc w:val="center"/>
        <w:rPr>
          <w:rFonts w:eastAsia="微软雅黑"/>
          <w:b/>
          <w:bCs/>
          <w:color w:val="000000"/>
          <w:kern w:val="0"/>
          <w:szCs w:val="21"/>
        </w:rPr>
      </w:pPr>
    </w:p>
    <w:tbl>
      <w:tblPr>
        <w:tblStyle w:val="16"/>
        <w:tblW w:w="8867"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15" w:type="dxa"/>
        </w:trPr>
        <w:tc>
          <w:tcPr>
            <w:tcW w:w="8807" w:type="dxa"/>
            <w:tcMar>
              <w:top w:w="120" w:type="dxa"/>
              <w:left w:w="0" w:type="dxa"/>
              <w:bottom w:w="0" w:type="dxa"/>
              <w:right w:w="0" w:type="dxa"/>
            </w:tcMar>
            <w:vAlign w:val="center"/>
          </w:tcPr>
          <w:p>
            <w:pPr>
              <w:spacing w:line="360" w:lineRule="auto"/>
              <w:ind w:firstLine="482" w:firstLineChars="200"/>
              <w:rPr>
                <w:sz w:val="24"/>
                <w:szCs w:val="24"/>
              </w:rPr>
            </w:pPr>
            <w:r>
              <w:rPr>
                <w:b/>
                <w:bCs/>
                <w:sz w:val="24"/>
                <w:szCs w:val="24"/>
              </w:rPr>
              <w:t>项目概况</w:t>
            </w:r>
          </w:p>
          <w:p>
            <w:pPr>
              <w:spacing w:line="360" w:lineRule="auto"/>
              <w:ind w:firstLine="482" w:firstLineChars="200"/>
              <w:rPr>
                <w:rFonts w:eastAsia="微软雅黑"/>
                <w:color w:val="000000"/>
                <w:kern w:val="0"/>
                <w:szCs w:val="21"/>
              </w:rPr>
            </w:pPr>
            <w:r>
              <w:rPr>
                <w:rFonts w:hint="eastAsia"/>
                <w:b/>
                <w:bCs/>
                <w:sz w:val="24"/>
                <w:szCs w:val="24"/>
                <w:u w:val="single"/>
              </w:rPr>
              <w:t>郑州铁路职业技术学院学生宿舍家具购置项目</w:t>
            </w:r>
            <w:r>
              <w:rPr>
                <w:sz w:val="24"/>
                <w:szCs w:val="24"/>
              </w:rPr>
              <w:t>招标项目的潜在供应商应在</w:t>
            </w:r>
            <w:r>
              <w:rPr>
                <w:b/>
                <w:sz w:val="24"/>
                <w:szCs w:val="24"/>
                <w:u w:val="single"/>
              </w:rPr>
              <w:t>河南省公共资源交易中心网站（</w:t>
            </w:r>
            <w:r>
              <w:fldChar w:fldCharType="begin"/>
            </w:r>
            <w:r>
              <w:instrText xml:space="preserve"> HYPERLINK "http://www.hnggzy.com）获取招标文件，并于2020年10月" </w:instrText>
            </w:r>
            <w:r>
              <w:fldChar w:fldCharType="separate"/>
            </w:r>
            <w:r>
              <w:rPr>
                <w:rStyle w:val="20"/>
                <w:b/>
                <w:sz w:val="24"/>
                <w:szCs w:val="24"/>
              </w:rPr>
              <w:t>http://www.hnggzy.com）</w:t>
            </w:r>
            <w:r>
              <w:rPr>
                <w:rStyle w:val="20"/>
                <w:sz w:val="24"/>
                <w:szCs w:val="24"/>
              </w:rPr>
              <w:t>获取招标文件，并于</w:t>
            </w:r>
            <w:r>
              <w:rPr>
                <w:rStyle w:val="20"/>
                <w:b/>
                <w:bCs/>
                <w:sz w:val="24"/>
                <w:szCs w:val="24"/>
              </w:rPr>
              <w:t>2020年</w:t>
            </w:r>
            <w:r>
              <w:rPr>
                <w:rStyle w:val="20"/>
                <w:rFonts w:hint="eastAsia"/>
                <w:b/>
                <w:bCs/>
                <w:sz w:val="24"/>
                <w:szCs w:val="24"/>
                <w:lang w:val="en-US" w:eastAsia="zh-CN"/>
              </w:rPr>
              <w:t>11</w:t>
            </w:r>
            <w:r>
              <w:rPr>
                <w:rStyle w:val="20"/>
                <w:rFonts w:hint="eastAsia"/>
                <w:b/>
                <w:bCs/>
                <w:sz w:val="24"/>
                <w:szCs w:val="24"/>
              </w:rPr>
              <w:t>月</w:t>
            </w:r>
            <w:r>
              <w:rPr>
                <w:rStyle w:val="20"/>
                <w:rFonts w:hint="eastAsia"/>
                <w:b/>
                <w:bCs/>
                <w:sz w:val="24"/>
                <w:szCs w:val="24"/>
              </w:rPr>
              <w:fldChar w:fldCharType="end"/>
            </w:r>
            <w:r>
              <w:rPr>
                <w:rStyle w:val="20"/>
                <w:rFonts w:hint="eastAsia"/>
                <w:b/>
                <w:bCs/>
                <w:sz w:val="24"/>
                <w:szCs w:val="24"/>
                <w:lang w:val="en-US" w:eastAsia="zh-CN"/>
              </w:rPr>
              <w:t>12</w:t>
            </w:r>
            <w:r>
              <w:rPr>
                <w:b/>
                <w:bCs/>
                <w:sz w:val="24"/>
                <w:szCs w:val="24"/>
                <w:u w:val="single"/>
              </w:rPr>
              <w:t>日09时00分（北京时间）</w:t>
            </w:r>
            <w:r>
              <w:rPr>
                <w:sz w:val="24"/>
                <w:szCs w:val="24"/>
              </w:rPr>
              <w:t>前递交响应文件。</w:t>
            </w:r>
          </w:p>
        </w:tc>
      </w:tr>
    </w:tbl>
    <w:p>
      <w:pPr>
        <w:spacing w:line="360" w:lineRule="auto"/>
        <w:ind w:firstLine="480" w:firstLineChars="200"/>
        <w:rPr>
          <w:sz w:val="24"/>
          <w:szCs w:val="24"/>
        </w:rPr>
      </w:pPr>
      <w:bookmarkStart w:id="8" w:name="_Hlk44946760"/>
      <w:r>
        <w:rPr>
          <w:sz w:val="24"/>
          <w:szCs w:val="24"/>
        </w:rPr>
        <w:t>一、项目基本情况</w:t>
      </w:r>
    </w:p>
    <w:p>
      <w:pPr>
        <w:spacing w:line="360" w:lineRule="auto"/>
        <w:ind w:firstLine="480" w:firstLineChars="200"/>
        <w:rPr>
          <w:sz w:val="24"/>
          <w:szCs w:val="24"/>
        </w:rPr>
      </w:pPr>
      <w:r>
        <w:rPr>
          <w:sz w:val="24"/>
          <w:szCs w:val="24"/>
        </w:rPr>
        <w:t>1、项目编号：</w:t>
      </w:r>
      <w:r>
        <w:rPr>
          <w:rFonts w:hint="eastAsia"/>
          <w:sz w:val="24"/>
          <w:szCs w:val="24"/>
        </w:rPr>
        <w:t>豫财磋商采购-2020-481</w:t>
      </w:r>
    </w:p>
    <w:p>
      <w:pPr>
        <w:spacing w:line="360" w:lineRule="auto"/>
        <w:ind w:firstLine="480" w:firstLineChars="200"/>
        <w:rPr>
          <w:sz w:val="24"/>
          <w:szCs w:val="24"/>
        </w:rPr>
      </w:pPr>
      <w:r>
        <w:rPr>
          <w:sz w:val="24"/>
          <w:szCs w:val="24"/>
        </w:rPr>
        <w:t>2、项目名称：</w:t>
      </w:r>
      <w:r>
        <w:rPr>
          <w:rFonts w:hint="eastAsia"/>
          <w:sz w:val="24"/>
          <w:szCs w:val="24"/>
        </w:rPr>
        <w:t>郑州铁路职业技术学院学生宿舍家具购置项目</w:t>
      </w:r>
    </w:p>
    <w:p>
      <w:pPr>
        <w:spacing w:line="360" w:lineRule="auto"/>
        <w:ind w:firstLine="480" w:firstLineChars="200"/>
        <w:rPr>
          <w:sz w:val="24"/>
          <w:szCs w:val="24"/>
        </w:rPr>
      </w:pPr>
      <w:r>
        <w:rPr>
          <w:sz w:val="24"/>
          <w:szCs w:val="24"/>
        </w:rPr>
        <w:t>3、采购方式：竞争性磋商</w:t>
      </w:r>
    </w:p>
    <w:p>
      <w:pPr>
        <w:spacing w:line="360" w:lineRule="auto"/>
        <w:ind w:firstLine="480" w:firstLineChars="200"/>
        <w:rPr>
          <w:sz w:val="24"/>
          <w:szCs w:val="24"/>
        </w:rPr>
      </w:pPr>
      <w:r>
        <w:rPr>
          <w:sz w:val="24"/>
          <w:szCs w:val="24"/>
        </w:rPr>
        <w:t>4、预算金额：</w:t>
      </w:r>
      <w:r>
        <w:rPr>
          <w:rFonts w:hint="eastAsia"/>
          <w:bCs/>
          <w:sz w:val="24"/>
          <w:szCs w:val="24"/>
        </w:rPr>
        <w:t>2092000</w:t>
      </w:r>
      <w:r>
        <w:rPr>
          <w:sz w:val="24"/>
          <w:szCs w:val="24"/>
        </w:rPr>
        <w:t>元</w:t>
      </w:r>
    </w:p>
    <w:p>
      <w:pPr>
        <w:spacing w:line="360" w:lineRule="auto"/>
        <w:ind w:firstLine="960" w:firstLineChars="400"/>
        <w:rPr>
          <w:sz w:val="24"/>
          <w:szCs w:val="24"/>
        </w:rPr>
      </w:pPr>
      <w:r>
        <w:rPr>
          <w:sz w:val="24"/>
          <w:szCs w:val="24"/>
        </w:rPr>
        <w:t>最高限价：</w:t>
      </w:r>
      <w:r>
        <w:rPr>
          <w:rFonts w:hint="eastAsia"/>
          <w:bCs/>
          <w:sz w:val="24"/>
          <w:szCs w:val="24"/>
        </w:rPr>
        <w:t>2092000</w:t>
      </w:r>
      <w:r>
        <w:rPr>
          <w:sz w:val="24"/>
          <w:szCs w:val="24"/>
        </w:rPr>
        <w:t>元</w:t>
      </w:r>
    </w:p>
    <w:tbl>
      <w:tblPr>
        <w:tblStyle w:val="16"/>
        <w:tblW w:w="8817"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41"/>
        <w:gridCol w:w="2664"/>
        <w:gridCol w:w="2763"/>
        <w:gridCol w:w="1268"/>
        <w:gridCol w:w="168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41" w:type="dxa"/>
            <w:tcBorders>
              <w:top w:val="outset" w:color="auto" w:sz="6" w:space="0"/>
              <w:left w:val="outset" w:color="auto" w:sz="6" w:space="0"/>
              <w:bottom w:val="outset" w:color="auto" w:sz="6" w:space="0"/>
              <w:right w:val="outset" w:color="auto" w:sz="6" w:space="0"/>
            </w:tcBorders>
            <w:tcMar>
              <w:top w:w="120" w:type="dxa"/>
              <w:left w:w="0" w:type="dxa"/>
              <w:bottom w:w="0" w:type="dxa"/>
              <w:right w:w="0" w:type="dxa"/>
            </w:tcMar>
            <w:vAlign w:val="center"/>
          </w:tcPr>
          <w:p>
            <w:pPr>
              <w:widowControl/>
              <w:jc w:val="center"/>
              <w:rPr>
                <w:color w:val="000000"/>
                <w:kern w:val="0"/>
                <w:szCs w:val="21"/>
              </w:rPr>
            </w:pPr>
            <w:bookmarkStart w:id="9" w:name="_Hlk44946691"/>
            <w:r>
              <w:rPr>
                <w:color w:val="000000"/>
                <w:kern w:val="0"/>
                <w:szCs w:val="21"/>
              </w:rPr>
              <w:t>序号</w:t>
            </w:r>
          </w:p>
        </w:tc>
        <w:tc>
          <w:tcPr>
            <w:tcW w:w="2664" w:type="dxa"/>
            <w:tcBorders>
              <w:top w:val="outset" w:color="auto" w:sz="6" w:space="0"/>
              <w:left w:val="outset" w:color="auto" w:sz="6" w:space="0"/>
              <w:bottom w:val="outset" w:color="auto" w:sz="6" w:space="0"/>
              <w:right w:val="outset" w:color="auto" w:sz="6" w:space="0"/>
            </w:tcBorders>
            <w:tcMar>
              <w:top w:w="120" w:type="dxa"/>
              <w:left w:w="0" w:type="dxa"/>
              <w:bottom w:w="0" w:type="dxa"/>
              <w:right w:w="0" w:type="dxa"/>
            </w:tcMar>
            <w:vAlign w:val="center"/>
          </w:tcPr>
          <w:p>
            <w:pPr>
              <w:widowControl/>
              <w:jc w:val="center"/>
              <w:rPr>
                <w:color w:val="000000"/>
                <w:kern w:val="0"/>
                <w:szCs w:val="21"/>
              </w:rPr>
            </w:pPr>
            <w:r>
              <w:rPr>
                <w:color w:val="000000"/>
                <w:kern w:val="0"/>
                <w:szCs w:val="21"/>
              </w:rPr>
              <w:t>包号</w:t>
            </w:r>
          </w:p>
        </w:tc>
        <w:tc>
          <w:tcPr>
            <w:tcW w:w="2763" w:type="dxa"/>
            <w:tcBorders>
              <w:top w:val="outset" w:color="auto" w:sz="6" w:space="0"/>
              <w:left w:val="outset" w:color="auto" w:sz="6" w:space="0"/>
              <w:bottom w:val="outset" w:color="auto" w:sz="6" w:space="0"/>
              <w:right w:val="outset" w:color="auto" w:sz="6" w:space="0"/>
            </w:tcBorders>
            <w:tcMar>
              <w:top w:w="120" w:type="dxa"/>
              <w:left w:w="0" w:type="dxa"/>
              <w:bottom w:w="0" w:type="dxa"/>
              <w:right w:w="0" w:type="dxa"/>
            </w:tcMar>
            <w:vAlign w:val="center"/>
          </w:tcPr>
          <w:p>
            <w:pPr>
              <w:widowControl/>
              <w:jc w:val="center"/>
              <w:rPr>
                <w:color w:val="000000"/>
                <w:kern w:val="0"/>
                <w:szCs w:val="21"/>
              </w:rPr>
            </w:pPr>
            <w:r>
              <w:rPr>
                <w:color w:val="000000"/>
                <w:kern w:val="0"/>
                <w:szCs w:val="21"/>
              </w:rPr>
              <w:t>包名称</w:t>
            </w:r>
          </w:p>
        </w:tc>
        <w:tc>
          <w:tcPr>
            <w:tcW w:w="1268" w:type="dxa"/>
            <w:tcBorders>
              <w:top w:val="outset" w:color="auto" w:sz="6" w:space="0"/>
              <w:left w:val="outset" w:color="auto" w:sz="6" w:space="0"/>
              <w:bottom w:val="outset" w:color="auto" w:sz="6" w:space="0"/>
              <w:right w:val="outset" w:color="auto" w:sz="6" w:space="0"/>
            </w:tcBorders>
            <w:tcMar>
              <w:top w:w="120" w:type="dxa"/>
              <w:left w:w="0" w:type="dxa"/>
              <w:bottom w:w="0" w:type="dxa"/>
              <w:right w:w="0" w:type="dxa"/>
            </w:tcMar>
            <w:vAlign w:val="center"/>
          </w:tcPr>
          <w:p>
            <w:pPr>
              <w:widowControl/>
              <w:jc w:val="center"/>
              <w:rPr>
                <w:color w:val="000000"/>
                <w:kern w:val="0"/>
                <w:szCs w:val="21"/>
              </w:rPr>
            </w:pPr>
            <w:r>
              <w:rPr>
                <w:color w:val="000000"/>
                <w:kern w:val="0"/>
                <w:szCs w:val="21"/>
              </w:rPr>
              <w:t>包预算（元）</w:t>
            </w:r>
          </w:p>
        </w:tc>
        <w:tc>
          <w:tcPr>
            <w:tcW w:w="1681" w:type="dxa"/>
            <w:tcBorders>
              <w:top w:val="outset" w:color="auto" w:sz="6" w:space="0"/>
              <w:left w:val="outset" w:color="auto" w:sz="6" w:space="0"/>
              <w:bottom w:val="outset" w:color="auto" w:sz="6" w:space="0"/>
              <w:right w:val="outset" w:color="auto" w:sz="6" w:space="0"/>
            </w:tcBorders>
            <w:tcMar>
              <w:top w:w="120" w:type="dxa"/>
              <w:left w:w="0" w:type="dxa"/>
              <w:bottom w:w="0" w:type="dxa"/>
              <w:right w:w="0" w:type="dxa"/>
            </w:tcMar>
            <w:vAlign w:val="center"/>
          </w:tcPr>
          <w:p>
            <w:pPr>
              <w:widowControl/>
              <w:jc w:val="center"/>
              <w:rPr>
                <w:color w:val="000000"/>
                <w:kern w:val="0"/>
                <w:szCs w:val="21"/>
              </w:rPr>
            </w:pPr>
            <w:r>
              <w:rPr>
                <w:color w:val="000000"/>
                <w:kern w:val="0"/>
                <w:szCs w:val="21"/>
              </w:rPr>
              <w:t>包最高限价（元）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41" w:type="dxa"/>
            <w:tcBorders>
              <w:top w:val="outset" w:color="auto" w:sz="6" w:space="0"/>
              <w:left w:val="outset" w:color="auto" w:sz="6" w:space="0"/>
              <w:bottom w:val="outset" w:color="auto" w:sz="6" w:space="0"/>
              <w:right w:val="outset" w:color="auto" w:sz="6" w:space="0"/>
            </w:tcBorders>
            <w:tcMar>
              <w:top w:w="120" w:type="dxa"/>
              <w:left w:w="0" w:type="dxa"/>
              <w:bottom w:w="0" w:type="dxa"/>
              <w:right w:w="0" w:type="dxa"/>
            </w:tcMar>
            <w:vAlign w:val="center"/>
          </w:tcPr>
          <w:p>
            <w:pPr>
              <w:widowControl/>
              <w:jc w:val="center"/>
              <w:rPr>
                <w:color w:val="000000"/>
                <w:kern w:val="0"/>
                <w:szCs w:val="21"/>
              </w:rPr>
            </w:pPr>
            <w:r>
              <w:rPr>
                <w:color w:val="000000"/>
                <w:kern w:val="0"/>
                <w:szCs w:val="21"/>
              </w:rPr>
              <w:t>1</w:t>
            </w:r>
          </w:p>
        </w:tc>
        <w:tc>
          <w:tcPr>
            <w:tcW w:w="2664" w:type="dxa"/>
            <w:tcBorders>
              <w:top w:val="outset" w:color="auto" w:sz="6" w:space="0"/>
              <w:left w:val="outset" w:color="auto" w:sz="6" w:space="0"/>
              <w:bottom w:val="outset" w:color="auto" w:sz="6" w:space="0"/>
              <w:right w:val="outset" w:color="auto" w:sz="6" w:space="0"/>
            </w:tcBorders>
            <w:tcMar>
              <w:top w:w="120" w:type="dxa"/>
              <w:left w:w="0" w:type="dxa"/>
              <w:bottom w:w="0" w:type="dxa"/>
              <w:right w:w="0" w:type="dxa"/>
            </w:tcMar>
            <w:vAlign w:val="center"/>
          </w:tcPr>
          <w:p>
            <w:pPr>
              <w:widowControl/>
              <w:jc w:val="center"/>
              <w:rPr>
                <w:color w:val="000000"/>
                <w:kern w:val="0"/>
                <w:szCs w:val="21"/>
              </w:rPr>
            </w:pPr>
            <w:r>
              <w:rPr>
                <w:rFonts w:hint="eastAsia"/>
                <w:color w:val="000000"/>
                <w:kern w:val="0"/>
                <w:szCs w:val="21"/>
              </w:rPr>
              <w:t>豫政采(1)20200134-1</w:t>
            </w:r>
          </w:p>
        </w:tc>
        <w:tc>
          <w:tcPr>
            <w:tcW w:w="2763" w:type="dxa"/>
            <w:tcBorders>
              <w:top w:val="outset" w:color="auto" w:sz="6" w:space="0"/>
              <w:left w:val="outset" w:color="auto" w:sz="6" w:space="0"/>
              <w:bottom w:val="outset" w:color="auto" w:sz="6" w:space="0"/>
              <w:right w:val="outset" w:color="auto" w:sz="6" w:space="0"/>
            </w:tcBorders>
            <w:tcMar>
              <w:top w:w="120" w:type="dxa"/>
              <w:left w:w="0" w:type="dxa"/>
              <w:bottom w:w="0" w:type="dxa"/>
              <w:right w:w="0" w:type="dxa"/>
            </w:tcMar>
            <w:vAlign w:val="center"/>
          </w:tcPr>
          <w:p>
            <w:pPr>
              <w:widowControl/>
              <w:jc w:val="center"/>
              <w:rPr>
                <w:color w:val="000000"/>
                <w:kern w:val="0"/>
                <w:szCs w:val="21"/>
              </w:rPr>
            </w:pPr>
            <w:r>
              <w:rPr>
                <w:rFonts w:hint="eastAsia"/>
                <w:color w:val="000000"/>
                <w:kern w:val="0"/>
                <w:szCs w:val="21"/>
              </w:rPr>
              <w:t>郑州铁路职业技术学院学生宿舍家具购置项目</w:t>
            </w:r>
          </w:p>
        </w:tc>
        <w:tc>
          <w:tcPr>
            <w:tcW w:w="1268" w:type="dxa"/>
            <w:tcBorders>
              <w:top w:val="outset" w:color="auto" w:sz="6" w:space="0"/>
              <w:left w:val="outset" w:color="auto" w:sz="6" w:space="0"/>
              <w:bottom w:val="outset" w:color="auto" w:sz="6" w:space="0"/>
              <w:right w:val="outset" w:color="auto" w:sz="6" w:space="0"/>
            </w:tcBorders>
            <w:tcMar>
              <w:top w:w="120" w:type="dxa"/>
              <w:left w:w="0" w:type="dxa"/>
              <w:bottom w:w="0" w:type="dxa"/>
              <w:right w:w="0" w:type="dxa"/>
            </w:tcMar>
            <w:vAlign w:val="center"/>
          </w:tcPr>
          <w:p>
            <w:pPr>
              <w:widowControl/>
              <w:jc w:val="center"/>
              <w:rPr>
                <w:color w:val="000000"/>
                <w:kern w:val="0"/>
                <w:szCs w:val="21"/>
              </w:rPr>
            </w:pPr>
            <w:r>
              <w:rPr>
                <w:rFonts w:hint="eastAsia"/>
                <w:color w:val="000000"/>
                <w:kern w:val="0"/>
                <w:szCs w:val="21"/>
              </w:rPr>
              <w:t>2092000</w:t>
            </w:r>
          </w:p>
        </w:tc>
        <w:tc>
          <w:tcPr>
            <w:tcW w:w="1681" w:type="dxa"/>
            <w:tcBorders>
              <w:top w:val="outset" w:color="auto" w:sz="6" w:space="0"/>
              <w:left w:val="outset" w:color="auto" w:sz="6" w:space="0"/>
              <w:bottom w:val="outset" w:color="auto" w:sz="6" w:space="0"/>
              <w:right w:val="outset" w:color="auto" w:sz="6" w:space="0"/>
            </w:tcBorders>
            <w:tcMar>
              <w:top w:w="120" w:type="dxa"/>
              <w:left w:w="0" w:type="dxa"/>
              <w:bottom w:w="0" w:type="dxa"/>
              <w:right w:w="0" w:type="dxa"/>
            </w:tcMar>
            <w:vAlign w:val="center"/>
          </w:tcPr>
          <w:p>
            <w:pPr>
              <w:widowControl/>
              <w:jc w:val="center"/>
              <w:rPr>
                <w:color w:val="000000"/>
                <w:kern w:val="0"/>
                <w:szCs w:val="21"/>
              </w:rPr>
            </w:pPr>
            <w:r>
              <w:rPr>
                <w:rFonts w:hint="eastAsia"/>
                <w:color w:val="000000"/>
                <w:kern w:val="0"/>
                <w:szCs w:val="21"/>
              </w:rPr>
              <w:t>2092000</w:t>
            </w:r>
          </w:p>
        </w:tc>
      </w:tr>
      <w:bookmarkEnd w:id="9"/>
    </w:tbl>
    <w:p>
      <w:pPr>
        <w:spacing w:line="360" w:lineRule="auto"/>
        <w:ind w:firstLine="480" w:firstLineChars="200"/>
        <w:rPr>
          <w:sz w:val="24"/>
          <w:szCs w:val="24"/>
        </w:rPr>
      </w:pPr>
    </w:p>
    <w:p>
      <w:pPr>
        <w:spacing w:line="360" w:lineRule="auto"/>
        <w:ind w:firstLine="480" w:firstLineChars="200"/>
        <w:rPr>
          <w:sz w:val="24"/>
          <w:szCs w:val="24"/>
        </w:rPr>
      </w:pPr>
      <w:r>
        <w:rPr>
          <w:sz w:val="24"/>
          <w:szCs w:val="24"/>
        </w:rPr>
        <w:t>5、采购需求（包括但不限于标的的名称、数量、简要技术需求或服务要求等）</w:t>
      </w:r>
    </w:p>
    <w:p>
      <w:pPr>
        <w:spacing w:line="360" w:lineRule="auto"/>
        <w:ind w:firstLine="435"/>
        <w:rPr>
          <w:rFonts w:eastAsia="微软雅黑 ! important"/>
          <w:bCs/>
          <w:sz w:val="24"/>
          <w:szCs w:val="24"/>
        </w:rPr>
      </w:pPr>
      <w:r>
        <w:rPr>
          <w:bCs/>
          <w:sz w:val="24"/>
          <w:szCs w:val="24"/>
        </w:rPr>
        <w:t>（1）采购内容：</w:t>
      </w:r>
      <w:r>
        <w:rPr>
          <w:rFonts w:hint="eastAsia"/>
          <w:bCs/>
          <w:sz w:val="24"/>
          <w:szCs w:val="24"/>
        </w:rPr>
        <w:t>郑州铁路职业技术学院学生宿舍家具购置项目</w:t>
      </w:r>
    </w:p>
    <w:p>
      <w:pPr>
        <w:spacing w:line="360" w:lineRule="auto"/>
        <w:ind w:firstLine="435"/>
        <w:rPr>
          <w:bCs/>
          <w:sz w:val="24"/>
          <w:szCs w:val="24"/>
        </w:rPr>
      </w:pPr>
      <w:r>
        <w:rPr>
          <w:bCs/>
          <w:sz w:val="24"/>
          <w:szCs w:val="24"/>
        </w:rPr>
        <w:t>（2）交货地点：采购人指定地点</w:t>
      </w:r>
    </w:p>
    <w:p>
      <w:pPr>
        <w:spacing w:line="360" w:lineRule="auto"/>
        <w:ind w:firstLine="435"/>
        <w:rPr>
          <w:bCs/>
          <w:sz w:val="24"/>
          <w:szCs w:val="24"/>
        </w:rPr>
      </w:pPr>
      <w:r>
        <w:rPr>
          <w:bCs/>
          <w:sz w:val="24"/>
          <w:szCs w:val="24"/>
        </w:rPr>
        <w:t>（3）质量标准：合格</w:t>
      </w:r>
    </w:p>
    <w:p>
      <w:pPr>
        <w:spacing w:line="360" w:lineRule="auto"/>
        <w:ind w:firstLine="435"/>
        <w:rPr>
          <w:color w:val="FF0000"/>
          <w:sz w:val="24"/>
          <w:szCs w:val="24"/>
        </w:rPr>
      </w:pPr>
      <w:r>
        <w:rPr>
          <w:bCs/>
          <w:sz w:val="24"/>
          <w:szCs w:val="24"/>
        </w:rPr>
        <w:t>（4）质量保证期：</w:t>
      </w:r>
      <w:r>
        <w:rPr>
          <w:rFonts w:hint="eastAsia"/>
          <w:bCs/>
          <w:sz w:val="24"/>
          <w:szCs w:val="24"/>
        </w:rPr>
        <w:t>3</w:t>
      </w:r>
      <w:r>
        <w:rPr>
          <w:bCs/>
          <w:sz w:val="24"/>
          <w:szCs w:val="24"/>
        </w:rPr>
        <w:t>年，从验收合格之日起开始计算</w:t>
      </w:r>
    </w:p>
    <w:p>
      <w:pPr>
        <w:spacing w:line="360" w:lineRule="auto"/>
        <w:ind w:firstLine="480" w:firstLineChars="200"/>
        <w:rPr>
          <w:sz w:val="24"/>
          <w:szCs w:val="24"/>
        </w:rPr>
      </w:pPr>
      <w:r>
        <w:rPr>
          <w:sz w:val="24"/>
          <w:szCs w:val="24"/>
        </w:rPr>
        <w:t>6、合同履行期限：40</w:t>
      </w:r>
      <w:r>
        <w:rPr>
          <w:rFonts w:hint="eastAsia"/>
          <w:sz w:val="24"/>
          <w:szCs w:val="24"/>
        </w:rPr>
        <w:t>日历</w:t>
      </w:r>
      <w:r>
        <w:rPr>
          <w:sz w:val="24"/>
          <w:szCs w:val="24"/>
        </w:rPr>
        <w:t>天</w:t>
      </w:r>
    </w:p>
    <w:bookmarkEnd w:id="8"/>
    <w:p>
      <w:pPr>
        <w:spacing w:line="360" w:lineRule="auto"/>
        <w:ind w:firstLine="480" w:firstLineChars="200"/>
        <w:rPr>
          <w:sz w:val="24"/>
          <w:szCs w:val="24"/>
        </w:rPr>
      </w:pPr>
      <w:r>
        <w:rPr>
          <w:sz w:val="24"/>
          <w:szCs w:val="24"/>
        </w:rPr>
        <w:t>7、本项目是否接受联合体投标：否</w:t>
      </w:r>
    </w:p>
    <w:p>
      <w:pPr>
        <w:spacing w:line="360" w:lineRule="auto"/>
        <w:ind w:firstLine="480" w:firstLineChars="200"/>
        <w:rPr>
          <w:sz w:val="24"/>
          <w:szCs w:val="24"/>
        </w:rPr>
      </w:pPr>
      <w:r>
        <w:rPr>
          <w:sz w:val="24"/>
          <w:szCs w:val="24"/>
        </w:rPr>
        <w:t>8、是否接受进口产品：否</w:t>
      </w:r>
    </w:p>
    <w:p>
      <w:pPr>
        <w:spacing w:line="360" w:lineRule="auto"/>
        <w:ind w:firstLine="480" w:firstLineChars="200"/>
        <w:rPr>
          <w:sz w:val="24"/>
          <w:szCs w:val="24"/>
        </w:rPr>
      </w:pPr>
      <w:r>
        <w:rPr>
          <w:sz w:val="24"/>
          <w:szCs w:val="24"/>
        </w:rPr>
        <w:t>二、申请人资格要求：</w:t>
      </w:r>
    </w:p>
    <w:p>
      <w:pPr>
        <w:spacing w:line="360" w:lineRule="auto"/>
        <w:ind w:firstLine="480" w:firstLineChars="200"/>
        <w:rPr>
          <w:sz w:val="24"/>
          <w:szCs w:val="24"/>
        </w:rPr>
      </w:pPr>
      <w:r>
        <w:rPr>
          <w:sz w:val="24"/>
          <w:szCs w:val="24"/>
        </w:rPr>
        <w:t>1、满足《中华人民共和国政府采购法》第二十二条规定；</w:t>
      </w:r>
    </w:p>
    <w:p>
      <w:pPr>
        <w:spacing w:line="360" w:lineRule="auto"/>
        <w:ind w:firstLine="480" w:firstLineChars="200"/>
        <w:rPr>
          <w:sz w:val="24"/>
          <w:szCs w:val="24"/>
        </w:rPr>
      </w:pPr>
      <w:r>
        <w:rPr>
          <w:sz w:val="24"/>
          <w:szCs w:val="24"/>
        </w:rPr>
        <w:t>2、落实政府采购政策满足的资格要求：</w:t>
      </w:r>
    </w:p>
    <w:p>
      <w:pPr>
        <w:spacing w:line="360" w:lineRule="auto"/>
        <w:ind w:firstLine="435"/>
        <w:rPr>
          <w:sz w:val="24"/>
          <w:szCs w:val="24"/>
        </w:rPr>
      </w:pPr>
      <w:r>
        <w:rPr>
          <w:bCs/>
          <w:sz w:val="24"/>
          <w:szCs w:val="24"/>
        </w:rPr>
        <w:t>本项目落实节能环保、小微企业扶持等相关政府采购政策。</w:t>
      </w:r>
    </w:p>
    <w:p>
      <w:pPr>
        <w:spacing w:line="360" w:lineRule="auto"/>
        <w:ind w:firstLine="480" w:firstLineChars="200"/>
        <w:rPr>
          <w:sz w:val="24"/>
          <w:szCs w:val="24"/>
        </w:rPr>
      </w:pPr>
      <w:r>
        <w:rPr>
          <w:sz w:val="24"/>
          <w:szCs w:val="24"/>
        </w:rPr>
        <w:t>3、本项目的特定资格要求</w:t>
      </w:r>
    </w:p>
    <w:p>
      <w:pPr>
        <w:spacing w:line="360" w:lineRule="auto"/>
        <w:ind w:firstLine="435"/>
        <w:rPr>
          <w:bCs/>
          <w:sz w:val="24"/>
          <w:szCs w:val="24"/>
        </w:rPr>
      </w:pPr>
      <w:r>
        <w:rPr>
          <w:bCs/>
          <w:sz w:val="24"/>
          <w:szCs w:val="24"/>
        </w:rPr>
        <w:t>（1）按采购文件要求提交磋商响应承诺函；</w:t>
      </w:r>
    </w:p>
    <w:p>
      <w:pPr>
        <w:spacing w:line="360" w:lineRule="auto"/>
        <w:ind w:firstLine="435"/>
        <w:rPr>
          <w:bCs/>
          <w:sz w:val="24"/>
          <w:szCs w:val="24"/>
        </w:rPr>
      </w:pPr>
      <w:r>
        <w:rPr>
          <w:bCs/>
          <w:sz w:val="24"/>
          <w:szCs w:val="24"/>
        </w:rPr>
        <w:t>（2）在“信用中国”网站（www.creditchina.gov.cn）未被列入失信被执行人、重大税收违法案件当事人名单；在 “中国政府采购网” （www.ccgp.gov.cn）未被列入政府采购严重违法失信行为记录名单；</w:t>
      </w:r>
    </w:p>
    <w:p>
      <w:pPr>
        <w:spacing w:line="360" w:lineRule="auto"/>
        <w:ind w:firstLine="435"/>
        <w:rPr>
          <w:bCs/>
          <w:sz w:val="24"/>
          <w:szCs w:val="24"/>
        </w:rPr>
      </w:pPr>
      <w:r>
        <w:rPr>
          <w:bCs/>
          <w:sz w:val="24"/>
          <w:szCs w:val="24"/>
        </w:rPr>
        <w:t>（3）与采购人、采购人就本次采购的项目委托的咨询机构、集中采购机构、以及上述机构的附属机构没有行政或经济关联；</w:t>
      </w:r>
    </w:p>
    <w:p>
      <w:pPr>
        <w:spacing w:line="360" w:lineRule="auto"/>
        <w:ind w:firstLine="435"/>
        <w:rPr>
          <w:sz w:val="24"/>
          <w:szCs w:val="24"/>
        </w:rPr>
      </w:pPr>
      <w:r>
        <w:rPr>
          <w:bCs/>
          <w:sz w:val="24"/>
          <w:szCs w:val="24"/>
        </w:rPr>
        <w:t>（4）单位负责人为同一人或者存在直接控股、管理关系的不同供应商，不得参加同一合同项下的政府采购活动。</w:t>
      </w:r>
    </w:p>
    <w:p>
      <w:pPr>
        <w:spacing w:line="360" w:lineRule="auto"/>
        <w:ind w:firstLine="480" w:firstLineChars="200"/>
        <w:rPr>
          <w:sz w:val="24"/>
          <w:szCs w:val="24"/>
        </w:rPr>
      </w:pPr>
      <w:r>
        <w:rPr>
          <w:sz w:val="24"/>
          <w:szCs w:val="24"/>
        </w:rPr>
        <w:t>三、获取采购文件</w:t>
      </w:r>
    </w:p>
    <w:p>
      <w:pPr>
        <w:spacing w:line="360" w:lineRule="auto"/>
        <w:ind w:firstLine="480" w:firstLineChars="200"/>
        <w:rPr>
          <w:sz w:val="24"/>
          <w:szCs w:val="24"/>
        </w:rPr>
      </w:pPr>
      <w:r>
        <w:rPr>
          <w:sz w:val="24"/>
          <w:szCs w:val="24"/>
        </w:rPr>
        <w:t>1.时间：2020年10月</w:t>
      </w:r>
      <w:r>
        <w:rPr>
          <w:rFonts w:hint="eastAsia"/>
          <w:sz w:val="24"/>
          <w:szCs w:val="24"/>
          <w:lang w:val="en-US" w:eastAsia="zh-CN"/>
        </w:rPr>
        <w:t>26</w:t>
      </w:r>
      <w:r>
        <w:rPr>
          <w:sz w:val="24"/>
          <w:szCs w:val="24"/>
        </w:rPr>
        <w:t>日至 2020年</w:t>
      </w:r>
      <w:r>
        <w:rPr>
          <w:rFonts w:hint="eastAsia"/>
          <w:sz w:val="24"/>
          <w:szCs w:val="24"/>
        </w:rPr>
        <w:t>1</w:t>
      </w:r>
      <w:r>
        <w:rPr>
          <w:rFonts w:hint="eastAsia"/>
          <w:sz w:val="24"/>
          <w:szCs w:val="24"/>
          <w:lang w:val="en-US" w:eastAsia="zh-CN"/>
        </w:rPr>
        <w:t>1</w:t>
      </w:r>
      <w:r>
        <w:rPr>
          <w:sz w:val="24"/>
          <w:szCs w:val="24"/>
        </w:rPr>
        <w:t>月</w:t>
      </w:r>
      <w:r>
        <w:rPr>
          <w:rFonts w:hint="eastAsia"/>
          <w:sz w:val="24"/>
          <w:szCs w:val="24"/>
          <w:lang w:val="en-US" w:eastAsia="zh-CN"/>
        </w:rPr>
        <w:t>2</w:t>
      </w:r>
      <w:r>
        <w:rPr>
          <w:sz w:val="24"/>
          <w:szCs w:val="24"/>
        </w:rPr>
        <w:t>日，每天上午08:00至1</w:t>
      </w:r>
      <w:r>
        <w:rPr>
          <w:rFonts w:hint="eastAsia"/>
          <w:sz w:val="24"/>
          <w:szCs w:val="24"/>
        </w:rPr>
        <w:t>1</w:t>
      </w:r>
      <w:r>
        <w:rPr>
          <w:sz w:val="24"/>
          <w:szCs w:val="24"/>
        </w:rPr>
        <w:t>:</w:t>
      </w:r>
      <w:r>
        <w:rPr>
          <w:rFonts w:hint="eastAsia"/>
          <w:sz w:val="24"/>
          <w:szCs w:val="24"/>
        </w:rPr>
        <w:t>59</w:t>
      </w:r>
      <w:r>
        <w:rPr>
          <w:sz w:val="24"/>
          <w:szCs w:val="24"/>
        </w:rPr>
        <w:t>，下午12:00至23:59（北京时间，法定节假日除外。）</w:t>
      </w:r>
    </w:p>
    <w:p>
      <w:pPr>
        <w:spacing w:line="360" w:lineRule="auto"/>
        <w:ind w:firstLine="480" w:firstLineChars="200"/>
        <w:rPr>
          <w:sz w:val="24"/>
          <w:szCs w:val="24"/>
        </w:rPr>
      </w:pPr>
      <w:r>
        <w:rPr>
          <w:sz w:val="24"/>
          <w:szCs w:val="24"/>
        </w:rPr>
        <w:t>2.地点：</w:t>
      </w:r>
      <w:r>
        <w:rPr>
          <w:bCs/>
          <w:sz w:val="24"/>
          <w:szCs w:val="24"/>
        </w:rPr>
        <w:t>河南省公共资源交易中心网站（http://www.hnggzy.com）</w:t>
      </w:r>
    </w:p>
    <w:p>
      <w:pPr>
        <w:spacing w:line="360" w:lineRule="auto"/>
        <w:ind w:firstLine="480" w:firstLineChars="200"/>
        <w:rPr>
          <w:sz w:val="24"/>
          <w:szCs w:val="24"/>
        </w:rPr>
      </w:pPr>
      <w:r>
        <w:rPr>
          <w:sz w:val="24"/>
          <w:szCs w:val="24"/>
        </w:rPr>
        <w:t>3.方式：</w:t>
      </w:r>
      <w:r>
        <w:rPr>
          <w:bCs/>
          <w:sz w:val="24"/>
          <w:szCs w:val="24"/>
        </w:rPr>
        <w:t>使用CA数字证书登录河南省公共资源交易中心网站并按网上提示下载采购文件及资料。供应商未在规定时间从网上下载采购文件的，其响应文件将被拒绝。</w:t>
      </w:r>
    </w:p>
    <w:p>
      <w:pPr>
        <w:spacing w:line="360" w:lineRule="auto"/>
        <w:ind w:firstLine="480" w:firstLineChars="200"/>
        <w:rPr>
          <w:sz w:val="24"/>
          <w:szCs w:val="24"/>
        </w:rPr>
      </w:pPr>
      <w:r>
        <w:rPr>
          <w:sz w:val="24"/>
          <w:szCs w:val="24"/>
        </w:rPr>
        <w:t>4.售价：0元</w:t>
      </w:r>
    </w:p>
    <w:p>
      <w:pPr>
        <w:spacing w:line="360" w:lineRule="auto"/>
        <w:ind w:firstLine="480" w:firstLineChars="200"/>
        <w:rPr>
          <w:sz w:val="24"/>
          <w:szCs w:val="24"/>
        </w:rPr>
      </w:pPr>
      <w:bookmarkStart w:id="10" w:name="_Hlk44947440"/>
      <w:r>
        <w:rPr>
          <w:sz w:val="24"/>
          <w:szCs w:val="24"/>
        </w:rPr>
        <w:t>四、响应文件提交</w:t>
      </w:r>
    </w:p>
    <w:p>
      <w:pPr>
        <w:spacing w:line="360" w:lineRule="auto"/>
        <w:ind w:firstLine="480" w:firstLineChars="200"/>
        <w:rPr>
          <w:sz w:val="24"/>
          <w:szCs w:val="24"/>
        </w:rPr>
      </w:pPr>
      <w:r>
        <w:rPr>
          <w:sz w:val="24"/>
          <w:szCs w:val="24"/>
        </w:rPr>
        <w:t>1.时间：2020年</w:t>
      </w:r>
      <w:r>
        <w:rPr>
          <w:rFonts w:hint="eastAsia"/>
          <w:sz w:val="24"/>
          <w:szCs w:val="24"/>
          <w:lang w:val="en-US" w:eastAsia="zh-CN"/>
        </w:rPr>
        <w:t>11</w:t>
      </w:r>
      <w:r>
        <w:rPr>
          <w:sz w:val="24"/>
          <w:szCs w:val="24"/>
        </w:rPr>
        <w:t>月</w:t>
      </w:r>
      <w:r>
        <w:rPr>
          <w:rFonts w:hint="eastAsia"/>
          <w:sz w:val="24"/>
          <w:szCs w:val="24"/>
          <w:lang w:val="en-US" w:eastAsia="zh-CN"/>
        </w:rPr>
        <w:t>12</w:t>
      </w:r>
      <w:r>
        <w:rPr>
          <w:sz w:val="24"/>
          <w:szCs w:val="24"/>
        </w:rPr>
        <w:t>日09时00分（北京时间）</w:t>
      </w:r>
    </w:p>
    <w:p>
      <w:pPr>
        <w:spacing w:line="360" w:lineRule="auto"/>
        <w:ind w:firstLine="480" w:firstLineChars="200"/>
        <w:rPr>
          <w:sz w:val="24"/>
          <w:szCs w:val="24"/>
        </w:rPr>
      </w:pPr>
      <w:r>
        <w:rPr>
          <w:sz w:val="24"/>
          <w:szCs w:val="24"/>
        </w:rPr>
        <w:t>2.地点：</w:t>
      </w:r>
      <w:r>
        <w:rPr>
          <w:bCs/>
          <w:sz w:val="24"/>
          <w:szCs w:val="24"/>
        </w:rPr>
        <w:t>加密电子响应文件须在响应文件提交的截止时间前通过“河南省公共资源交易中心（www.hnggzy.com）”电子交易平台加密上传。逾期上传的或者未上传指定地点的响应文件，采购人不予受理。</w:t>
      </w:r>
    </w:p>
    <w:p>
      <w:pPr>
        <w:spacing w:line="360" w:lineRule="auto"/>
        <w:ind w:firstLine="480" w:firstLineChars="200"/>
        <w:rPr>
          <w:sz w:val="24"/>
          <w:szCs w:val="24"/>
        </w:rPr>
      </w:pPr>
      <w:bookmarkStart w:id="11" w:name="_Hlk44926405"/>
      <w:r>
        <w:rPr>
          <w:sz w:val="24"/>
          <w:szCs w:val="24"/>
        </w:rPr>
        <w:t>五、响应文件开启</w:t>
      </w:r>
    </w:p>
    <w:p>
      <w:pPr>
        <w:spacing w:line="360" w:lineRule="auto"/>
        <w:ind w:firstLine="480" w:firstLineChars="200"/>
        <w:rPr>
          <w:sz w:val="24"/>
          <w:szCs w:val="24"/>
        </w:rPr>
      </w:pPr>
      <w:r>
        <w:rPr>
          <w:sz w:val="24"/>
          <w:szCs w:val="24"/>
        </w:rPr>
        <w:t>1.时间：2020年1</w:t>
      </w:r>
      <w:r>
        <w:rPr>
          <w:rFonts w:hint="eastAsia"/>
          <w:sz w:val="24"/>
          <w:szCs w:val="24"/>
          <w:lang w:val="en-US" w:eastAsia="zh-CN"/>
        </w:rPr>
        <w:t>1</w:t>
      </w:r>
      <w:r>
        <w:rPr>
          <w:sz w:val="24"/>
          <w:szCs w:val="24"/>
        </w:rPr>
        <w:t>月</w:t>
      </w:r>
      <w:r>
        <w:rPr>
          <w:rFonts w:hint="eastAsia"/>
          <w:sz w:val="24"/>
          <w:szCs w:val="24"/>
          <w:lang w:val="en-US" w:eastAsia="zh-CN"/>
        </w:rPr>
        <w:t>12</w:t>
      </w:r>
      <w:r>
        <w:rPr>
          <w:sz w:val="24"/>
          <w:szCs w:val="24"/>
        </w:rPr>
        <w:t>日09时00分（北京时间）</w:t>
      </w:r>
    </w:p>
    <w:p>
      <w:pPr>
        <w:spacing w:line="360" w:lineRule="auto"/>
        <w:ind w:firstLine="480" w:firstLineChars="200"/>
        <w:rPr>
          <w:sz w:val="24"/>
          <w:szCs w:val="24"/>
        </w:rPr>
      </w:pPr>
      <w:r>
        <w:rPr>
          <w:sz w:val="24"/>
          <w:szCs w:val="24"/>
        </w:rPr>
        <w:t>2.地点：河南省公共资源交易中心第</w:t>
      </w:r>
      <w:r>
        <w:rPr>
          <w:rFonts w:hint="eastAsia"/>
          <w:sz w:val="24"/>
          <w:szCs w:val="24"/>
          <w:lang w:val="en-US" w:eastAsia="zh-CN"/>
        </w:rPr>
        <w:t>15</w:t>
      </w:r>
      <w:r>
        <w:rPr>
          <w:sz w:val="24"/>
          <w:szCs w:val="24"/>
        </w:rPr>
        <w:t>开标室。磋商方式：“远程不见面”磋商方式，供应商无需到河南省公共资源交易中心现场参加磋商会议。</w:t>
      </w:r>
      <w:r>
        <w:rPr>
          <w:bCs/>
          <w:sz w:val="24"/>
          <w:szCs w:val="24"/>
        </w:rPr>
        <w:t>在响应文件开启时间前，供应商登录远程开标大厅（www.hnggzyjy.cn），在线准时参加响应文件开启活动并进行文件解密，澄清、二次报价等。未在规定时间内解密响应文件的供应商，其响应文件无效。</w:t>
      </w:r>
      <w:bookmarkEnd w:id="11"/>
    </w:p>
    <w:bookmarkEnd w:id="10"/>
    <w:p>
      <w:pPr>
        <w:spacing w:line="360" w:lineRule="auto"/>
        <w:ind w:firstLine="480" w:firstLineChars="200"/>
        <w:rPr>
          <w:sz w:val="24"/>
          <w:szCs w:val="24"/>
        </w:rPr>
      </w:pPr>
      <w:r>
        <w:rPr>
          <w:sz w:val="24"/>
          <w:szCs w:val="24"/>
        </w:rPr>
        <w:t>六、发布公告的媒介及招标公告期限</w:t>
      </w:r>
    </w:p>
    <w:p>
      <w:pPr>
        <w:spacing w:line="360" w:lineRule="auto"/>
        <w:ind w:firstLine="480" w:firstLineChars="200"/>
        <w:rPr>
          <w:sz w:val="24"/>
          <w:szCs w:val="24"/>
        </w:rPr>
      </w:pPr>
      <w:r>
        <w:rPr>
          <w:sz w:val="24"/>
          <w:szCs w:val="24"/>
        </w:rPr>
        <w:t>本次招标公告在《河南省政府采购网》</w:t>
      </w:r>
      <w:r>
        <w:rPr>
          <w:bCs/>
          <w:sz w:val="24"/>
          <w:szCs w:val="24"/>
        </w:rPr>
        <w:t>、《河南省公共资源交易中心网》</w:t>
      </w:r>
      <w:r>
        <w:rPr>
          <w:sz w:val="24"/>
          <w:szCs w:val="24"/>
        </w:rPr>
        <w:t>上发布。招标公告期限为三个工作日2020年10月</w:t>
      </w:r>
      <w:r>
        <w:rPr>
          <w:rFonts w:hint="eastAsia"/>
          <w:sz w:val="24"/>
          <w:szCs w:val="24"/>
          <w:lang w:val="en-US" w:eastAsia="zh-CN"/>
        </w:rPr>
        <w:t>26</w:t>
      </w:r>
      <w:r>
        <w:rPr>
          <w:sz w:val="24"/>
          <w:szCs w:val="24"/>
        </w:rPr>
        <w:t>日至2020年1</w:t>
      </w:r>
      <w:r>
        <w:rPr>
          <w:rFonts w:hint="eastAsia"/>
          <w:sz w:val="24"/>
          <w:szCs w:val="24"/>
          <w:lang w:val="en-US" w:eastAsia="zh-CN"/>
        </w:rPr>
        <w:t>0</w:t>
      </w:r>
      <w:r>
        <w:rPr>
          <w:sz w:val="24"/>
          <w:szCs w:val="24"/>
        </w:rPr>
        <w:t>月</w:t>
      </w:r>
      <w:r>
        <w:rPr>
          <w:rFonts w:hint="eastAsia"/>
          <w:sz w:val="24"/>
          <w:szCs w:val="24"/>
          <w:lang w:val="en-US" w:eastAsia="zh-CN"/>
        </w:rPr>
        <w:t>29</w:t>
      </w:r>
      <w:r>
        <w:rPr>
          <w:sz w:val="24"/>
          <w:szCs w:val="24"/>
        </w:rPr>
        <w:t>日。</w:t>
      </w:r>
    </w:p>
    <w:p>
      <w:pPr>
        <w:spacing w:line="360" w:lineRule="auto"/>
        <w:ind w:firstLine="480" w:firstLineChars="200"/>
        <w:rPr>
          <w:sz w:val="24"/>
          <w:szCs w:val="24"/>
        </w:rPr>
      </w:pPr>
      <w:r>
        <w:rPr>
          <w:sz w:val="24"/>
          <w:szCs w:val="24"/>
        </w:rPr>
        <w:t>七、其他补充事宜</w:t>
      </w:r>
    </w:p>
    <w:p>
      <w:pPr>
        <w:spacing w:line="360" w:lineRule="auto"/>
        <w:ind w:firstLine="480" w:firstLineChars="200"/>
        <w:rPr>
          <w:sz w:val="24"/>
          <w:szCs w:val="24"/>
        </w:rPr>
      </w:pPr>
      <w:r>
        <w:rPr>
          <w:bCs/>
          <w:sz w:val="24"/>
          <w:szCs w:val="24"/>
        </w:rPr>
        <w:t>河南省公共资源交易中心网站（http://www.hnggzy.com/hnsggzy/）—“公共服务”—“办事指南”专区：（1）市场主体信息登记及CA数字证书办理具体事宜请查阅《河南省公共资源交易平台市场主体【信息登记】操作手册》；</w:t>
      </w:r>
      <w:r>
        <w:rPr>
          <w:bCs/>
          <w:sz w:val="24"/>
        </w:rPr>
        <w:t>（2）</w:t>
      </w:r>
      <w:r>
        <w:rPr>
          <w:sz w:val="24"/>
          <w:szCs w:val="24"/>
        </w:rPr>
        <w:t>“远程不见面”磋商</w:t>
      </w:r>
      <w:r>
        <w:rPr>
          <w:bCs/>
          <w:sz w:val="24"/>
          <w:szCs w:val="24"/>
        </w:rPr>
        <w:t>具体事宜请查阅</w:t>
      </w:r>
      <w:r>
        <w:rPr>
          <w:bCs/>
          <w:sz w:val="24"/>
        </w:rPr>
        <w:t>《河南省公共资源交易平台不见面服务系统使用指南》。</w:t>
      </w:r>
    </w:p>
    <w:p>
      <w:pPr>
        <w:spacing w:line="360" w:lineRule="auto"/>
        <w:ind w:firstLine="480" w:firstLineChars="200"/>
        <w:rPr>
          <w:sz w:val="24"/>
          <w:szCs w:val="24"/>
        </w:rPr>
      </w:pPr>
      <w:r>
        <w:rPr>
          <w:sz w:val="24"/>
          <w:szCs w:val="24"/>
        </w:rPr>
        <w:t>八、凡对本次招标提出询问，请按照以下方式联系</w:t>
      </w:r>
    </w:p>
    <w:p>
      <w:pPr>
        <w:spacing w:line="360" w:lineRule="auto"/>
        <w:ind w:firstLine="480" w:firstLineChars="200"/>
        <w:rPr>
          <w:sz w:val="24"/>
          <w:szCs w:val="24"/>
        </w:rPr>
      </w:pPr>
      <w:r>
        <w:rPr>
          <w:sz w:val="24"/>
          <w:szCs w:val="24"/>
        </w:rPr>
        <w:t>1. 采购人信息</w:t>
      </w:r>
    </w:p>
    <w:p>
      <w:pPr>
        <w:spacing w:line="360" w:lineRule="auto"/>
        <w:ind w:firstLine="480" w:firstLineChars="200"/>
        <w:rPr>
          <w:sz w:val="24"/>
          <w:szCs w:val="24"/>
        </w:rPr>
      </w:pPr>
      <w:r>
        <w:rPr>
          <w:sz w:val="24"/>
          <w:szCs w:val="24"/>
        </w:rPr>
        <w:t>名称：</w:t>
      </w:r>
      <w:r>
        <w:rPr>
          <w:rFonts w:hint="eastAsia"/>
          <w:sz w:val="24"/>
          <w:szCs w:val="24"/>
        </w:rPr>
        <w:t>郑州铁路职业技术学院</w:t>
      </w:r>
    </w:p>
    <w:p>
      <w:pPr>
        <w:spacing w:line="360" w:lineRule="auto"/>
        <w:ind w:firstLine="480" w:firstLineChars="200"/>
        <w:rPr>
          <w:sz w:val="24"/>
          <w:szCs w:val="24"/>
        </w:rPr>
      </w:pPr>
      <w:r>
        <w:rPr>
          <w:rFonts w:hint="eastAsia"/>
          <w:sz w:val="24"/>
          <w:szCs w:val="24"/>
        </w:rPr>
        <w:t>地址：郑州市郑东新区前程路9号</w:t>
      </w:r>
    </w:p>
    <w:p>
      <w:pPr>
        <w:spacing w:line="360" w:lineRule="auto"/>
        <w:ind w:firstLine="480" w:firstLineChars="200"/>
        <w:rPr>
          <w:sz w:val="24"/>
          <w:szCs w:val="24"/>
        </w:rPr>
      </w:pPr>
      <w:r>
        <w:rPr>
          <w:rFonts w:hint="eastAsia"/>
          <w:sz w:val="24"/>
          <w:szCs w:val="24"/>
        </w:rPr>
        <w:t>联系人: 王老师</w:t>
      </w:r>
    </w:p>
    <w:p>
      <w:pPr>
        <w:spacing w:line="360" w:lineRule="auto"/>
        <w:ind w:firstLine="480" w:firstLineChars="200"/>
        <w:rPr>
          <w:sz w:val="24"/>
          <w:szCs w:val="24"/>
        </w:rPr>
      </w:pPr>
      <w:r>
        <w:rPr>
          <w:rFonts w:hint="eastAsia"/>
          <w:sz w:val="24"/>
          <w:szCs w:val="24"/>
        </w:rPr>
        <w:t>联系电话：0371-60867917</w:t>
      </w:r>
    </w:p>
    <w:p>
      <w:pPr>
        <w:spacing w:line="360" w:lineRule="auto"/>
        <w:ind w:firstLine="480" w:firstLineChars="200"/>
        <w:rPr>
          <w:sz w:val="24"/>
          <w:szCs w:val="24"/>
        </w:rPr>
      </w:pPr>
      <w:r>
        <w:rPr>
          <w:sz w:val="24"/>
          <w:szCs w:val="24"/>
        </w:rPr>
        <w:t>2.采购代理机构信息（如有）</w:t>
      </w:r>
    </w:p>
    <w:p>
      <w:pPr>
        <w:spacing w:line="360" w:lineRule="auto"/>
        <w:ind w:firstLine="480" w:firstLineChars="200"/>
        <w:rPr>
          <w:sz w:val="24"/>
          <w:szCs w:val="24"/>
        </w:rPr>
      </w:pPr>
      <w:r>
        <w:rPr>
          <w:sz w:val="24"/>
          <w:szCs w:val="24"/>
        </w:rPr>
        <w:t xml:space="preserve">名称：河南省公共资源交易中心(河南省招标局) </w:t>
      </w:r>
    </w:p>
    <w:p>
      <w:pPr>
        <w:spacing w:line="360" w:lineRule="auto"/>
        <w:ind w:firstLine="435"/>
        <w:rPr>
          <w:bCs/>
          <w:sz w:val="24"/>
          <w:szCs w:val="24"/>
        </w:rPr>
      </w:pPr>
      <w:r>
        <w:rPr>
          <w:bCs/>
          <w:sz w:val="24"/>
          <w:szCs w:val="24"/>
        </w:rPr>
        <w:t>地址：郑州市纬二路4号</w:t>
      </w:r>
    </w:p>
    <w:p>
      <w:pPr>
        <w:spacing w:line="360" w:lineRule="auto"/>
        <w:ind w:firstLine="435"/>
        <w:rPr>
          <w:bCs/>
          <w:sz w:val="24"/>
          <w:szCs w:val="24"/>
        </w:rPr>
      </w:pPr>
      <w:r>
        <w:rPr>
          <w:bCs/>
          <w:sz w:val="24"/>
          <w:szCs w:val="24"/>
        </w:rPr>
        <w:t>联系人：郭老师、余老师</w:t>
      </w:r>
    </w:p>
    <w:p>
      <w:pPr>
        <w:spacing w:line="360" w:lineRule="auto"/>
        <w:ind w:firstLine="435"/>
        <w:rPr>
          <w:sz w:val="24"/>
          <w:szCs w:val="24"/>
        </w:rPr>
      </w:pPr>
      <w:r>
        <w:rPr>
          <w:bCs/>
          <w:sz w:val="24"/>
          <w:szCs w:val="24"/>
        </w:rPr>
        <w:t>联系方式：0371-86095953</w:t>
      </w:r>
    </w:p>
    <w:p>
      <w:pPr>
        <w:spacing w:line="360" w:lineRule="auto"/>
        <w:ind w:firstLine="480" w:firstLineChars="200"/>
        <w:rPr>
          <w:sz w:val="24"/>
          <w:szCs w:val="24"/>
        </w:rPr>
      </w:pPr>
      <w:r>
        <w:rPr>
          <w:sz w:val="24"/>
          <w:szCs w:val="24"/>
        </w:rPr>
        <w:t>3.项目联系方式</w:t>
      </w:r>
    </w:p>
    <w:p>
      <w:pPr>
        <w:spacing w:line="360" w:lineRule="auto"/>
        <w:ind w:firstLine="435"/>
        <w:rPr>
          <w:bCs/>
          <w:sz w:val="24"/>
          <w:szCs w:val="24"/>
        </w:rPr>
      </w:pPr>
      <w:r>
        <w:rPr>
          <w:bCs/>
          <w:sz w:val="24"/>
          <w:szCs w:val="24"/>
        </w:rPr>
        <w:t>项目联系人：</w:t>
      </w:r>
      <w:r>
        <w:rPr>
          <w:rFonts w:hint="eastAsia"/>
          <w:sz w:val="24"/>
          <w:szCs w:val="24"/>
        </w:rPr>
        <w:t>王老师</w:t>
      </w:r>
    </w:p>
    <w:p>
      <w:pPr>
        <w:spacing w:line="360" w:lineRule="auto"/>
        <w:ind w:firstLine="435"/>
        <w:rPr>
          <w:bCs/>
          <w:sz w:val="24"/>
          <w:szCs w:val="24"/>
        </w:rPr>
      </w:pPr>
      <w:r>
        <w:rPr>
          <w:bCs/>
          <w:sz w:val="24"/>
          <w:szCs w:val="24"/>
        </w:rPr>
        <w:t>联系方式：</w:t>
      </w:r>
      <w:r>
        <w:rPr>
          <w:rFonts w:hint="eastAsia"/>
          <w:sz w:val="24"/>
          <w:szCs w:val="24"/>
        </w:rPr>
        <w:t>0371-60867917</w:t>
      </w:r>
    </w:p>
    <w:p>
      <w:pPr>
        <w:spacing w:line="360" w:lineRule="auto"/>
        <w:ind w:firstLine="435"/>
        <w:rPr>
          <w:bCs/>
          <w:sz w:val="24"/>
          <w:szCs w:val="24"/>
        </w:rPr>
      </w:pPr>
    </w:p>
    <w:p>
      <w:pPr>
        <w:pStyle w:val="7"/>
        <w:rPr>
          <w:rFonts w:ascii="Times New Roman" w:hAnsi="Times New Roman"/>
        </w:rPr>
      </w:pPr>
    </w:p>
    <w:p>
      <w:pPr>
        <w:spacing w:line="360" w:lineRule="auto"/>
        <w:ind w:left="4200" w:leftChars="2000" w:firstLine="437"/>
        <w:jc w:val="left"/>
        <w:rPr>
          <w:bCs/>
          <w:sz w:val="24"/>
          <w:szCs w:val="24"/>
        </w:rPr>
      </w:pPr>
      <w:r>
        <w:rPr>
          <w:bCs/>
          <w:sz w:val="24"/>
          <w:szCs w:val="24"/>
        </w:rPr>
        <w:t>发布人：省公共资源交易中心</w:t>
      </w:r>
    </w:p>
    <w:p>
      <w:pPr>
        <w:spacing w:line="360" w:lineRule="auto"/>
        <w:ind w:left="4200" w:leftChars="2000" w:firstLine="437"/>
        <w:jc w:val="left"/>
      </w:pPr>
      <w:r>
        <w:rPr>
          <w:bCs/>
          <w:sz w:val="24"/>
          <w:szCs w:val="24"/>
        </w:rPr>
        <w:t>发布时间：2020年10月</w:t>
      </w:r>
      <w:r>
        <w:rPr>
          <w:rFonts w:hint="eastAsia"/>
          <w:bCs/>
          <w:sz w:val="24"/>
          <w:szCs w:val="24"/>
          <w:lang w:val="en-US" w:eastAsia="zh-CN"/>
        </w:rPr>
        <w:t>26</w:t>
      </w:r>
      <w:r>
        <w:rPr>
          <w:bCs/>
          <w:sz w:val="24"/>
          <w:szCs w:val="24"/>
        </w:rPr>
        <w:t>日</w:t>
      </w:r>
    </w:p>
    <w:bookmarkEnd w:id="5"/>
    <w:p>
      <w:pPr>
        <w:pStyle w:val="3"/>
        <w:spacing w:line="360" w:lineRule="auto"/>
        <w:ind w:left="0" w:firstLine="420"/>
        <w:rPr>
          <w:rFonts w:ascii="Times New Roman"/>
          <w:b/>
          <w:sz w:val="44"/>
          <w:szCs w:val="44"/>
        </w:rPr>
      </w:pPr>
      <w:bookmarkStart w:id="12" w:name="_Toc536445012"/>
      <w:r>
        <w:rPr>
          <w:rFonts w:ascii="Times New Roman"/>
          <w:b/>
          <w:sz w:val="44"/>
          <w:szCs w:val="44"/>
        </w:rPr>
        <w:br w:type="page"/>
      </w:r>
      <w:bookmarkStart w:id="13" w:name="_Toc536445014"/>
      <w:bookmarkStart w:id="14" w:name="_Toc44604847"/>
      <w:r>
        <w:rPr>
          <w:rFonts w:ascii="Times New Roman"/>
          <w:b/>
          <w:sz w:val="44"/>
          <w:szCs w:val="44"/>
        </w:rPr>
        <w:t>第二部分</w:t>
      </w:r>
      <w:bookmarkEnd w:id="13"/>
      <w:r>
        <w:rPr>
          <w:rFonts w:ascii="Times New Roman"/>
          <w:b/>
          <w:sz w:val="44"/>
          <w:szCs w:val="44"/>
        </w:rPr>
        <w:t>竞争性磋商项目资料表</w:t>
      </w:r>
      <w:bookmarkEnd w:id="14"/>
    </w:p>
    <w:p>
      <w:pPr>
        <w:spacing w:line="360" w:lineRule="auto"/>
        <w:ind w:firstLine="420"/>
        <w:rPr>
          <w:sz w:val="32"/>
        </w:rPr>
      </w:pPr>
      <w:r>
        <w:rPr>
          <w:sz w:val="24"/>
          <w:szCs w:val="21"/>
        </w:rPr>
        <w:t>本表是对“第三部分竞争性磋商须知”的具体补充和修改，如有矛盾，应以本资料表为准。</w:t>
      </w:r>
    </w:p>
    <w:tbl>
      <w:tblPr>
        <w:tblStyle w:val="16"/>
        <w:tblW w:w="892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62"/>
        <w:gridCol w:w="79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7" w:hRule="atLeast"/>
          <w:tblHeader/>
        </w:trPr>
        <w:tc>
          <w:tcPr>
            <w:tcW w:w="962" w:type="dxa"/>
            <w:vAlign w:val="center"/>
          </w:tcPr>
          <w:p>
            <w:pPr>
              <w:spacing w:line="400" w:lineRule="exact"/>
              <w:jc w:val="center"/>
              <w:rPr>
                <w:szCs w:val="21"/>
              </w:rPr>
            </w:pPr>
            <w:r>
              <w:rPr>
                <w:szCs w:val="21"/>
              </w:rPr>
              <w:t>序号</w:t>
            </w:r>
          </w:p>
        </w:tc>
        <w:tc>
          <w:tcPr>
            <w:tcW w:w="7964" w:type="dxa"/>
            <w:vAlign w:val="center"/>
          </w:tcPr>
          <w:p>
            <w:pPr>
              <w:spacing w:line="400" w:lineRule="exact"/>
              <w:jc w:val="center"/>
              <w:rPr>
                <w:b/>
                <w:bCs/>
                <w:szCs w:val="21"/>
              </w:rPr>
            </w:pPr>
            <w:r>
              <w:rPr>
                <w:b/>
                <w:bCs/>
                <w:szCs w:val="21"/>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8926" w:type="dxa"/>
            <w:gridSpan w:val="2"/>
            <w:vAlign w:val="center"/>
          </w:tcPr>
          <w:p>
            <w:pPr>
              <w:spacing w:line="400" w:lineRule="exact"/>
              <w:jc w:val="center"/>
              <w:rPr>
                <w:b/>
                <w:bCs/>
                <w:szCs w:val="21"/>
              </w:rPr>
            </w:pPr>
            <w:r>
              <w:rPr>
                <w:b/>
                <w:bCs/>
                <w:szCs w:val="21"/>
              </w:rPr>
              <w:t>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3" w:hRule="atLeast"/>
        </w:trPr>
        <w:tc>
          <w:tcPr>
            <w:tcW w:w="962" w:type="dxa"/>
            <w:tcBorders>
              <w:top w:val="single" w:color="auto" w:sz="4" w:space="0"/>
            </w:tcBorders>
            <w:vAlign w:val="center"/>
          </w:tcPr>
          <w:p>
            <w:pPr>
              <w:spacing w:line="400" w:lineRule="exact"/>
              <w:jc w:val="center"/>
              <w:rPr>
                <w:szCs w:val="21"/>
              </w:rPr>
            </w:pPr>
            <w:r>
              <w:rPr>
                <w:szCs w:val="21"/>
              </w:rPr>
              <w:t>1</w:t>
            </w:r>
          </w:p>
        </w:tc>
        <w:tc>
          <w:tcPr>
            <w:tcW w:w="7964" w:type="dxa"/>
            <w:tcBorders>
              <w:top w:val="single" w:color="auto" w:sz="4" w:space="0"/>
            </w:tcBorders>
            <w:vAlign w:val="center"/>
          </w:tcPr>
          <w:p>
            <w:pPr>
              <w:spacing w:line="360" w:lineRule="auto"/>
              <w:rPr>
                <w:szCs w:val="21"/>
              </w:rPr>
            </w:pPr>
            <w:r>
              <w:rPr>
                <w:szCs w:val="21"/>
              </w:rPr>
              <w:t>项目名称：</w:t>
            </w:r>
            <w:r>
              <w:rPr>
                <w:rFonts w:hint="eastAsia"/>
                <w:szCs w:val="21"/>
              </w:rPr>
              <w:t>郑州铁路职业技术学院学生宿舍家具购置项目</w:t>
            </w:r>
          </w:p>
          <w:p>
            <w:pPr>
              <w:spacing w:line="360" w:lineRule="auto"/>
              <w:rPr>
                <w:szCs w:val="21"/>
              </w:rPr>
            </w:pPr>
            <w:r>
              <w:rPr>
                <w:szCs w:val="21"/>
              </w:rPr>
              <w:t>项目编号：</w:t>
            </w:r>
            <w:r>
              <w:rPr>
                <w:rFonts w:hint="eastAsia"/>
                <w:szCs w:val="21"/>
              </w:rPr>
              <w:t>豫财磋商采购-2020-481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3" w:hRule="atLeast"/>
        </w:trPr>
        <w:tc>
          <w:tcPr>
            <w:tcW w:w="962" w:type="dxa"/>
            <w:tcBorders>
              <w:top w:val="single" w:color="auto" w:sz="4" w:space="0"/>
            </w:tcBorders>
            <w:vAlign w:val="center"/>
          </w:tcPr>
          <w:p>
            <w:pPr>
              <w:spacing w:line="400" w:lineRule="exact"/>
              <w:jc w:val="center"/>
              <w:rPr>
                <w:szCs w:val="21"/>
              </w:rPr>
            </w:pPr>
            <w:r>
              <w:rPr>
                <w:szCs w:val="21"/>
              </w:rPr>
              <w:t>2</w:t>
            </w:r>
          </w:p>
        </w:tc>
        <w:tc>
          <w:tcPr>
            <w:tcW w:w="7964" w:type="dxa"/>
            <w:tcBorders>
              <w:top w:val="single" w:color="auto" w:sz="4" w:space="0"/>
            </w:tcBorders>
            <w:vAlign w:val="center"/>
          </w:tcPr>
          <w:p>
            <w:pPr>
              <w:spacing w:line="360" w:lineRule="auto"/>
              <w:jc w:val="left"/>
              <w:rPr>
                <w:szCs w:val="21"/>
              </w:rPr>
            </w:pPr>
            <w:r>
              <w:rPr>
                <w:szCs w:val="21"/>
              </w:rPr>
              <w:t>1.名称：</w:t>
            </w:r>
            <w:r>
              <w:rPr>
                <w:rFonts w:hint="eastAsia"/>
                <w:szCs w:val="21"/>
              </w:rPr>
              <w:t>郑州铁路职业技术学院</w:t>
            </w:r>
          </w:p>
          <w:p>
            <w:pPr>
              <w:spacing w:line="360" w:lineRule="auto"/>
              <w:jc w:val="left"/>
              <w:rPr>
                <w:szCs w:val="21"/>
              </w:rPr>
            </w:pPr>
            <w:r>
              <w:rPr>
                <w:rFonts w:hint="eastAsia"/>
                <w:szCs w:val="21"/>
              </w:rPr>
              <w:t>地址：郑州市郑东新区前程路9号</w:t>
            </w:r>
          </w:p>
          <w:p>
            <w:pPr>
              <w:spacing w:line="360" w:lineRule="auto"/>
              <w:jc w:val="left"/>
              <w:rPr>
                <w:szCs w:val="21"/>
              </w:rPr>
            </w:pPr>
            <w:r>
              <w:rPr>
                <w:rFonts w:hint="eastAsia"/>
                <w:szCs w:val="21"/>
              </w:rPr>
              <w:t>联系人: 王老师</w:t>
            </w:r>
          </w:p>
          <w:p>
            <w:pPr>
              <w:spacing w:line="360" w:lineRule="auto"/>
              <w:jc w:val="left"/>
              <w:rPr>
                <w:szCs w:val="21"/>
              </w:rPr>
            </w:pPr>
            <w:r>
              <w:rPr>
                <w:rFonts w:hint="eastAsia"/>
                <w:szCs w:val="21"/>
              </w:rPr>
              <w:t>联系电话：0371-60867917</w:t>
            </w:r>
            <w:r>
              <w:rPr>
                <w:szCs w:val="21"/>
              </w:rPr>
              <w:t>2.</w:t>
            </w:r>
          </w:p>
          <w:p>
            <w:pPr>
              <w:spacing w:line="360" w:lineRule="auto"/>
              <w:jc w:val="left"/>
              <w:rPr>
                <w:szCs w:val="21"/>
              </w:rPr>
            </w:pPr>
            <w:r>
              <w:rPr>
                <w:szCs w:val="21"/>
              </w:rPr>
              <w:t>采购代理机构信息（如有）</w:t>
            </w:r>
          </w:p>
          <w:p>
            <w:pPr>
              <w:spacing w:line="360" w:lineRule="auto"/>
              <w:jc w:val="left"/>
              <w:rPr>
                <w:szCs w:val="21"/>
              </w:rPr>
            </w:pPr>
            <w:r>
              <w:rPr>
                <w:szCs w:val="21"/>
              </w:rPr>
              <w:t>名称：</w:t>
            </w:r>
            <w:bookmarkStart w:id="15" w:name="_Hlk44941143"/>
            <w:r>
              <w:rPr>
                <w:szCs w:val="21"/>
              </w:rPr>
              <w:t>河南省公共资源交易中心</w:t>
            </w:r>
            <w:bookmarkEnd w:id="15"/>
            <w:r>
              <w:rPr>
                <w:szCs w:val="21"/>
              </w:rPr>
              <w:t xml:space="preserve">(河南省招标局) </w:t>
            </w:r>
          </w:p>
          <w:p>
            <w:pPr>
              <w:spacing w:line="360" w:lineRule="auto"/>
              <w:jc w:val="left"/>
              <w:rPr>
                <w:szCs w:val="21"/>
              </w:rPr>
            </w:pPr>
            <w:r>
              <w:rPr>
                <w:szCs w:val="21"/>
              </w:rPr>
              <w:t>地址：郑州市纬二路4号</w:t>
            </w:r>
          </w:p>
          <w:p>
            <w:pPr>
              <w:spacing w:line="360" w:lineRule="auto"/>
              <w:jc w:val="left"/>
              <w:rPr>
                <w:szCs w:val="21"/>
              </w:rPr>
            </w:pPr>
            <w:r>
              <w:rPr>
                <w:szCs w:val="21"/>
              </w:rPr>
              <w:t>联系人：郭老师、余老师</w:t>
            </w:r>
          </w:p>
          <w:p>
            <w:pPr>
              <w:spacing w:line="360" w:lineRule="auto"/>
              <w:jc w:val="left"/>
              <w:rPr>
                <w:szCs w:val="21"/>
              </w:rPr>
            </w:pPr>
            <w:r>
              <w:rPr>
                <w:szCs w:val="21"/>
              </w:rPr>
              <w:t>联系方式：0371-86095953</w:t>
            </w:r>
          </w:p>
          <w:p>
            <w:pPr>
              <w:spacing w:line="360" w:lineRule="auto"/>
              <w:jc w:val="left"/>
              <w:rPr>
                <w:szCs w:val="21"/>
              </w:rPr>
            </w:pPr>
            <w:r>
              <w:rPr>
                <w:szCs w:val="21"/>
              </w:rPr>
              <w:t>邮箱：</w:t>
            </w:r>
            <w:r>
              <w:fldChar w:fldCharType="begin"/>
            </w:r>
            <w:r>
              <w:instrText xml:space="preserve"> HYPERLINK "mailto:hnggzyzfcg@163.com" </w:instrText>
            </w:r>
            <w:r>
              <w:fldChar w:fldCharType="separate"/>
            </w:r>
            <w:r>
              <w:rPr>
                <w:rStyle w:val="20"/>
                <w:szCs w:val="21"/>
              </w:rPr>
              <w:t>hnggzyzfcg@163.com</w:t>
            </w:r>
            <w:r>
              <w:rPr>
                <w:rStyle w:val="20"/>
                <w:szCs w:val="21"/>
              </w:rPr>
              <w:fldChar w:fldCharType="end"/>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62" w:type="dxa"/>
            <w:tcBorders>
              <w:top w:val="single" w:color="auto" w:sz="4" w:space="0"/>
            </w:tcBorders>
            <w:vAlign w:val="center"/>
          </w:tcPr>
          <w:p>
            <w:pPr>
              <w:spacing w:line="400" w:lineRule="exact"/>
              <w:jc w:val="center"/>
              <w:rPr>
                <w:szCs w:val="21"/>
              </w:rPr>
            </w:pPr>
            <w:r>
              <w:rPr>
                <w:szCs w:val="21"/>
              </w:rPr>
              <w:t>3</w:t>
            </w:r>
          </w:p>
        </w:tc>
        <w:tc>
          <w:tcPr>
            <w:tcW w:w="7964" w:type="dxa"/>
            <w:tcBorders>
              <w:top w:val="single" w:color="auto" w:sz="4" w:space="0"/>
            </w:tcBorders>
            <w:vAlign w:val="bottom"/>
          </w:tcPr>
          <w:p>
            <w:pPr>
              <w:spacing w:line="360" w:lineRule="auto"/>
              <w:jc w:val="left"/>
              <w:rPr>
                <w:szCs w:val="21"/>
              </w:rPr>
            </w:pPr>
            <w:r>
              <w:rPr>
                <w:b/>
                <w:bCs/>
                <w:spacing w:val="6"/>
                <w:szCs w:val="21"/>
              </w:rPr>
              <w:t>采购方式：</w:t>
            </w:r>
            <w:r>
              <w:rPr>
                <w:spacing w:val="6"/>
                <w:szCs w:val="21"/>
              </w:rPr>
              <w:t>竞争性磋商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6" w:hRule="atLeast"/>
        </w:trPr>
        <w:tc>
          <w:tcPr>
            <w:tcW w:w="962" w:type="dxa"/>
            <w:tcBorders>
              <w:top w:val="single" w:color="auto" w:sz="4" w:space="0"/>
            </w:tcBorders>
            <w:vAlign w:val="center"/>
          </w:tcPr>
          <w:p>
            <w:pPr>
              <w:spacing w:line="400" w:lineRule="exact"/>
              <w:jc w:val="center"/>
              <w:rPr>
                <w:szCs w:val="21"/>
              </w:rPr>
            </w:pPr>
            <w:r>
              <w:rPr>
                <w:szCs w:val="21"/>
              </w:rPr>
              <w:t>4</w:t>
            </w:r>
          </w:p>
        </w:tc>
        <w:tc>
          <w:tcPr>
            <w:tcW w:w="7964" w:type="dxa"/>
            <w:tcBorders>
              <w:top w:val="single" w:color="auto" w:sz="4" w:space="0"/>
            </w:tcBorders>
            <w:vAlign w:val="bottom"/>
          </w:tcPr>
          <w:p>
            <w:pPr>
              <w:spacing w:line="360" w:lineRule="auto"/>
              <w:jc w:val="left"/>
              <w:rPr>
                <w:b/>
                <w:bCs/>
                <w:spacing w:val="6"/>
                <w:szCs w:val="21"/>
              </w:rPr>
            </w:pPr>
            <w:r>
              <w:rPr>
                <w:b/>
                <w:bCs/>
                <w:spacing w:val="6"/>
                <w:szCs w:val="21"/>
              </w:rPr>
              <w:t>产品质量：</w:t>
            </w:r>
            <w:r>
              <w:rPr>
                <w:spacing w:val="6"/>
                <w:szCs w:val="21"/>
              </w:rPr>
              <w:t>合格、符合国家相关标准。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trPr>
        <w:tc>
          <w:tcPr>
            <w:tcW w:w="962" w:type="dxa"/>
            <w:tcBorders>
              <w:top w:val="single" w:color="auto" w:sz="4" w:space="0"/>
            </w:tcBorders>
            <w:vAlign w:val="center"/>
          </w:tcPr>
          <w:p>
            <w:pPr>
              <w:spacing w:line="400" w:lineRule="exact"/>
              <w:jc w:val="center"/>
              <w:rPr>
                <w:szCs w:val="21"/>
              </w:rPr>
            </w:pPr>
            <w:r>
              <w:rPr>
                <w:szCs w:val="21"/>
              </w:rPr>
              <w:t>5</w:t>
            </w:r>
          </w:p>
        </w:tc>
        <w:tc>
          <w:tcPr>
            <w:tcW w:w="7964" w:type="dxa"/>
            <w:tcBorders>
              <w:top w:val="single" w:color="auto" w:sz="4" w:space="0"/>
            </w:tcBorders>
            <w:vAlign w:val="bottom"/>
          </w:tcPr>
          <w:p>
            <w:pPr>
              <w:spacing w:line="360" w:lineRule="auto"/>
              <w:jc w:val="left"/>
              <w:rPr>
                <w:b/>
                <w:bCs/>
                <w:spacing w:val="6"/>
                <w:szCs w:val="21"/>
              </w:rPr>
            </w:pPr>
            <w:r>
              <w:rPr>
                <w:b/>
                <w:bCs/>
                <w:spacing w:val="6"/>
                <w:szCs w:val="21"/>
              </w:rPr>
              <w:t>交货期：</w:t>
            </w:r>
            <w:r>
              <w:rPr>
                <w:bCs/>
                <w:spacing w:val="6"/>
                <w:szCs w:val="21"/>
              </w:rPr>
              <w:t>合同签订后40个日历天内交货、安装、调试完成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trPr>
        <w:tc>
          <w:tcPr>
            <w:tcW w:w="962" w:type="dxa"/>
            <w:tcBorders>
              <w:top w:val="single" w:color="auto" w:sz="4" w:space="0"/>
            </w:tcBorders>
            <w:vAlign w:val="center"/>
          </w:tcPr>
          <w:p>
            <w:pPr>
              <w:spacing w:line="400" w:lineRule="exact"/>
              <w:jc w:val="center"/>
              <w:rPr>
                <w:szCs w:val="21"/>
              </w:rPr>
            </w:pPr>
            <w:r>
              <w:rPr>
                <w:szCs w:val="21"/>
              </w:rPr>
              <w:t>6</w:t>
            </w:r>
          </w:p>
        </w:tc>
        <w:tc>
          <w:tcPr>
            <w:tcW w:w="7964" w:type="dxa"/>
            <w:tcBorders>
              <w:top w:val="single" w:color="auto" w:sz="4" w:space="0"/>
            </w:tcBorders>
            <w:vAlign w:val="bottom"/>
          </w:tcPr>
          <w:p>
            <w:pPr>
              <w:spacing w:line="360" w:lineRule="auto"/>
              <w:jc w:val="left"/>
              <w:rPr>
                <w:b/>
                <w:bCs/>
                <w:spacing w:val="6"/>
                <w:szCs w:val="21"/>
              </w:rPr>
            </w:pPr>
            <w:r>
              <w:rPr>
                <w:b/>
                <w:bCs/>
                <w:spacing w:val="6"/>
                <w:szCs w:val="21"/>
              </w:rPr>
              <w:t>质量保证期：</w:t>
            </w:r>
            <w:r>
              <w:rPr>
                <w:rFonts w:hint="eastAsia"/>
                <w:spacing w:val="6"/>
                <w:szCs w:val="21"/>
              </w:rPr>
              <w:t>3年</w:t>
            </w:r>
            <w:r>
              <w:rPr>
                <w:spacing w:val="6"/>
                <w:szCs w:val="21"/>
              </w:rPr>
              <w:t>，从验收合格之日起开始计算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trPr>
        <w:tc>
          <w:tcPr>
            <w:tcW w:w="962" w:type="dxa"/>
            <w:tcBorders>
              <w:top w:val="single" w:color="auto" w:sz="4" w:space="0"/>
            </w:tcBorders>
            <w:vAlign w:val="center"/>
          </w:tcPr>
          <w:p>
            <w:pPr>
              <w:spacing w:line="400" w:lineRule="exact"/>
              <w:jc w:val="center"/>
              <w:rPr>
                <w:szCs w:val="21"/>
              </w:rPr>
            </w:pPr>
            <w:r>
              <w:rPr>
                <w:szCs w:val="21"/>
              </w:rPr>
              <w:t>7</w:t>
            </w:r>
          </w:p>
        </w:tc>
        <w:tc>
          <w:tcPr>
            <w:tcW w:w="7964" w:type="dxa"/>
            <w:tcBorders>
              <w:top w:val="single" w:color="auto" w:sz="4" w:space="0"/>
            </w:tcBorders>
            <w:vAlign w:val="bottom"/>
          </w:tcPr>
          <w:p>
            <w:pPr>
              <w:spacing w:line="400" w:lineRule="exact"/>
              <w:jc w:val="left"/>
              <w:rPr>
                <w:szCs w:val="21"/>
              </w:rPr>
            </w:pPr>
            <w:r>
              <w:rPr>
                <w:szCs w:val="21"/>
              </w:rPr>
              <w:t>踏勘现场：</w:t>
            </w:r>
          </w:p>
          <w:p>
            <w:pPr>
              <w:spacing w:line="400" w:lineRule="exact"/>
              <w:rPr>
                <w:szCs w:val="21"/>
              </w:rPr>
            </w:pPr>
            <w:r>
              <w:rPr>
                <w:szCs w:val="21"/>
              </w:rPr>
              <w:fldChar w:fldCharType="begin"/>
            </w:r>
            <w:r>
              <w:rPr>
                <w:szCs w:val="21"/>
              </w:rPr>
              <w:instrText xml:space="preserve"> eq \o\ac(□,</w:instrText>
            </w:r>
            <w:r>
              <w:rPr>
                <w:position w:val="1"/>
                <w:szCs w:val="21"/>
              </w:rPr>
              <w:instrText xml:space="preserve">√</w:instrText>
            </w:r>
            <w:r>
              <w:rPr>
                <w:szCs w:val="21"/>
              </w:rPr>
              <w:instrText xml:space="preserve">)</w:instrText>
            </w:r>
            <w:r>
              <w:rPr>
                <w:szCs w:val="21"/>
              </w:rPr>
              <w:fldChar w:fldCharType="end"/>
            </w:r>
            <w:r>
              <w:rPr>
                <w:szCs w:val="21"/>
              </w:rPr>
              <w:t>不组织，供应商可自行对项目现场和周围环境进行踏勘，踏勘现场所发生的费用由供应商自己承担。出现事故，责任由供应商自行承担。</w:t>
            </w:r>
          </w:p>
          <w:p>
            <w:pPr>
              <w:spacing w:line="400" w:lineRule="exact"/>
              <w:rPr>
                <w:szCs w:val="21"/>
                <w:u w:val="single"/>
              </w:rPr>
            </w:pPr>
            <w:r>
              <w:rPr>
                <w:szCs w:val="21"/>
              </w:rPr>
              <w:t>□组织，踏勘时间：</w:t>
            </w:r>
            <w:r>
              <w:rPr>
                <w:szCs w:val="21"/>
                <w:u w:val="single"/>
              </w:rPr>
              <w:t xml:space="preserve">  /  </w:t>
            </w:r>
          </w:p>
          <w:p>
            <w:pPr>
              <w:spacing w:line="360" w:lineRule="auto"/>
              <w:jc w:val="left"/>
              <w:rPr>
                <w:b/>
                <w:bCs/>
                <w:spacing w:val="6"/>
                <w:szCs w:val="21"/>
              </w:rPr>
            </w:pPr>
            <w:r>
              <w:rPr>
                <w:szCs w:val="21"/>
              </w:rPr>
              <w:t>踏勘集中地点：</w:t>
            </w:r>
            <w:r>
              <w:rPr>
                <w:szCs w:val="21"/>
                <w:u w:val="single"/>
              </w:rP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3" w:hRule="atLeast"/>
        </w:trPr>
        <w:tc>
          <w:tcPr>
            <w:tcW w:w="962" w:type="dxa"/>
            <w:tcBorders>
              <w:bottom w:val="single" w:color="auto" w:sz="6" w:space="0"/>
            </w:tcBorders>
            <w:vAlign w:val="center"/>
          </w:tcPr>
          <w:p>
            <w:pPr>
              <w:spacing w:line="400" w:lineRule="exact"/>
              <w:jc w:val="center"/>
              <w:rPr>
                <w:szCs w:val="21"/>
              </w:rPr>
            </w:pPr>
            <w:r>
              <w:rPr>
                <w:szCs w:val="21"/>
              </w:rPr>
              <w:t>8</w:t>
            </w:r>
          </w:p>
        </w:tc>
        <w:tc>
          <w:tcPr>
            <w:tcW w:w="7964" w:type="dxa"/>
            <w:tcBorders>
              <w:bottom w:val="single" w:color="auto" w:sz="6" w:space="0"/>
            </w:tcBorders>
          </w:tcPr>
          <w:p>
            <w:pPr>
              <w:spacing w:line="400" w:lineRule="exact"/>
              <w:jc w:val="left"/>
              <w:rPr>
                <w:szCs w:val="21"/>
              </w:rPr>
            </w:pPr>
            <w:r>
              <w:rPr>
                <w:szCs w:val="21"/>
              </w:rPr>
              <w:t>资格证明文件：</w:t>
            </w:r>
          </w:p>
          <w:p>
            <w:pPr>
              <w:spacing w:line="400" w:lineRule="exact"/>
              <w:jc w:val="left"/>
              <w:rPr>
                <w:szCs w:val="21"/>
              </w:rPr>
            </w:pPr>
            <w:r>
              <w:rPr>
                <w:szCs w:val="21"/>
              </w:rPr>
              <w:t>1、营业执照扫描件；</w:t>
            </w:r>
          </w:p>
          <w:p>
            <w:pPr>
              <w:spacing w:line="400" w:lineRule="exact"/>
              <w:jc w:val="left"/>
              <w:rPr>
                <w:szCs w:val="21"/>
              </w:rPr>
            </w:pPr>
            <w:r>
              <w:rPr>
                <w:szCs w:val="21"/>
              </w:rPr>
              <w:t>2、2019年度财务审计报告扫描件（要求注册会计师签字并加盖会计师印章；</w:t>
            </w:r>
            <w:bookmarkStart w:id="16" w:name="_Hlk44492590"/>
            <w:r>
              <w:rPr>
                <w:szCs w:val="21"/>
              </w:rPr>
              <w:t>截止到响应文件开启时间，供应商成立时间不足要求时限的，可提供银行资信证明材料）</w:t>
            </w:r>
            <w:bookmarkEnd w:id="16"/>
            <w:r>
              <w:rPr>
                <w:szCs w:val="21"/>
              </w:rPr>
              <w:t>；</w:t>
            </w:r>
          </w:p>
          <w:p>
            <w:pPr>
              <w:spacing w:line="400" w:lineRule="exact"/>
              <w:jc w:val="left"/>
              <w:rPr>
                <w:szCs w:val="21"/>
              </w:rPr>
            </w:pPr>
            <w:r>
              <w:rPr>
                <w:szCs w:val="21"/>
              </w:rPr>
              <w:t>3、履行合同所必须的安装及调试设备和专业技术能力说明；</w:t>
            </w:r>
          </w:p>
          <w:p>
            <w:pPr>
              <w:spacing w:line="400" w:lineRule="exact"/>
              <w:jc w:val="left"/>
              <w:rPr>
                <w:bCs/>
                <w:szCs w:val="21"/>
              </w:rPr>
            </w:pPr>
            <w:r>
              <w:rPr>
                <w:szCs w:val="21"/>
              </w:rPr>
              <w:t>4、依法缴纳税收和社会保障资金的良好记录：20</w:t>
            </w:r>
            <w:r>
              <w:rPr>
                <w:rFonts w:hint="eastAsia"/>
                <w:szCs w:val="21"/>
              </w:rPr>
              <w:t>20</w:t>
            </w:r>
            <w:r>
              <w:rPr>
                <w:szCs w:val="21"/>
              </w:rPr>
              <w:t>年1月1日以来任意1个月的纳税和社保证明材料扫描件；</w:t>
            </w:r>
          </w:p>
          <w:p>
            <w:pPr>
              <w:spacing w:line="400" w:lineRule="exact"/>
              <w:jc w:val="left"/>
              <w:rPr>
                <w:szCs w:val="21"/>
              </w:rPr>
            </w:pPr>
            <w:r>
              <w:rPr>
                <w:szCs w:val="21"/>
              </w:rPr>
              <w:t>5、</w:t>
            </w:r>
            <w:r>
              <w:rPr>
                <w:bCs/>
                <w:szCs w:val="21"/>
              </w:rPr>
              <w:t>信用声明函；</w:t>
            </w:r>
          </w:p>
          <w:p>
            <w:pPr>
              <w:spacing w:line="400" w:lineRule="exact"/>
              <w:jc w:val="left"/>
              <w:rPr>
                <w:szCs w:val="21"/>
              </w:rPr>
            </w:pPr>
            <w:r>
              <w:rPr>
                <w:szCs w:val="21"/>
              </w:rPr>
              <w:t>6、反商业贿赂承诺书；</w:t>
            </w:r>
          </w:p>
          <w:p>
            <w:pPr>
              <w:spacing w:line="400" w:lineRule="exact"/>
              <w:jc w:val="left"/>
              <w:rPr>
                <w:szCs w:val="21"/>
              </w:rPr>
            </w:pPr>
            <w:r>
              <w:rPr>
                <w:szCs w:val="21"/>
              </w:rPr>
              <w:t>7、磋商响应承诺函。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3" w:hRule="atLeast"/>
        </w:trPr>
        <w:tc>
          <w:tcPr>
            <w:tcW w:w="962" w:type="dxa"/>
            <w:tcBorders>
              <w:bottom w:val="single" w:color="auto" w:sz="6" w:space="0"/>
            </w:tcBorders>
            <w:vAlign w:val="center"/>
          </w:tcPr>
          <w:p>
            <w:pPr>
              <w:spacing w:line="400" w:lineRule="exact"/>
              <w:jc w:val="center"/>
              <w:rPr>
                <w:szCs w:val="21"/>
              </w:rPr>
            </w:pPr>
            <w:r>
              <w:rPr>
                <w:szCs w:val="21"/>
              </w:rPr>
              <w:t>9</w:t>
            </w:r>
          </w:p>
        </w:tc>
        <w:tc>
          <w:tcPr>
            <w:tcW w:w="7964" w:type="dxa"/>
            <w:tcBorders>
              <w:bottom w:val="single" w:color="auto" w:sz="6" w:space="0"/>
            </w:tcBorders>
          </w:tcPr>
          <w:p>
            <w:pPr>
              <w:spacing w:line="360" w:lineRule="auto"/>
              <w:rPr>
                <w:szCs w:val="21"/>
              </w:rPr>
            </w:pPr>
            <w:r>
              <w:rPr>
                <w:szCs w:val="21"/>
              </w:rPr>
              <w:t>语言：</w:t>
            </w:r>
            <w:r>
              <w:t>供应商提供的外文资料应附有相应的中文译本，并以中文译本为准。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8" w:hRule="atLeast"/>
        </w:trPr>
        <w:tc>
          <w:tcPr>
            <w:tcW w:w="8926" w:type="dxa"/>
            <w:gridSpan w:val="2"/>
            <w:vAlign w:val="center"/>
          </w:tcPr>
          <w:p>
            <w:pPr>
              <w:spacing w:line="360" w:lineRule="auto"/>
              <w:jc w:val="center"/>
              <w:rPr>
                <w:b/>
                <w:bCs/>
                <w:szCs w:val="21"/>
              </w:rPr>
            </w:pPr>
            <w:r>
              <w:rPr>
                <w:b/>
                <w:bCs/>
                <w:szCs w:val="21"/>
              </w:rPr>
              <w:t>竞争性磋商文件的澄清与修改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8" w:hRule="atLeast"/>
        </w:trPr>
        <w:tc>
          <w:tcPr>
            <w:tcW w:w="962" w:type="dxa"/>
            <w:vAlign w:val="center"/>
          </w:tcPr>
          <w:p>
            <w:pPr>
              <w:spacing w:line="400" w:lineRule="exact"/>
              <w:jc w:val="center"/>
              <w:rPr>
                <w:szCs w:val="21"/>
              </w:rPr>
            </w:pPr>
            <w:r>
              <w:rPr>
                <w:szCs w:val="21"/>
              </w:rPr>
              <w:t>10</w:t>
            </w:r>
          </w:p>
        </w:tc>
        <w:tc>
          <w:tcPr>
            <w:tcW w:w="7964" w:type="dxa"/>
            <w:vAlign w:val="center"/>
          </w:tcPr>
          <w:p>
            <w:pPr>
              <w:spacing w:line="360" w:lineRule="auto"/>
              <w:rPr>
                <w:szCs w:val="21"/>
              </w:rPr>
            </w:pPr>
            <w:r>
              <w:rPr>
                <w:szCs w:val="21"/>
              </w:rPr>
              <w:t>供应商对采购文件提出需澄清问题的截止时间：</w:t>
            </w:r>
            <w:r>
              <w:rPr>
                <w:b/>
                <w:bCs/>
                <w:szCs w:val="21"/>
              </w:rPr>
              <w:t>2020 年</w:t>
            </w:r>
            <w:r>
              <w:rPr>
                <w:rFonts w:hint="eastAsia"/>
                <w:b/>
                <w:bCs/>
                <w:szCs w:val="21"/>
              </w:rPr>
              <w:t>1</w:t>
            </w:r>
            <w:r>
              <w:rPr>
                <w:rFonts w:hint="eastAsia"/>
                <w:b/>
                <w:bCs/>
                <w:szCs w:val="21"/>
                <w:lang w:val="en-US" w:eastAsia="zh-CN"/>
              </w:rPr>
              <w:t>1</w:t>
            </w:r>
            <w:r>
              <w:rPr>
                <w:b/>
                <w:bCs/>
                <w:szCs w:val="21"/>
              </w:rPr>
              <w:t>月</w:t>
            </w:r>
            <w:r>
              <w:rPr>
                <w:rFonts w:hint="eastAsia"/>
                <w:b/>
                <w:bCs/>
                <w:szCs w:val="21"/>
                <w:lang w:val="en-US" w:eastAsia="zh-CN"/>
              </w:rPr>
              <w:t>3</w:t>
            </w:r>
            <w:r>
              <w:rPr>
                <w:b/>
                <w:bCs/>
                <w:szCs w:val="21"/>
              </w:rPr>
              <w:t>日 17 时 00 分</w:t>
            </w:r>
            <w:r>
              <w:rPr>
                <w:szCs w:val="21"/>
              </w:rPr>
              <w:t>前在“河南省公共资源交易中心（www.hnggzy.com）”电子交易平台进行提问。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8" w:hRule="atLeast"/>
        </w:trPr>
        <w:tc>
          <w:tcPr>
            <w:tcW w:w="962" w:type="dxa"/>
            <w:vAlign w:val="center"/>
          </w:tcPr>
          <w:p>
            <w:pPr>
              <w:spacing w:line="400" w:lineRule="exact"/>
              <w:jc w:val="center"/>
              <w:rPr>
                <w:szCs w:val="21"/>
              </w:rPr>
            </w:pPr>
            <w:r>
              <w:rPr>
                <w:szCs w:val="21"/>
              </w:rPr>
              <w:t>11</w:t>
            </w:r>
          </w:p>
        </w:tc>
        <w:tc>
          <w:tcPr>
            <w:tcW w:w="7964" w:type="dxa"/>
            <w:vAlign w:val="center"/>
          </w:tcPr>
          <w:p>
            <w:pPr>
              <w:spacing w:line="360" w:lineRule="auto"/>
              <w:rPr>
                <w:szCs w:val="21"/>
              </w:rPr>
            </w:pPr>
            <w:r>
              <w:rPr>
                <w:szCs w:val="21"/>
              </w:rPr>
              <w:t>竞争性磋商文件的澄清或修改将在响应文件提交的截止时间的3个工作日前在“河南省公共资源交易中心（www.hnggzy.com）”电子交易平台公布给所有下载竞争性磋商文件的供应商，但不指明澄清问题的来源。如果澄清发出的时间距响应文件提交的截止时间不足3个工作日并且澄清内容影响磋商响应文件编制的，相应延长响应文件提交的截止时间和开启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8" w:hRule="atLeast"/>
        </w:trPr>
        <w:tc>
          <w:tcPr>
            <w:tcW w:w="962" w:type="dxa"/>
            <w:vAlign w:val="center"/>
          </w:tcPr>
          <w:p>
            <w:pPr>
              <w:spacing w:line="400" w:lineRule="exact"/>
              <w:jc w:val="center"/>
              <w:rPr>
                <w:szCs w:val="21"/>
              </w:rPr>
            </w:pPr>
            <w:r>
              <w:rPr>
                <w:szCs w:val="21"/>
              </w:rPr>
              <w:t>12</w:t>
            </w:r>
          </w:p>
        </w:tc>
        <w:tc>
          <w:tcPr>
            <w:tcW w:w="7964" w:type="dxa"/>
            <w:vAlign w:val="center"/>
          </w:tcPr>
          <w:p>
            <w:pPr>
              <w:spacing w:line="360" w:lineRule="auto"/>
              <w:rPr>
                <w:szCs w:val="21"/>
              </w:rPr>
            </w:pPr>
            <w:r>
              <w:rPr>
                <w:szCs w:val="21"/>
              </w:rPr>
              <w:t>答疑文件发布后，各供应商须重新下载最新的竞争性磋商文件和答疑文件，以此编制竞争性磋商响应文件。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8" w:hRule="atLeast"/>
        </w:trPr>
        <w:tc>
          <w:tcPr>
            <w:tcW w:w="962" w:type="dxa"/>
            <w:vAlign w:val="center"/>
          </w:tcPr>
          <w:p>
            <w:pPr>
              <w:spacing w:line="400" w:lineRule="exact"/>
              <w:jc w:val="center"/>
              <w:rPr>
                <w:szCs w:val="21"/>
              </w:rPr>
            </w:pPr>
            <w:r>
              <w:rPr>
                <w:szCs w:val="21"/>
              </w:rPr>
              <w:t>13</w:t>
            </w:r>
          </w:p>
        </w:tc>
        <w:tc>
          <w:tcPr>
            <w:tcW w:w="7964" w:type="dxa"/>
            <w:vAlign w:val="center"/>
          </w:tcPr>
          <w:p>
            <w:pPr>
              <w:spacing w:line="360" w:lineRule="auto"/>
              <w:rPr>
                <w:szCs w:val="21"/>
              </w:rPr>
            </w:pPr>
            <w:r>
              <w:rPr>
                <w:szCs w:val="21"/>
              </w:rPr>
              <w:t>因河南省公共资源交易中心（www.hnggzy.com）”电子交易平台在响应文件提交的截止时间前具有保密性，供应商在竞争性磋商响应文件递交截止时间前须自行查看项目进展、变更通知、澄清及回复，因供应商未及时查看而造成的后果自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8" w:hRule="atLeast"/>
        </w:trPr>
        <w:tc>
          <w:tcPr>
            <w:tcW w:w="962" w:type="dxa"/>
          </w:tcPr>
          <w:p>
            <w:pPr>
              <w:spacing w:line="400" w:lineRule="exact"/>
              <w:jc w:val="center"/>
              <w:rPr>
                <w:szCs w:val="21"/>
              </w:rPr>
            </w:pPr>
            <w:r>
              <w:rPr>
                <w:szCs w:val="21"/>
              </w:rPr>
              <w:t>14</w:t>
            </w:r>
          </w:p>
        </w:tc>
        <w:tc>
          <w:tcPr>
            <w:tcW w:w="7964" w:type="dxa"/>
            <w:vAlign w:val="center"/>
          </w:tcPr>
          <w:p>
            <w:pPr>
              <w:spacing w:line="360" w:lineRule="auto"/>
              <w:rPr>
                <w:szCs w:val="21"/>
              </w:rPr>
            </w:pPr>
            <w:r>
              <w:t>各供应商应在法定质疑期内一次性提出针对同一采购程序环节的质疑。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8" w:hRule="atLeast"/>
        </w:trPr>
        <w:tc>
          <w:tcPr>
            <w:tcW w:w="8926" w:type="dxa"/>
            <w:gridSpan w:val="2"/>
          </w:tcPr>
          <w:p>
            <w:pPr>
              <w:spacing w:line="360" w:lineRule="auto"/>
              <w:jc w:val="center"/>
            </w:pPr>
            <w:r>
              <w:rPr>
                <w:b/>
                <w:bCs/>
                <w:szCs w:val="21"/>
              </w:rPr>
              <w:t>报价和货币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8" w:hRule="atLeast"/>
        </w:trPr>
        <w:tc>
          <w:tcPr>
            <w:tcW w:w="962" w:type="dxa"/>
            <w:vAlign w:val="center"/>
          </w:tcPr>
          <w:p>
            <w:pPr>
              <w:spacing w:line="400" w:lineRule="exact"/>
              <w:jc w:val="center"/>
              <w:rPr>
                <w:szCs w:val="21"/>
              </w:rPr>
            </w:pPr>
            <w:r>
              <w:rPr>
                <w:szCs w:val="21"/>
              </w:rPr>
              <w:t>15</w:t>
            </w:r>
          </w:p>
        </w:tc>
        <w:tc>
          <w:tcPr>
            <w:tcW w:w="7964" w:type="dxa"/>
            <w:vAlign w:val="center"/>
          </w:tcPr>
          <w:p>
            <w:pPr>
              <w:spacing w:line="360" w:lineRule="auto"/>
            </w:pPr>
            <w:r>
              <w:rPr>
                <w:szCs w:val="21"/>
              </w:rPr>
              <w:t>磋商报价货币：人民币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8" w:hRule="atLeast"/>
        </w:trPr>
        <w:tc>
          <w:tcPr>
            <w:tcW w:w="962" w:type="dxa"/>
            <w:vAlign w:val="center"/>
          </w:tcPr>
          <w:p>
            <w:pPr>
              <w:spacing w:line="400" w:lineRule="exact"/>
              <w:jc w:val="center"/>
              <w:rPr>
                <w:szCs w:val="21"/>
              </w:rPr>
            </w:pPr>
            <w:r>
              <w:rPr>
                <w:szCs w:val="21"/>
              </w:rPr>
              <w:t>16</w:t>
            </w:r>
          </w:p>
        </w:tc>
        <w:tc>
          <w:tcPr>
            <w:tcW w:w="7964" w:type="dxa"/>
            <w:vAlign w:val="center"/>
          </w:tcPr>
          <w:p>
            <w:pPr>
              <w:spacing w:line="360" w:lineRule="auto"/>
            </w:pPr>
            <w:r>
              <w:rPr>
                <w:b/>
                <w:bCs/>
                <w:szCs w:val="21"/>
              </w:rPr>
              <w:t>响应报价：</w:t>
            </w:r>
            <w:r>
              <w:rPr>
                <w:szCs w:val="21"/>
              </w:rPr>
              <w:t>应包括投标（响应）供应商认为中标后针对完成采购文件规定的全部要求而发生的包含设计、制造、采购、运保、安装、质量检测费以及伴随的其它服务费等的全部成本、保险、税金及利润，并考虑了应承担的风险及相关费用。质保期内所需的备件应包含在投标报价中。</w:t>
            </w:r>
            <w:r>
              <w:rPr>
                <w:spacing w:val="6"/>
                <w:szCs w:val="21"/>
              </w:rPr>
              <w:t>同时编制报价总表（并附分项报价明细表）。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8" w:hRule="atLeast"/>
        </w:trPr>
        <w:tc>
          <w:tcPr>
            <w:tcW w:w="962" w:type="dxa"/>
            <w:vAlign w:val="center"/>
          </w:tcPr>
          <w:p>
            <w:pPr>
              <w:spacing w:line="400" w:lineRule="exact"/>
              <w:jc w:val="center"/>
              <w:rPr>
                <w:szCs w:val="21"/>
              </w:rPr>
            </w:pPr>
            <w:r>
              <w:rPr>
                <w:szCs w:val="21"/>
              </w:rPr>
              <w:t>17</w:t>
            </w:r>
          </w:p>
        </w:tc>
        <w:tc>
          <w:tcPr>
            <w:tcW w:w="7964" w:type="dxa"/>
            <w:vAlign w:val="center"/>
          </w:tcPr>
          <w:p>
            <w:pPr>
              <w:spacing w:line="360" w:lineRule="auto"/>
              <w:rPr>
                <w:b/>
                <w:bCs/>
                <w:szCs w:val="21"/>
              </w:rPr>
            </w:pPr>
            <w:r>
              <w:rPr>
                <w:szCs w:val="21"/>
              </w:rPr>
              <w:t>报价次数：二次，第二次报价为最后报价。</w:t>
            </w:r>
            <w:r>
              <w:rPr>
                <w:color w:val="000000"/>
                <w:szCs w:val="21"/>
              </w:rPr>
              <w:t>供应商登录远程开标大厅（www.hnggzyjy.cn），线上二次报价。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8" w:hRule="atLeast"/>
        </w:trPr>
        <w:tc>
          <w:tcPr>
            <w:tcW w:w="962" w:type="dxa"/>
            <w:vAlign w:val="center"/>
          </w:tcPr>
          <w:p>
            <w:pPr>
              <w:spacing w:line="400" w:lineRule="exact"/>
              <w:jc w:val="center"/>
              <w:rPr>
                <w:szCs w:val="21"/>
              </w:rPr>
            </w:pPr>
            <w:r>
              <w:rPr>
                <w:szCs w:val="21"/>
              </w:rPr>
              <w:t>18</w:t>
            </w:r>
          </w:p>
        </w:tc>
        <w:tc>
          <w:tcPr>
            <w:tcW w:w="7964" w:type="dxa"/>
          </w:tcPr>
          <w:p>
            <w:pPr>
              <w:spacing w:line="360" w:lineRule="auto"/>
              <w:rPr>
                <w:b/>
                <w:bCs/>
                <w:szCs w:val="21"/>
              </w:rPr>
            </w:pPr>
            <w:r>
              <w:rPr>
                <w:b/>
                <w:bCs/>
                <w:color w:val="000000"/>
                <w:szCs w:val="21"/>
              </w:rPr>
              <w:t>最高限价</w:t>
            </w:r>
            <w:r>
              <w:rPr>
                <w:b/>
                <w:bCs/>
                <w:szCs w:val="21"/>
              </w:rPr>
              <w:t>：</w:t>
            </w:r>
            <w:r>
              <w:rPr>
                <w:rFonts w:hint="eastAsia"/>
                <w:b/>
                <w:kern w:val="0"/>
                <w:szCs w:val="21"/>
              </w:rPr>
              <w:t>2092000</w:t>
            </w:r>
            <w:r>
              <w:rPr>
                <w:b/>
                <w:kern w:val="0"/>
                <w:szCs w:val="21"/>
              </w:rPr>
              <w:t>元</w:t>
            </w:r>
            <w:r>
              <w:rPr>
                <w:b/>
                <w:bCs/>
                <w:szCs w:val="21"/>
              </w:rPr>
              <w:t>人民币</w:t>
            </w:r>
            <w:r>
              <w:rPr>
                <w:b/>
                <w:bCs/>
                <w:color w:val="000000"/>
                <w:szCs w:val="21"/>
              </w:rPr>
              <w:t>。</w:t>
            </w:r>
            <w:r>
              <w:rPr>
                <w:b/>
                <w:szCs w:val="21"/>
              </w:rPr>
              <w:t>供应商各轮次总报价均不能超过最高限价，否则其磋商响应文件按无效处理</w:t>
            </w:r>
            <w:r>
              <w:rPr>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18" w:hRule="atLeast"/>
        </w:trPr>
        <w:tc>
          <w:tcPr>
            <w:tcW w:w="8926" w:type="dxa"/>
            <w:gridSpan w:val="2"/>
            <w:vAlign w:val="center"/>
          </w:tcPr>
          <w:p>
            <w:pPr>
              <w:spacing w:line="360" w:lineRule="auto"/>
              <w:jc w:val="center"/>
              <w:rPr>
                <w:b/>
                <w:bCs/>
                <w:szCs w:val="21"/>
              </w:rPr>
            </w:pPr>
            <w:r>
              <w:rPr>
                <w:b/>
                <w:bCs/>
                <w:szCs w:val="21"/>
              </w:rPr>
              <w:t>磋商响应文件的编制和递交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8" w:hRule="atLeast"/>
        </w:trPr>
        <w:tc>
          <w:tcPr>
            <w:tcW w:w="962" w:type="dxa"/>
            <w:tcBorders>
              <w:right w:val="single" w:color="auto" w:sz="4" w:space="0"/>
            </w:tcBorders>
            <w:vAlign w:val="center"/>
          </w:tcPr>
          <w:p>
            <w:pPr>
              <w:spacing w:line="400" w:lineRule="exact"/>
              <w:jc w:val="center"/>
              <w:rPr>
                <w:color w:val="000000"/>
                <w:szCs w:val="21"/>
              </w:rPr>
            </w:pPr>
            <w:r>
              <w:rPr>
                <w:color w:val="000000"/>
                <w:szCs w:val="21"/>
              </w:rPr>
              <w:t>19</w:t>
            </w:r>
          </w:p>
        </w:tc>
        <w:tc>
          <w:tcPr>
            <w:tcW w:w="7964"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rPr>
            </w:pPr>
            <w:r>
              <w:rPr>
                <w:b/>
                <w:bCs/>
                <w:color w:val="000000"/>
                <w:spacing w:val="6"/>
                <w:szCs w:val="21"/>
              </w:rPr>
              <w:t>竞争性磋商替代方案：</w:t>
            </w:r>
            <w:r>
              <w:rPr>
                <w:color w:val="000000"/>
                <w:spacing w:val="6"/>
                <w:szCs w:val="21"/>
              </w:rPr>
              <w:t>不允许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7" w:hRule="atLeast"/>
        </w:trPr>
        <w:tc>
          <w:tcPr>
            <w:tcW w:w="962" w:type="dxa"/>
            <w:vAlign w:val="center"/>
          </w:tcPr>
          <w:p>
            <w:pPr>
              <w:spacing w:line="400" w:lineRule="exact"/>
              <w:jc w:val="center"/>
              <w:rPr>
                <w:color w:val="000000"/>
                <w:szCs w:val="21"/>
              </w:rPr>
            </w:pPr>
            <w:r>
              <w:rPr>
                <w:color w:val="000000"/>
                <w:szCs w:val="21"/>
              </w:rPr>
              <w:t>20</w:t>
            </w:r>
          </w:p>
        </w:tc>
        <w:tc>
          <w:tcPr>
            <w:tcW w:w="7964" w:type="dxa"/>
            <w:tcBorders>
              <w:top w:val="single" w:color="auto" w:sz="4" w:space="0"/>
            </w:tcBorders>
            <w:vAlign w:val="center"/>
          </w:tcPr>
          <w:p>
            <w:pPr>
              <w:spacing w:line="360" w:lineRule="auto"/>
              <w:rPr>
                <w:szCs w:val="21"/>
              </w:rPr>
            </w:pPr>
            <w:r>
              <w:rPr>
                <w:szCs w:val="21"/>
              </w:rPr>
              <w:t>磋商响应文件有效期：自响应文件提交的截止时间起60</w:t>
            </w:r>
            <w: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62" w:type="dxa"/>
            <w:vAlign w:val="center"/>
          </w:tcPr>
          <w:p>
            <w:pPr>
              <w:spacing w:line="400" w:lineRule="exact"/>
              <w:jc w:val="center"/>
              <w:rPr>
                <w:color w:val="000000"/>
                <w:szCs w:val="21"/>
              </w:rPr>
            </w:pPr>
            <w:r>
              <w:rPr>
                <w:color w:val="000000"/>
                <w:szCs w:val="21"/>
              </w:rPr>
              <w:t>21</w:t>
            </w:r>
          </w:p>
        </w:tc>
        <w:tc>
          <w:tcPr>
            <w:tcW w:w="7964" w:type="dxa"/>
            <w:vAlign w:val="center"/>
          </w:tcPr>
          <w:p>
            <w:pPr>
              <w:spacing w:line="360" w:lineRule="auto"/>
              <w:jc w:val="left"/>
            </w:pPr>
            <w:r>
              <w:t>磋商响应文件提交：</w:t>
            </w:r>
          </w:p>
          <w:p>
            <w:pPr>
              <w:spacing w:line="360" w:lineRule="auto"/>
            </w:pPr>
            <w:r>
              <w:t>1.加密电子磋商响应文件须在响应文件提交的截止时间前通过“河南省公共资源交易中心（www.hnggzy.com）”电子交易平台加密上传。</w:t>
            </w:r>
          </w:p>
          <w:p>
            <w:pPr>
              <w:spacing w:line="360" w:lineRule="auto"/>
              <w:rPr>
                <w:color w:val="000000"/>
                <w:szCs w:val="21"/>
              </w:rPr>
            </w:pPr>
            <w:r>
              <w:t>2.逾期上传的或者未上传的磋商响应文件，采购人不予受理。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7" w:hRule="atLeast"/>
        </w:trPr>
        <w:tc>
          <w:tcPr>
            <w:tcW w:w="962" w:type="dxa"/>
            <w:vAlign w:val="center"/>
          </w:tcPr>
          <w:p>
            <w:pPr>
              <w:spacing w:line="400" w:lineRule="exact"/>
              <w:jc w:val="center"/>
              <w:rPr>
                <w:color w:val="000000"/>
                <w:szCs w:val="21"/>
              </w:rPr>
            </w:pPr>
            <w:r>
              <w:rPr>
                <w:color w:val="000000"/>
                <w:szCs w:val="21"/>
              </w:rPr>
              <w:t>22</w:t>
            </w:r>
          </w:p>
        </w:tc>
        <w:tc>
          <w:tcPr>
            <w:tcW w:w="7964" w:type="dxa"/>
            <w:vAlign w:val="center"/>
          </w:tcPr>
          <w:p>
            <w:pPr>
              <w:spacing w:line="360" w:lineRule="auto"/>
              <w:rPr>
                <w:color w:val="000000"/>
                <w:kern w:val="0"/>
                <w:szCs w:val="21"/>
              </w:rPr>
            </w:pPr>
            <w:r>
              <w:rPr>
                <w:color w:val="000000"/>
                <w:szCs w:val="21"/>
              </w:rPr>
              <w:t>响应文件提交的截止时间：</w:t>
            </w:r>
            <w:r>
              <w:rPr>
                <w:b/>
                <w:bCs/>
                <w:szCs w:val="21"/>
              </w:rPr>
              <w:t>详见采购公告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7" w:hRule="atLeast"/>
        </w:trPr>
        <w:tc>
          <w:tcPr>
            <w:tcW w:w="962" w:type="dxa"/>
            <w:vAlign w:val="center"/>
          </w:tcPr>
          <w:p>
            <w:pPr>
              <w:spacing w:line="400" w:lineRule="exact"/>
              <w:jc w:val="center"/>
              <w:rPr>
                <w:color w:val="000000"/>
                <w:szCs w:val="21"/>
              </w:rPr>
            </w:pPr>
            <w:r>
              <w:rPr>
                <w:color w:val="000000"/>
                <w:szCs w:val="21"/>
              </w:rPr>
              <w:t>23</w:t>
            </w:r>
          </w:p>
        </w:tc>
        <w:tc>
          <w:tcPr>
            <w:tcW w:w="7964" w:type="dxa"/>
            <w:vAlign w:val="center"/>
          </w:tcPr>
          <w:p>
            <w:pPr>
              <w:spacing w:line="360" w:lineRule="auto"/>
              <w:rPr>
                <w:color w:val="000000"/>
                <w:szCs w:val="21"/>
              </w:rPr>
            </w:pPr>
            <w:r>
              <w:rPr>
                <w:color w:val="000000"/>
                <w:szCs w:val="21"/>
              </w:rPr>
              <w:t>1.磋商方式：“远程不见面”磋商方式，供应商无需到河南省公共资源交易中心现场参加磋商会议。</w:t>
            </w:r>
          </w:p>
          <w:p>
            <w:pPr>
              <w:spacing w:line="360" w:lineRule="auto"/>
              <w:rPr>
                <w:color w:val="000000"/>
                <w:szCs w:val="21"/>
              </w:rPr>
            </w:pPr>
            <w:r>
              <w:rPr>
                <w:color w:val="000000"/>
                <w:szCs w:val="21"/>
              </w:rPr>
              <w:t>2.在响应文件开启时间前，</w:t>
            </w:r>
            <w:bookmarkStart w:id="17" w:name="_Hlk44857780"/>
            <w:r>
              <w:rPr>
                <w:color w:val="000000"/>
                <w:szCs w:val="21"/>
              </w:rPr>
              <w:t>供应商登录远程开标大厅（www.hnggzyjy.cn），</w:t>
            </w:r>
            <w:bookmarkEnd w:id="17"/>
            <w:r>
              <w:rPr>
                <w:color w:val="000000"/>
                <w:szCs w:val="21"/>
              </w:rPr>
              <w:t>在线准时参加响应文件开启活动并进行文件解密，澄清、二次报价等。</w:t>
            </w:r>
          </w:p>
          <w:p>
            <w:pPr>
              <w:spacing w:line="360" w:lineRule="auto"/>
              <w:rPr>
                <w:color w:val="000000"/>
                <w:szCs w:val="21"/>
              </w:rPr>
            </w:pPr>
            <w:r>
              <w:rPr>
                <w:color w:val="000000"/>
                <w:szCs w:val="21"/>
              </w:rPr>
              <w:t>3.未在规定时间内解密响应文件的供应商，其响应文件无效。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7" w:hRule="atLeast"/>
        </w:trPr>
        <w:tc>
          <w:tcPr>
            <w:tcW w:w="962" w:type="dxa"/>
            <w:vAlign w:val="center"/>
          </w:tcPr>
          <w:p>
            <w:pPr>
              <w:spacing w:line="400" w:lineRule="exact"/>
              <w:jc w:val="center"/>
              <w:rPr>
                <w:color w:val="000000"/>
                <w:szCs w:val="21"/>
              </w:rPr>
            </w:pPr>
            <w:r>
              <w:rPr>
                <w:color w:val="000000"/>
                <w:szCs w:val="21"/>
              </w:rPr>
              <w:t>24</w:t>
            </w:r>
          </w:p>
        </w:tc>
        <w:tc>
          <w:tcPr>
            <w:tcW w:w="7964" w:type="dxa"/>
            <w:vAlign w:val="center"/>
          </w:tcPr>
          <w:p>
            <w:pPr>
              <w:spacing w:line="360" w:lineRule="auto"/>
              <w:rPr>
                <w:color w:val="FF0000"/>
                <w:szCs w:val="21"/>
              </w:rPr>
            </w:pPr>
            <w:r>
              <w:rPr>
                <w:color w:val="000000"/>
                <w:szCs w:val="21"/>
              </w:rPr>
              <w:t>磋商文件开启时间：</w:t>
            </w:r>
            <w:r>
              <w:rPr>
                <w:b/>
                <w:bCs/>
                <w:szCs w:val="21"/>
              </w:rPr>
              <w:t>详见采购公告</w:t>
            </w:r>
          </w:p>
          <w:p>
            <w:pPr>
              <w:spacing w:line="360" w:lineRule="auto"/>
              <w:rPr>
                <w:color w:val="000000"/>
                <w:szCs w:val="21"/>
              </w:rPr>
            </w:pPr>
            <w:r>
              <w:rPr>
                <w:color w:val="000000"/>
                <w:szCs w:val="21"/>
              </w:rPr>
              <w:t>响应文件开启地点：</w:t>
            </w:r>
            <w:r>
              <w:rPr>
                <w:b/>
                <w:bCs/>
                <w:szCs w:val="21"/>
              </w:rPr>
              <w:t>详见采购公告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54" w:hRule="atLeast"/>
        </w:trPr>
        <w:tc>
          <w:tcPr>
            <w:tcW w:w="8926" w:type="dxa"/>
            <w:gridSpan w:val="2"/>
          </w:tcPr>
          <w:p>
            <w:pPr>
              <w:spacing w:line="360" w:lineRule="auto"/>
              <w:jc w:val="center"/>
              <w:rPr>
                <w:b/>
                <w:bCs/>
                <w:color w:val="000000"/>
                <w:szCs w:val="21"/>
              </w:rPr>
            </w:pPr>
            <w:r>
              <w:rPr>
                <w:b/>
                <w:bCs/>
                <w:color w:val="000000"/>
                <w:szCs w:val="21"/>
              </w:rPr>
              <w:t>评审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0" w:hRule="atLeast"/>
        </w:trPr>
        <w:tc>
          <w:tcPr>
            <w:tcW w:w="962" w:type="dxa"/>
            <w:tcBorders>
              <w:bottom w:val="single" w:color="auto" w:sz="4" w:space="0"/>
            </w:tcBorders>
            <w:vAlign w:val="center"/>
          </w:tcPr>
          <w:p>
            <w:pPr>
              <w:spacing w:line="400" w:lineRule="exact"/>
              <w:jc w:val="center"/>
              <w:rPr>
                <w:color w:val="000000"/>
                <w:szCs w:val="21"/>
              </w:rPr>
            </w:pPr>
            <w:r>
              <w:rPr>
                <w:color w:val="000000"/>
                <w:szCs w:val="21"/>
              </w:rPr>
              <w:t>25</w:t>
            </w:r>
          </w:p>
        </w:tc>
        <w:tc>
          <w:tcPr>
            <w:tcW w:w="7964" w:type="dxa"/>
            <w:tcBorders>
              <w:bottom w:val="single" w:color="auto" w:sz="4" w:space="0"/>
            </w:tcBorders>
          </w:tcPr>
          <w:p>
            <w:pPr>
              <w:spacing w:line="360" w:lineRule="auto"/>
              <w:rPr>
                <w:color w:val="000000"/>
                <w:szCs w:val="21"/>
              </w:rPr>
            </w:pPr>
            <w:r>
              <w:rPr>
                <w:color w:val="000000"/>
                <w:szCs w:val="21"/>
              </w:rPr>
              <w:t>磋商小组：3 人，其中经济、技术专家不少于磋商小组成员总数的三分之二。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0" w:hRule="atLeast"/>
        </w:trPr>
        <w:tc>
          <w:tcPr>
            <w:tcW w:w="962" w:type="dxa"/>
            <w:tcBorders>
              <w:bottom w:val="single" w:color="auto" w:sz="4" w:space="0"/>
            </w:tcBorders>
            <w:vAlign w:val="center"/>
          </w:tcPr>
          <w:p>
            <w:pPr>
              <w:spacing w:line="400" w:lineRule="exact"/>
              <w:jc w:val="center"/>
              <w:rPr>
                <w:color w:val="000000"/>
                <w:szCs w:val="21"/>
              </w:rPr>
            </w:pPr>
            <w:r>
              <w:rPr>
                <w:color w:val="000000"/>
                <w:szCs w:val="21"/>
              </w:rPr>
              <w:t>26</w:t>
            </w:r>
          </w:p>
        </w:tc>
        <w:tc>
          <w:tcPr>
            <w:tcW w:w="7964" w:type="dxa"/>
            <w:tcBorders>
              <w:bottom w:val="single" w:color="auto" w:sz="4" w:space="0"/>
            </w:tcBorders>
          </w:tcPr>
          <w:p>
            <w:pPr>
              <w:spacing w:line="360" w:lineRule="auto"/>
              <w:rPr>
                <w:b/>
                <w:bCs/>
                <w:color w:val="000000"/>
                <w:szCs w:val="21"/>
              </w:rPr>
            </w:pPr>
            <w:r>
              <w:rPr>
                <w:b/>
                <w:bCs/>
                <w:color w:val="000000"/>
                <w:szCs w:val="21"/>
              </w:rPr>
              <w:t>1、初步评审</w:t>
            </w:r>
          </w:p>
          <w:p>
            <w:pPr>
              <w:spacing w:line="360" w:lineRule="auto"/>
              <w:ind w:firstLine="420" w:firstLineChars="200"/>
              <w:rPr>
                <w:bCs/>
                <w:color w:val="000000"/>
                <w:szCs w:val="21"/>
              </w:rPr>
            </w:pPr>
            <w:r>
              <w:rPr>
                <w:bCs/>
                <w:color w:val="000000"/>
                <w:szCs w:val="21"/>
              </w:rPr>
              <w:t>磋商小组依据以下标准对供应商的磋商响应文件进行审查，有一项不符合审查标准的，其磋商响应文件按无效处理：</w:t>
            </w:r>
          </w:p>
          <w:p>
            <w:pPr>
              <w:spacing w:line="360" w:lineRule="auto"/>
            </w:pPr>
            <w:r>
              <w:t>（1）具有有效营业执照；</w:t>
            </w:r>
          </w:p>
          <w:p>
            <w:pPr>
              <w:spacing w:line="360" w:lineRule="auto"/>
              <w:jc w:val="left"/>
            </w:pPr>
            <w:r>
              <w:t>（2）</w:t>
            </w:r>
            <w:r>
              <w:rPr>
                <w:szCs w:val="21"/>
              </w:rPr>
              <w:t>财务审计报告符合采购文件规定（要求注册会计师签字并加盖会计师印章；截止到响应文件提交的截止时间，供应商成立时间不足要求时限的，可提供银行资信证明材料）；</w:t>
            </w:r>
          </w:p>
          <w:p>
            <w:pPr>
              <w:spacing w:line="360" w:lineRule="auto"/>
              <w:jc w:val="left"/>
            </w:pPr>
            <w:r>
              <w:t>（3）具有履行合同所必需的设备和专业技术能力；</w:t>
            </w:r>
          </w:p>
          <w:p>
            <w:pPr>
              <w:spacing w:line="360" w:lineRule="auto"/>
              <w:jc w:val="left"/>
            </w:pPr>
            <w:r>
              <w:t>（4）纳税证明材料、社会保障资金缴纳证明资料符合采购文件规定</w:t>
            </w:r>
            <w:r>
              <w:rPr>
                <w:szCs w:val="21"/>
              </w:rPr>
              <w:t>；</w:t>
            </w:r>
          </w:p>
          <w:p>
            <w:pPr>
              <w:spacing w:line="360" w:lineRule="auto"/>
              <w:jc w:val="left"/>
            </w:pPr>
            <w:r>
              <w:t>（5）</w:t>
            </w:r>
            <w:r>
              <w:rPr>
                <w:szCs w:val="21"/>
              </w:rPr>
              <w:t>信用声明函及信用记录符合采购文件规定</w:t>
            </w:r>
            <w:r>
              <w:t>；</w:t>
            </w:r>
          </w:p>
          <w:p>
            <w:pPr>
              <w:spacing w:line="360" w:lineRule="auto"/>
              <w:jc w:val="left"/>
            </w:pPr>
            <w:r>
              <w:rPr>
                <w:bCs/>
                <w:kern w:val="0"/>
              </w:rPr>
              <w:t>（6）</w:t>
            </w:r>
            <w:r>
              <w:rPr>
                <w:szCs w:val="21"/>
              </w:rPr>
              <w:t>反商业贿赂承诺书符合采购文件规定</w:t>
            </w:r>
            <w:r>
              <w:t>；</w:t>
            </w:r>
          </w:p>
          <w:p>
            <w:pPr>
              <w:spacing w:line="360" w:lineRule="auto"/>
              <w:jc w:val="left"/>
              <w:rPr>
                <w:szCs w:val="21"/>
              </w:rPr>
            </w:pPr>
            <w:r>
              <w:t>（7）</w:t>
            </w:r>
            <w:r>
              <w:rPr>
                <w:szCs w:val="21"/>
              </w:rPr>
              <w:t>磋商响应承诺函符合采购文件要求；</w:t>
            </w:r>
          </w:p>
          <w:p>
            <w:pPr>
              <w:spacing w:line="360" w:lineRule="auto"/>
              <w:jc w:val="left"/>
              <w:rPr>
                <w:szCs w:val="24"/>
              </w:rPr>
            </w:pPr>
            <w:r>
              <w:t>（8）</w:t>
            </w:r>
            <w:r>
              <w:rPr>
                <w:szCs w:val="21"/>
              </w:rPr>
              <w:t>不同供应商单位负责人不是同一人或者未存在直接控股、管理关系；</w:t>
            </w:r>
          </w:p>
          <w:p>
            <w:pPr>
              <w:spacing w:line="360" w:lineRule="auto"/>
              <w:rPr>
                <w:bCs/>
                <w:color w:val="000000"/>
                <w:szCs w:val="21"/>
              </w:rPr>
            </w:pPr>
            <w:r>
              <w:rPr>
                <w:bCs/>
                <w:color w:val="000000"/>
                <w:szCs w:val="21"/>
              </w:rPr>
              <w:t>（9）响应文件不存在雷同性（包括文件制作机器码或文件创建标识码）；</w:t>
            </w:r>
          </w:p>
          <w:p>
            <w:pPr>
              <w:spacing w:line="360" w:lineRule="auto"/>
              <w:rPr>
                <w:bCs/>
                <w:color w:val="000000"/>
                <w:szCs w:val="21"/>
              </w:rPr>
            </w:pPr>
            <w:r>
              <w:rPr>
                <w:bCs/>
                <w:color w:val="000000"/>
                <w:szCs w:val="21"/>
              </w:rPr>
              <w:t>（10）响应文件有效期符合采购文件规定；</w:t>
            </w:r>
          </w:p>
          <w:p>
            <w:pPr>
              <w:spacing w:line="360" w:lineRule="auto"/>
              <w:rPr>
                <w:bCs/>
                <w:color w:val="000000"/>
                <w:szCs w:val="21"/>
              </w:rPr>
            </w:pPr>
            <w:r>
              <w:rPr>
                <w:bCs/>
                <w:color w:val="000000"/>
                <w:szCs w:val="21"/>
              </w:rPr>
              <w:t>（11）签字盖章签章符合竞争性磋商文件规定；</w:t>
            </w:r>
          </w:p>
          <w:p>
            <w:pPr>
              <w:spacing w:line="360" w:lineRule="auto"/>
              <w:rPr>
                <w:bCs/>
                <w:color w:val="000000"/>
                <w:szCs w:val="21"/>
              </w:rPr>
            </w:pPr>
            <w:r>
              <w:rPr>
                <w:bCs/>
                <w:color w:val="000000"/>
                <w:szCs w:val="21"/>
              </w:rPr>
              <w:t>（12）供应商各轮次报价未超过最高限价；</w:t>
            </w:r>
          </w:p>
          <w:p>
            <w:pPr>
              <w:spacing w:line="360" w:lineRule="auto"/>
              <w:rPr>
                <w:bCs/>
                <w:color w:val="000000"/>
                <w:szCs w:val="21"/>
              </w:rPr>
            </w:pPr>
            <w:r>
              <w:rPr>
                <w:bCs/>
                <w:color w:val="000000"/>
                <w:szCs w:val="21"/>
              </w:rPr>
              <w:t>（13）响应文件实质响应竞争性磋商文件；</w:t>
            </w:r>
          </w:p>
          <w:p>
            <w:pPr>
              <w:spacing w:line="360" w:lineRule="auto"/>
              <w:rPr>
                <w:bCs/>
                <w:color w:val="000000"/>
                <w:szCs w:val="21"/>
              </w:rPr>
            </w:pPr>
            <w:r>
              <w:rPr>
                <w:bCs/>
                <w:color w:val="000000"/>
                <w:szCs w:val="21"/>
              </w:rPr>
              <w:t>（14）响应文件未附有采购人不能接受的条件。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0" w:hRule="atLeast"/>
        </w:trPr>
        <w:tc>
          <w:tcPr>
            <w:tcW w:w="962" w:type="dxa"/>
            <w:tcBorders>
              <w:bottom w:val="single" w:color="auto" w:sz="4" w:space="0"/>
            </w:tcBorders>
            <w:vAlign w:val="center"/>
          </w:tcPr>
          <w:p>
            <w:pPr>
              <w:spacing w:line="400" w:lineRule="exact"/>
              <w:jc w:val="center"/>
              <w:rPr>
                <w:color w:val="000000"/>
                <w:szCs w:val="21"/>
              </w:rPr>
            </w:pPr>
            <w:r>
              <w:rPr>
                <w:szCs w:val="21"/>
              </w:rPr>
              <w:t>27</w:t>
            </w:r>
          </w:p>
        </w:tc>
        <w:tc>
          <w:tcPr>
            <w:tcW w:w="7964" w:type="dxa"/>
            <w:tcBorders>
              <w:bottom w:val="single" w:color="auto" w:sz="4" w:space="0"/>
            </w:tcBorders>
          </w:tcPr>
          <w:p>
            <w:pPr>
              <w:spacing w:line="360" w:lineRule="auto"/>
              <w:rPr>
                <w:szCs w:val="21"/>
              </w:rPr>
            </w:pPr>
            <w:r>
              <w:rPr>
                <w:szCs w:val="21"/>
              </w:rPr>
              <w:t>信用记录：根据财库【2016】125号文的要求，采购人将在响应文件提交的截止时间后在“信用中国”网站查询供应商“失信被执行人”和“重大税收违法案件当事人名单”，在“中国政府采购”网站查询供应商“政府采购严重违法失信行为记录名单”；供应商被列入失信被执行人、重大税收违法案件当事人名单、政府采购严重违法失信行为记录名单的，其响应文件作为无效处理。</w:t>
            </w:r>
          </w:p>
          <w:p>
            <w:pPr>
              <w:spacing w:line="360" w:lineRule="auto"/>
              <w:rPr>
                <w:b/>
                <w:bCs/>
                <w:color w:val="000000"/>
                <w:szCs w:val="21"/>
              </w:rPr>
            </w:pPr>
            <w:r>
              <w:rPr>
                <w:szCs w:val="21"/>
              </w:rPr>
              <w:t>查询及记录方式：采购人将查询网页打印、存档备查。采购人查询之后，网站信息发生的任何变更均不再作为评审依据，供应商自行提供的与采购人查询信息不一致的其他证明材料亦不作为评审依据。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0" w:hRule="atLeast"/>
        </w:trPr>
        <w:tc>
          <w:tcPr>
            <w:tcW w:w="962" w:type="dxa"/>
            <w:tcBorders>
              <w:bottom w:val="single" w:color="auto" w:sz="4" w:space="0"/>
            </w:tcBorders>
            <w:vAlign w:val="center"/>
          </w:tcPr>
          <w:p>
            <w:pPr>
              <w:spacing w:line="400" w:lineRule="exact"/>
              <w:jc w:val="center"/>
              <w:rPr>
                <w:color w:val="000000"/>
                <w:szCs w:val="21"/>
              </w:rPr>
            </w:pPr>
            <w:r>
              <w:rPr>
                <w:color w:val="000000"/>
                <w:szCs w:val="21"/>
              </w:rPr>
              <w:t>28</w:t>
            </w:r>
          </w:p>
        </w:tc>
        <w:tc>
          <w:tcPr>
            <w:tcW w:w="7964" w:type="dxa"/>
            <w:tcBorders>
              <w:bottom w:val="single" w:color="auto" w:sz="4" w:space="0"/>
            </w:tcBorders>
          </w:tcPr>
          <w:p>
            <w:pPr>
              <w:spacing w:line="360" w:lineRule="auto"/>
              <w:rPr>
                <w:sz w:val="24"/>
              </w:rPr>
            </w:pPr>
            <w:r>
              <w:rPr>
                <w:color w:val="000000"/>
                <w:szCs w:val="21"/>
              </w:rPr>
              <w:t>本次磋商活动中，提供同一品牌同一型号核心产品且通过初步评审的不同供应商参加同一合同项下磋商活动的，按一家供应商计算，评审后得分最高的供应商获得成交候选供应商推荐资格，其他同品牌供应商不作为成交候选供应商。</w:t>
            </w:r>
          </w:p>
          <w:p>
            <w:pPr>
              <w:spacing w:line="360" w:lineRule="auto"/>
              <w:rPr>
                <w:color w:val="000000"/>
                <w:szCs w:val="21"/>
              </w:rPr>
            </w:pPr>
            <w:r>
              <w:rPr>
                <w:b/>
                <w:szCs w:val="21"/>
              </w:rPr>
              <w:t>本次磋商活动中的核心产品：</w:t>
            </w:r>
            <w:r>
              <w:rPr>
                <w:rFonts w:hint="eastAsia"/>
                <w:b/>
                <w:szCs w:val="21"/>
              </w:rPr>
              <w:t>异形管材组合床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0" w:hRule="atLeast"/>
        </w:trPr>
        <w:tc>
          <w:tcPr>
            <w:tcW w:w="962" w:type="dxa"/>
            <w:tcBorders>
              <w:bottom w:val="single" w:color="auto" w:sz="4" w:space="0"/>
            </w:tcBorders>
            <w:vAlign w:val="center"/>
          </w:tcPr>
          <w:p>
            <w:pPr>
              <w:spacing w:line="400" w:lineRule="exact"/>
              <w:jc w:val="center"/>
              <w:rPr>
                <w:color w:val="000000"/>
                <w:szCs w:val="21"/>
              </w:rPr>
            </w:pPr>
            <w:r>
              <w:rPr>
                <w:color w:val="000000"/>
                <w:szCs w:val="21"/>
              </w:rPr>
              <w:t>29</w:t>
            </w:r>
          </w:p>
        </w:tc>
        <w:tc>
          <w:tcPr>
            <w:tcW w:w="7964" w:type="dxa"/>
            <w:tcBorders>
              <w:bottom w:val="single" w:color="auto" w:sz="4" w:space="0"/>
            </w:tcBorders>
          </w:tcPr>
          <w:p>
            <w:pPr>
              <w:spacing w:line="360" w:lineRule="auto"/>
              <w:rPr>
                <w:color w:val="000000"/>
                <w:szCs w:val="21"/>
              </w:rPr>
            </w:pPr>
            <w:r>
              <w:rPr>
                <w:color w:val="000000"/>
                <w:szCs w:val="21"/>
              </w:rPr>
              <w:t>小微企业扶持政策</w:t>
            </w:r>
          </w:p>
          <w:p>
            <w:pPr>
              <w:spacing w:line="360" w:lineRule="auto"/>
              <w:rPr>
                <w:color w:val="000000"/>
                <w:szCs w:val="21"/>
              </w:rPr>
            </w:pPr>
            <w:r>
              <w:rPr>
                <w:color w:val="000000"/>
                <w:szCs w:val="21"/>
              </w:rPr>
              <w:t>（1）根据《政府采购促进中小企业发展暂行办法》(财库[2011]181 号)的规定，对于非专门面向中小企业的项目，对小型和微型企业产品的价格给予 6%的扣除，用扣除后的价格参与评审。小微企业的认定标准按《中小企业划型标准规定》（工信部联企业〔2011〕300号）文件执行，供应商须提供中小企业声明函并同时满足小微企业划分标准，否则不予认可。（小型、微型企业提供中型企业制造的货物的，视同为中型企业。）</w:t>
            </w:r>
          </w:p>
          <w:p>
            <w:pPr>
              <w:spacing w:line="360" w:lineRule="auto"/>
              <w:rPr>
                <w:color w:val="000000"/>
                <w:szCs w:val="21"/>
              </w:rPr>
            </w:pPr>
            <w:r>
              <w:rPr>
                <w:color w:val="000000"/>
                <w:szCs w:val="21"/>
              </w:rPr>
              <w:t>（2）监狱企业视同小型、微型企业时，需提供省级及以上监狱管理局、戒毒管理局（含新疆生产建设兵团）出具的属于监狱企业的证明文件，否则不予认可。</w:t>
            </w:r>
          </w:p>
          <w:p>
            <w:pPr>
              <w:spacing w:line="360" w:lineRule="auto"/>
              <w:rPr>
                <w:color w:val="000000"/>
                <w:szCs w:val="21"/>
              </w:rPr>
            </w:pPr>
            <w:r>
              <w:rPr>
                <w:color w:val="000000"/>
                <w:szCs w:val="21"/>
              </w:rPr>
              <w:t>（3）残疾人福利性企业视同小型、微型企业，残疾人福利性单位须符合《财政部民政部中国残疾人联合会关于促进残疾人就业政府采购政策的通知》（财库〔2017〕141 号）要求，提供《残疾人福利性单位声明函》，提供的《残疾人福利性单位声明函》与事实不符的，依照《政府采购法》第七十七条第一款的规定追究法律责任。</w:t>
            </w:r>
          </w:p>
          <w:p>
            <w:pPr>
              <w:spacing w:line="360" w:lineRule="auto"/>
              <w:rPr>
                <w:color w:val="000000"/>
                <w:szCs w:val="21"/>
              </w:rPr>
            </w:pPr>
            <w:r>
              <w:rPr>
                <w:color w:val="000000"/>
                <w:szCs w:val="21"/>
              </w:rPr>
              <w:t>（4）小微企业产品、监狱企业产品和残疾人福利性单位产品只给予一次价格扣除，不重复给予价格扣除。</w:t>
            </w:r>
          </w:p>
          <w:p>
            <w:pPr>
              <w:spacing w:line="360" w:lineRule="auto"/>
              <w:rPr>
                <w:color w:val="000000"/>
                <w:szCs w:val="21"/>
              </w:rPr>
            </w:pPr>
            <w:r>
              <w:rPr>
                <w:color w:val="000000"/>
                <w:szCs w:val="21"/>
              </w:rPr>
              <w:t>（5）成交供应商为小微企业（残疾人福利性单位）时，</w:t>
            </w:r>
            <w:r>
              <w:rPr>
                <w:rFonts w:hint="eastAsia"/>
              </w:rPr>
              <w:t>随中标或成交结果同时公告其《小微型企业声明函》、《残疾人福利性单位声明函》</w:t>
            </w:r>
            <w:r>
              <w:rPr>
                <w:color w:val="000000"/>
                <w:szCs w:val="21"/>
              </w:rPr>
              <w:t>，接受社会监督。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0" w:hRule="atLeast"/>
        </w:trPr>
        <w:tc>
          <w:tcPr>
            <w:tcW w:w="962" w:type="dxa"/>
            <w:tcBorders>
              <w:bottom w:val="single" w:color="auto" w:sz="4" w:space="0"/>
            </w:tcBorders>
            <w:vAlign w:val="center"/>
          </w:tcPr>
          <w:p>
            <w:pPr>
              <w:spacing w:line="400" w:lineRule="exact"/>
              <w:jc w:val="center"/>
              <w:rPr>
                <w:color w:val="000000"/>
                <w:szCs w:val="21"/>
              </w:rPr>
            </w:pPr>
            <w:r>
              <w:rPr>
                <w:color w:val="000000"/>
                <w:szCs w:val="21"/>
              </w:rPr>
              <w:t>30</w:t>
            </w:r>
          </w:p>
        </w:tc>
        <w:tc>
          <w:tcPr>
            <w:tcW w:w="7964" w:type="dxa"/>
            <w:tcBorders>
              <w:bottom w:val="single" w:color="auto" w:sz="4" w:space="0"/>
            </w:tcBorders>
          </w:tcPr>
          <w:p>
            <w:pPr>
              <w:spacing w:line="360" w:lineRule="auto"/>
              <w:rPr>
                <w:color w:val="000000"/>
                <w:szCs w:val="21"/>
              </w:rPr>
            </w:pPr>
            <w:r>
              <w:rPr>
                <w:color w:val="000000"/>
                <w:szCs w:val="21"/>
              </w:rPr>
              <w:t>节能环保政策</w:t>
            </w:r>
          </w:p>
          <w:p>
            <w:pPr>
              <w:spacing w:line="360" w:lineRule="auto"/>
              <w:rPr>
                <w:color w:val="000000"/>
                <w:szCs w:val="21"/>
              </w:rPr>
            </w:pPr>
            <w:r>
              <w:rPr>
                <w:color w:val="000000"/>
                <w:szCs w:val="21"/>
              </w:rPr>
              <w:t>根据财政部发展改革委生态环境部市场监管总局《关于调整优化节能产品、环境标志产品政府采购执行机制的通知》（财库〔2019〕9号）要求，本项目若含有节能产品政府采购品目清单内政府强制采购产品，供应商须选用国家确定的认证机构出具的处于有效期之内的政府强制采购节能产品。本项目若含有节能产品、环境标志产品政府采购品目清单内政府优先采购产品，对选用国家公布的认证机构认证的处于有效期之内的政府优先采购节能产品（政府强制采购产品除外）、环境标志产品给予加分，具体见“第二部分竞争性磋商项目资料表 ”中的“评分方法”。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0" w:hRule="atLeast"/>
        </w:trPr>
        <w:tc>
          <w:tcPr>
            <w:tcW w:w="962" w:type="dxa"/>
            <w:tcBorders>
              <w:bottom w:val="single" w:color="auto" w:sz="4" w:space="0"/>
            </w:tcBorders>
            <w:vAlign w:val="center"/>
          </w:tcPr>
          <w:p>
            <w:pPr>
              <w:spacing w:line="400" w:lineRule="exact"/>
              <w:jc w:val="center"/>
              <w:rPr>
                <w:szCs w:val="21"/>
              </w:rPr>
            </w:pPr>
            <w:r>
              <w:rPr>
                <w:szCs w:val="21"/>
              </w:rPr>
              <w:t>31</w:t>
            </w:r>
          </w:p>
        </w:tc>
        <w:tc>
          <w:tcPr>
            <w:tcW w:w="7964" w:type="dxa"/>
            <w:tcBorders>
              <w:bottom w:val="single" w:color="auto" w:sz="4" w:space="0"/>
            </w:tcBorders>
          </w:tcPr>
          <w:p>
            <w:pPr>
              <w:spacing w:line="360" w:lineRule="auto"/>
              <w:rPr>
                <w:szCs w:val="21"/>
              </w:rPr>
            </w:pPr>
            <w:r>
              <w:rPr>
                <w:b/>
                <w:szCs w:val="21"/>
              </w:rPr>
              <w:t>评分标准：综合评分法，详见附件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0" w:hRule="atLeast"/>
        </w:trPr>
        <w:tc>
          <w:tcPr>
            <w:tcW w:w="962" w:type="dxa"/>
            <w:tcBorders>
              <w:bottom w:val="single" w:color="auto" w:sz="4" w:space="0"/>
            </w:tcBorders>
            <w:vAlign w:val="center"/>
          </w:tcPr>
          <w:p>
            <w:pPr>
              <w:spacing w:line="360" w:lineRule="auto"/>
              <w:jc w:val="center"/>
              <w:rPr>
                <w:szCs w:val="21"/>
              </w:rPr>
            </w:pPr>
            <w:r>
              <w:rPr>
                <w:szCs w:val="21"/>
              </w:rPr>
              <w:t>32</w:t>
            </w:r>
          </w:p>
        </w:tc>
        <w:tc>
          <w:tcPr>
            <w:tcW w:w="7964" w:type="dxa"/>
            <w:tcBorders>
              <w:bottom w:val="single" w:color="auto" w:sz="4" w:space="0"/>
            </w:tcBorders>
          </w:tcPr>
          <w:p>
            <w:pPr>
              <w:pStyle w:val="6"/>
              <w:spacing w:line="360" w:lineRule="auto"/>
              <w:ind w:firstLine="0" w:firstLineChars="0"/>
              <w:rPr>
                <w:kern w:val="2"/>
                <w:sz w:val="21"/>
                <w:szCs w:val="21"/>
              </w:rPr>
            </w:pPr>
            <w:r>
              <w:rPr>
                <w:kern w:val="2"/>
                <w:sz w:val="21"/>
                <w:szCs w:val="21"/>
              </w:rPr>
              <w:t>1、推荐成交候选供应商。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pPr>
              <w:pStyle w:val="6"/>
              <w:spacing w:line="360" w:lineRule="auto"/>
              <w:ind w:firstLine="0" w:firstLineChars="0"/>
              <w:rPr>
                <w:kern w:val="2"/>
                <w:sz w:val="21"/>
                <w:szCs w:val="21"/>
              </w:rPr>
            </w:pPr>
            <w:r>
              <w:rPr>
                <w:kern w:val="2"/>
                <w:sz w:val="21"/>
                <w:szCs w:val="21"/>
              </w:rPr>
              <w:t>2、</w:t>
            </w:r>
            <w:bookmarkStart w:id="18" w:name="_Hlk44494321"/>
            <w:r>
              <w:rPr>
                <w:kern w:val="2"/>
                <w:sz w:val="21"/>
                <w:szCs w:val="21"/>
              </w:rPr>
              <w:t>符合财库〔2014〕214号第二十一条第三款情形的，且合格供应商只有2家时，可以推荐2家成交候选供应商。</w:t>
            </w:r>
            <w:bookmarkEnd w:id="18"/>
          </w:p>
          <w:p>
            <w:pPr>
              <w:pStyle w:val="6"/>
              <w:spacing w:line="360" w:lineRule="auto"/>
              <w:ind w:firstLine="0" w:firstLineChars="0"/>
              <w:rPr>
                <w:kern w:val="2"/>
                <w:sz w:val="24"/>
                <w:szCs w:val="24"/>
              </w:rPr>
            </w:pPr>
            <w:r>
              <w:rPr>
                <w:kern w:val="2"/>
                <w:sz w:val="21"/>
                <w:szCs w:val="21"/>
              </w:rPr>
              <w:t>3、</w:t>
            </w:r>
            <w:bookmarkStart w:id="19" w:name="_Hlk44659104"/>
            <w:r>
              <w:rPr>
                <w:kern w:val="2"/>
                <w:sz w:val="21"/>
                <w:szCs w:val="21"/>
              </w:rPr>
              <w:t>以竞争性磋商方式采购的政府购买服务项目（含政府和社会资本合作项目）</w:t>
            </w:r>
            <w:bookmarkEnd w:id="19"/>
            <w:r>
              <w:rPr>
                <w:kern w:val="2"/>
                <w:sz w:val="21"/>
                <w:szCs w:val="21"/>
              </w:rPr>
              <w:t>，合格供应商只有2家时，可以推荐2家成交候选供应商。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87" w:hRule="atLeast"/>
        </w:trPr>
        <w:tc>
          <w:tcPr>
            <w:tcW w:w="8926" w:type="dxa"/>
            <w:gridSpan w:val="2"/>
            <w:vAlign w:val="center"/>
          </w:tcPr>
          <w:p>
            <w:pPr>
              <w:spacing w:line="360" w:lineRule="auto"/>
              <w:jc w:val="center"/>
              <w:rPr>
                <w:b/>
                <w:bCs/>
                <w:szCs w:val="21"/>
              </w:rPr>
            </w:pPr>
            <w:r>
              <w:rPr>
                <w:b/>
                <w:bCs/>
                <w:szCs w:val="21"/>
              </w:rPr>
              <w:t>授予合同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8" w:hRule="atLeast"/>
        </w:trPr>
        <w:tc>
          <w:tcPr>
            <w:tcW w:w="962" w:type="dxa"/>
            <w:vAlign w:val="center"/>
          </w:tcPr>
          <w:p>
            <w:pPr>
              <w:spacing w:line="360" w:lineRule="auto"/>
              <w:jc w:val="center"/>
              <w:rPr>
                <w:szCs w:val="21"/>
              </w:rPr>
            </w:pPr>
            <w:r>
              <w:rPr>
                <w:szCs w:val="21"/>
              </w:rPr>
              <w:t>33</w:t>
            </w:r>
          </w:p>
        </w:tc>
        <w:tc>
          <w:tcPr>
            <w:tcW w:w="7964" w:type="dxa"/>
            <w:vAlign w:val="center"/>
          </w:tcPr>
          <w:p>
            <w:pPr>
              <w:spacing w:line="360" w:lineRule="auto"/>
              <w:rPr>
                <w:szCs w:val="21"/>
              </w:rPr>
            </w:pPr>
            <w:r>
              <w:rPr>
                <w:szCs w:val="21"/>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8" w:hRule="atLeast"/>
        </w:trPr>
        <w:tc>
          <w:tcPr>
            <w:tcW w:w="962" w:type="dxa"/>
            <w:vAlign w:val="center"/>
          </w:tcPr>
          <w:p>
            <w:pPr>
              <w:spacing w:line="360" w:lineRule="auto"/>
              <w:jc w:val="center"/>
              <w:rPr>
                <w:szCs w:val="21"/>
              </w:rPr>
            </w:pPr>
            <w:r>
              <w:rPr>
                <w:szCs w:val="21"/>
              </w:rPr>
              <w:t>34</w:t>
            </w:r>
          </w:p>
        </w:tc>
        <w:tc>
          <w:tcPr>
            <w:tcW w:w="7964" w:type="dxa"/>
            <w:vAlign w:val="center"/>
          </w:tcPr>
          <w:p>
            <w:pPr>
              <w:spacing w:line="360" w:lineRule="auto"/>
            </w:pPr>
            <w:r>
              <w:t>付款方法和条件：</w:t>
            </w:r>
          </w:p>
          <w:p>
            <w:pPr>
              <w:spacing w:line="360" w:lineRule="auto"/>
            </w:pPr>
            <w:r>
              <w:rPr>
                <w:rFonts w:hint="eastAsia"/>
              </w:rPr>
              <w:t>安装、调试、验收合格后支付合同总价95% 的款额，如无质量问题，剩余5%的质量保证金于验收合格六个月后一次无息付清。</w:t>
            </w:r>
          </w:p>
          <w:p>
            <w:pPr>
              <w:spacing w:line="360" w:lineRule="auto"/>
            </w:pPr>
            <w:r>
              <w:rPr>
                <w:rFonts w:hint="eastAsia"/>
              </w:rPr>
              <w:t>付款条件：申请付款时必须提交以下文件和资料。</w:t>
            </w:r>
          </w:p>
          <w:p>
            <w:pPr>
              <w:spacing w:line="360" w:lineRule="auto"/>
            </w:pPr>
            <w:r>
              <w:rPr>
                <w:rFonts w:hint="eastAsia"/>
              </w:rPr>
              <w:t>1、合同；</w:t>
            </w:r>
          </w:p>
          <w:p>
            <w:pPr>
              <w:spacing w:line="360" w:lineRule="auto"/>
              <w:rPr>
                <w:szCs w:val="21"/>
              </w:rPr>
            </w:pPr>
            <w:r>
              <w:rPr>
                <w:rFonts w:hint="eastAsia"/>
              </w:rPr>
              <w:t>2、合规发票。</w:t>
            </w:r>
          </w:p>
        </w:tc>
      </w:tr>
    </w:tbl>
    <w:p>
      <w:pPr>
        <w:pStyle w:val="15"/>
        <w:ind w:firstLine="0" w:firstLineChars="0"/>
        <w:jc w:val="center"/>
        <w:outlineLvl w:val="1"/>
        <w:rPr>
          <w:rFonts w:ascii="Times New Roman" w:hAnsi="Times New Roman"/>
          <w:b/>
          <w:bCs/>
          <w:sz w:val="32"/>
          <w:szCs w:val="32"/>
          <w:lang w:val="zh-CN"/>
        </w:rPr>
      </w:pPr>
      <w:r>
        <w:rPr>
          <w:rFonts w:ascii="Times New Roman" w:hAnsi="Times New Roman"/>
          <w:b/>
          <w:bCs/>
          <w:sz w:val="32"/>
          <w:szCs w:val="32"/>
        </w:rPr>
        <w:br w:type="page"/>
      </w:r>
      <w:r>
        <w:rPr>
          <w:rFonts w:ascii="Times New Roman" w:hAnsi="Times New Roman"/>
          <w:b/>
          <w:bCs/>
          <w:sz w:val="32"/>
          <w:szCs w:val="32"/>
          <w:lang w:val="zh-CN"/>
        </w:rPr>
        <w:t>评分方法</w:t>
      </w:r>
    </w:p>
    <w:tbl>
      <w:tblPr>
        <w:tblStyle w:val="16"/>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762"/>
        <w:gridCol w:w="6810"/>
        <w:gridCol w:w="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trPr>
        <w:tc>
          <w:tcPr>
            <w:tcW w:w="87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评分因素</w:t>
            </w:r>
          </w:p>
        </w:tc>
        <w:tc>
          <w:tcPr>
            <w:tcW w:w="76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评分内容</w:t>
            </w:r>
          </w:p>
        </w:tc>
        <w:tc>
          <w:tcPr>
            <w:tcW w:w="681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评分标准</w:t>
            </w: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trPr>
        <w:tc>
          <w:tcPr>
            <w:tcW w:w="87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报价（</w:t>
            </w:r>
            <w:r>
              <w:rPr>
                <w:sz w:val="18"/>
                <w:szCs w:val="18"/>
              </w:rPr>
              <w:t>35</w:t>
            </w:r>
            <w:r>
              <w:rPr>
                <w:rFonts w:hint="eastAsia"/>
                <w:sz w:val="18"/>
                <w:szCs w:val="18"/>
              </w:rPr>
              <w:t>分）</w:t>
            </w:r>
          </w:p>
        </w:tc>
        <w:tc>
          <w:tcPr>
            <w:tcW w:w="76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报价</w:t>
            </w:r>
          </w:p>
        </w:tc>
        <w:tc>
          <w:tcPr>
            <w:tcW w:w="6810"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满足磋商文件要求且最后报价最低的供应商的价格为磋商基准价，其价格为满分。其他供应商的价格分统一按照下列公式计算：</w:t>
            </w:r>
          </w:p>
          <w:p>
            <w:pPr>
              <w:rPr>
                <w:sz w:val="18"/>
                <w:szCs w:val="18"/>
              </w:rPr>
            </w:pPr>
            <w:r>
              <w:rPr>
                <w:rFonts w:hint="eastAsia"/>
                <w:sz w:val="18"/>
                <w:szCs w:val="18"/>
              </w:rPr>
              <w:t>磋商报价得分=（磋商基准价/最后磋商报价）×</w:t>
            </w:r>
            <w:r>
              <w:rPr>
                <w:sz w:val="18"/>
                <w:szCs w:val="18"/>
              </w:rPr>
              <w:t>35</w:t>
            </w:r>
            <w:r>
              <w:rPr>
                <w:rFonts w:hint="eastAsia"/>
                <w:sz w:val="18"/>
                <w:szCs w:val="18"/>
              </w:rPr>
              <w:t>×100%</w:t>
            </w:r>
          </w:p>
          <w:p>
            <w:pPr>
              <w:rPr>
                <w:sz w:val="18"/>
                <w:szCs w:val="18"/>
              </w:rPr>
            </w:pPr>
            <w:r>
              <w:rPr>
                <w:rFonts w:hint="eastAsia"/>
                <w:sz w:val="18"/>
                <w:szCs w:val="18"/>
              </w:rPr>
              <w:t>因落实政府采购政策进行价格调整的，以调整后的价格计算磋商基准价和磋商报价得分。其中：对于小型、微型企业产品的具体评标价格扣除，均按财库[2011]181号文件中最低比例6%扣除。对于中型企业产品的价格不予扣除。供应商和制造商均应提供《中小企业声明函》并满足小微企业划分标准，否则不予认可。（小型、微型企业提供中型企业制造的货物的，视同为中型企业。）</w:t>
            </w: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70" w:type="dxa"/>
            <w:vMerge w:val="restar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商务部分（</w:t>
            </w:r>
            <w:r>
              <w:rPr>
                <w:sz w:val="18"/>
                <w:szCs w:val="18"/>
              </w:rPr>
              <w:t>35</w:t>
            </w:r>
            <w:r>
              <w:rPr>
                <w:rFonts w:hint="eastAsia"/>
                <w:sz w:val="18"/>
                <w:szCs w:val="18"/>
              </w:rPr>
              <w:t>分）</w:t>
            </w:r>
          </w:p>
        </w:tc>
        <w:tc>
          <w:tcPr>
            <w:tcW w:w="76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管理体系认证</w:t>
            </w:r>
          </w:p>
        </w:tc>
        <w:tc>
          <w:tcPr>
            <w:tcW w:w="6810" w:type="dxa"/>
            <w:tcBorders>
              <w:top w:val="single" w:color="auto" w:sz="4" w:space="0"/>
              <w:left w:val="single" w:color="auto" w:sz="4" w:space="0"/>
              <w:bottom w:val="single" w:color="auto" w:sz="4" w:space="0"/>
              <w:right w:val="single" w:color="auto" w:sz="4" w:space="0"/>
            </w:tcBorders>
            <w:vAlign w:val="center"/>
          </w:tcPr>
          <w:p>
            <w:pPr>
              <w:widowControl/>
              <w:rPr>
                <w:b/>
                <w:sz w:val="18"/>
                <w:szCs w:val="18"/>
              </w:rPr>
            </w:pPr>
            <w:r>
              <w:rPr>
                <w:rFonts w:hint="eastAsia"/>
                <w:sz w:val="18"/>
                <w:szCs w:val="18"/>
              </w:rPr>
              <w:t>供应商具有质量管理体系认证、环境管理体系认证、职业安全健康管理体系认证的每项得1分，共</w:t>
            </w:r>
            <w:r>
              <w:rPr>
                <w:sz w:val="18"/>
                <w:szCs w:val="18"/>
              </w:rPr>
              <w:t>3</w:t>
            </w:r>
            <w:r>
              <w:rPr>
                <w:rFonts w:hint="eastAsia"/>
                <w:sz w:val="18"/>
                <w:szCs w:val="18"/>
              </w:rPr>
              <w:t>分。</w:t>
            </w: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76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业绩</w:t>
            </w:r>
          </w:p>
        </w:tc>
        <w:tc>
          <w:tcPr>
            <w:tcW w:w="6810"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2019</w:t>
            </w:r>
            <w:r>
              <w:rPr>
                <w:rFonts w:hint="eastAsia"/>
                <w:sz w:val="18"/>
                <w:szCs w:val="18"/>
              </w:rPr>
              <w:t>年</w:t>
            </w:r>
            <w:r>
              <w:rPr>
                <w:sz w:val="18"/>
                <w:szCs w:val="18"/>
              </w:rPr>
              <w:t>1</w:t>
            </w:r>
            <w:r>
              <w:rPr>
                <w:rFonts w:hint="eastAsia"/>
                <w:sz w:val="18"/>
                <w:szCs w:val="18"/>
              </w:rPr>
              <w:t>月</w:t>
            </w:r>
            <w:r>
              <w:rPr>
                <w:sz w:val="18"/>
                <w:szCs w:val="18"/>
              </w:rPr>
              <w:t>1</w:t>
            </w:r>
            <w:r>
              <w:rPr>
                <w:rFonts w:hint="eastAsia"/>
                <w:sz w:val="18"/>
                <w:szCs w:val="18"/>
              </w:rPr>
              <w:t>日以来，供应商签订类似产品销售业绩合同的每份得2分，最高得</w:t>
            </w:r>
            <w:r>
              <w:rPr>
                <w:sz w:val="18"/>
                <w:szCs w:val="18"/>
              </w:rPr>
              <w:t>8</w:t>
            </w:r>
            <w:r>
              <w:rPr>
                <w:rFonts w:hint="eastAsia"/>
                <w:sz w:val="18"/>
                <w:szCs w:val="18"/>
              </w:rPr>
              <w:t>分。（</w:t>
            </w:r>
            <w:r>
              <w:rPr>
                <w:sz w:val="18"/>
                <w:szCs w:val="18"/>
              </w:rPr>
              <w:t>完整业绩=提供合同、用户</w:t>
            </w:r>
            <w:r>
              <w:rPr>
                <w:rFonts w:hint="eastAsia"/>
                <w:sz w:val="18"/>
                <w:szCs w:val="18"/>
              </w:rPr>
              <w:t>盖章的</w:t>
            </w:r>
            <w:r>
              <w:rPr>
                <w:sz w:val="18"/>
                <w:szCs w:val="18"/>
              </w:rPr>
              <w:t>验收合格证明材料，业绩扫描不清楚或无法辨认的不予认可，虚假业绩将自行承担相关责任。</w:t>
            </w:r>
            <w:r>
              <w:rPr>
                <w:rFonts w:hint="eastAsia"/>
                <w:sz w:val="18"/>
                <w:szCs w:val="18"/>
              </w:rPr>
              <w:t>）</w:t>
            </w: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sz w:val="18"/>
                <w:szCs w:val="18"/>
                <w:highlight w:val="green"/>
              </w:rPr>
            </w:pPr>
            <w:r>
              <w:rPr>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76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环保产品</w:t>
            </w:r>
          </w:p>
        </w:tc>
        <w:tc>
          <w:tcPr>
            <w:tcW w:w="6810"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提供制造商有效期内的“中国环境标志产品认证证书”（即十环），认证包含：公寓床、办公桌、更衣柜，提供一项得</w:t>
            </w:r>
            <w:r>
              <w:rPr>
                <w:sz w:val="18"/>
                <w:szCs w:val="18"/>
              </w:rPr>
              <w:t>1</w:t>
            </w:r>
            <w:r>
              <w:rPr>
                <w:rFonts w:hint="eastAsia"/>
                <w:sz w:val="18"/>
                <w:szCs w:val="18"/>
              </w:rPr>
              <w:t>分，共3分。</w:t>
            </w: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76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制造商生产能力</w:t>
            </w:r>
          </w:p>
        </w:tc>
        <w:tc>
          <w:tcPr>
            <w:tcW w:w="6810" w:type="dxa"/>
            <w:tcBorders>
              <w:top w:val="single" w:color="auto" w:sz="4" w:space="0"/>
              <w:left w:val="single" w:color="auto" w:sz="4" w:space="0"/>
              <w:bottom w:val="single" w:color="auto" w:sz="4" w:space="0"/>
              <w:right w:val="single" w:color="auto" w:sz="4" w:space="0"/>
            </w:tcBorders>
            <w:vAlign w:val="center"/>
          </w:tcPr>
          <w:p>
            <w:pPr>
              <w:rPr>
                <w:color w:val="000000"/>
                <w:kern w:val="0"/>
                <w:sz w:val="18"/>
                <w:szCs w:val="18"/>
              </w:rPr>
            </w:pPr>
            <w:r>
              <w:rPr>
                <w:rFonts w:hint="eastAsia"/>
                <w:sz w:val="18"/>
                <w:szCs w:val="18"/>
              </w:rPr>
              <w:t>制造商具有较强的产品生产能力，提供生产企业相关的生产设备清单、照片及发票扫描件。根据设备状况和档次先进、技术力量，生产及测试设备优秀</w:t>
            </w:r>
            <w:r>
              <w:rPr>
                <w:sz w:val="18"/>
                <w:szCs w:val="18"/>
              </w:rPr>
              <w:t>2-3</w:t>
            </w:r>
            <w:r>
              <w:rPr>
                <w:rFonts w:hint="eastAsia"/>
                <w:sz w:val="18"/>
                <w:szCs w:val="18"/>
              </w:rPr>
              <w:t>分，生产及测试设备良好</w:t>
            </w:r>
            <w:r>
              <w:rPr>
                <w:sz w:val="18"/>
                <w:szCs w:val="18"/>
              </w:rPr>
              <w:t>1-2</w:t>
            </w:r>
            <w:r>
              <w:rPr>
                <w:rFonts w:hint="eastAsia"/>
                <w:sz w:val="18"/>
                <w:szCs w:val="18"/>
              </w:rPr>
              <w:t>分，一般得</w:t>
            </w:r>
            <w:r>
              <w:rPr>
                <w:sz w:val="18"/>
                <w:szCs w:val="18"/>
              </w:rPr>
              <w:t>0-1</w:t>
            </w:r>
            <w:r>
              <w:rPr>
                <w:rFonts w:hint="eastAsia"/>
                <w:sz w:val="18"/>
                <w:szCs w:val="18"/>
              </w:rPr>
              <w:t>分，缺项不得分。</w:t>
            </w: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18"/>
                <w:szCs w:val="18"/>
              </w:rPr>
            </w:pPr>
            <w:r>
              <w:rPr>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8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76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项目实施方案</w:t>
            </w:r>
          </w:p>
        </w:tc>
        <w:tc>
          <w:tcPr>
            <w:tcW w:w="6810"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r>
              <w:rPr>
                <w:rFonts w:hint="eastAsia"/>
                <w:kern w:val="0"/>
                <w:sz w:val="18"/>
                <w:szCs w:val="18"/>
              </w:rPr>
              <w:t>1、根据投标单位针对本项目生产计划、质量控制、工艺控制、安排是否详细、合理、可行，在0-2分的范围内打分。</w:t>
            </w:r>
          </w:p>
          <w:p>
            <w:pPr>
              <w:rPr>
                <w:sz w:val="18"/>
                <w:szCs w:val="18"/>
              </w:rPr>
            </w:pPr>
            <w:r>
              <w:rPr>
                <w:rFonts w:hint="eastAsia"/>
                <w:kern w:val="0"/>
                <w:sz w:val="18"/>
                <w:szCs w:val="18"/>
              </w:rPr>
              <w:t>2、根据供货服务方案的可操作性、包括物品供货、验货、安装调试、验收、工作进度表、确保按时交付、正常运行的措施情况在0-2分进行综合打分。</w:t>
            </w: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762" w:type="dxa"/>
            <w:vMerge w:val="restart"/>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售后服务</w:t>
            </w:r>
          </w:p>
        </w:tc>
        <w:tc>
          <w:tcPr>
            <w:tcW w:w="6810"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1.</w:t>
            </w:r>
            <w:r>
              <w:rPr>
                <w:rFonts w:hint="eastAsia"/>
                <w:sz w:val="18"/>
                <w:szCs w:val="18"/>
              </w:rPr>
              <w:t>质保时间：在三年期的基础上，每增加</w:t>
            </w:r>
            <w:r>
              <w:rPr>
                <w:sz w:val="18"/>
                <w:szCs w:val="18"/>
              </w:rPr>
              <w:t>1</w:t>
            </w:r>
            <w:r>
              <w:rPr>
                <w:rFonts w:hint="eastAsia"/>
                <w:sz w:val="18"/>
                <w:szCs w:val="18"/>
              </w:rPr>
              <w:t>年得</w:t>
            </w:r>
            <w:r>
              <w:rPr>
                <w:sz w:val="18"/>
                <w:szCs w:val="18"/>
              </w:rPr>
              <w:t>1</w:t>
            </w:r>
            <w:r>
              <w:rPr>
                <w:rFonts w:hint="eastAsia"/>
                <w:sz w:val="18"/>
                <w:szCs w:val="18"/>
              </w:rPr>
              <w:t>分（第四年开始计分），最多得</w:t>
            </w:r>
            <w:r>
              <w:rPr>
                <w:sz w:val="18"/>
                <w:szCs w:val="18"/>
              </w:rPr>
              <w:t>2</w:t>
            </w:r>
            <w:r>
              <w:rPr>
                <w:rFonts w:hint="eastAsia"/>
                <w:sz w:val="18"/>
                <w:szCs w:val="18"/>
              </w:rPr>
              <w:t>分。</w:t>
            </w: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762" w:type="dxa"/>
            <w:vMerge w:val="continue"/>
            <w:tcBorders>
              <w:left w:val="single" w:color="auto" w:sz="4" w:space="0"/>
              <w:right w:val="single" w:color="auto" w:sz="4" w:space="0"/>
            </w:tcBorders>
            <w:vAlign w:val="center"/>
          </w:tcPr>
          <w:p>
            <w:pPr>
              <w:widowControl/>
              <w:jc w:val="left"/>
              <w:rPr>
                <w:sz w:val="18"/>
                <w:szCs w:val="18"/>
              </w:rPr>
            </w:pPr>
          </w:p>
        </w:tc>
        <w:tc>
          <w:tcPr>
            <w:tcW w:w="6810" w:type="dxa"/>
            <w:tcBorders>
              <w:top w:val="single" w:color="auto" w:sz="4" w:space="0"/>
              <w:left w:val="single" w:color="auto" w:sz="4" w:space="0"/>
              <w:bottom w:val="single" w:color="auto" w:sz="4" w:space="0"/>
              <w:right w:val="single" w:color="auto" w:sz="4" w:space="0"/>
            </w:tcBorders>
            <w:vAlign w:val="center"/>
          </w:tcPr>
          <w:p>
            <w:pPr>
              <w:rPr>
                <w:rFonts w:eastAsia="华文宋体"/>
                <w:kern w:val="0"/>
                <w:sz w:val="18"/>
                <w:szCs w:val="18"/>
              </w:rPr>
            </w:pPr>
            <w:r>
              <w:rPr>
                <w:rFonts w:hint="eastAsia"/>
                <w:kern w:val="0"/>
                <w:sz w:val="18"/>
                <w:szCs w:val="18"/>
              </w:rPr>
              <w:t>2.根据</w:t>
            </w:r>
            <w:r>
              <w:rPr>
                <w:rFonts w:hint="eastAsia"/>
                <w:kern w:val="0"/>
                <w:sz w:val="18"/>
                <w:szCs w:val="18"/>
                <w:lang w:eastAsia="zh-CN"/>
              </w:rPr>
              <w:t>供应商</w:t>
            </w:r>
            <w:r>
              <w:rPr>
                <w:rFonts w:hint="eastAsia"/>
                <w:kern w:val="0"/>
                <w:sz w:val="18"/>
                <w:szCs w:val="18"/>
              </w:rPr>
              <w:t>的售后服务执行方案、响应时间、服务范围、技术服务、解决问题时间、售后服务人员情况、质保期内外的服务承诺、货物质量保障措施等方面酌情打分，描述详细完善得</w:t>
            </w:r>
            <w:r>
              <w:rPr>
                <w:kern w:val="0"/>
                <w:sz w:val="18"/>
                <w:szCs w:val="18"/>
              </w:rPr>
              <w:t>4-5</w:t>
            </w:r>
            <w:r>
              <w:rPr>
                <w:rFonts w:hint="eastAsia"/>
                <w:kern w:val="0"/>
                <w:sz w:val="18"/>
                <w:szCs w:val="18"/>
              </w:rPr>
              <w:t>分；基本完善得</w:t>
            </w:r>
            <w:r>
              <w:rPr>
                <w:kern w:val="0"/>
                <w:sz w:val="18"/>
                <w:szCs w:val="18"/>
              </w:rPr>
              <w:t>2-3</w:t>
            </w:r>
            <w:r>
              <w:rPr>
                <w:rFonts w:hint="eastAsia"/>
                <w:kern w:val="0"/>
                <w:sz w:val="18"/>
                <w:szCs w:val="18"/>
              </w:rPr>
              <w:t>分；描述不全面及缺项得</w:t>
            </w:r>
            <w:r>
              <w:rPr>
                <w:kern w:val="0"/>
                <w:sz w:val="18"/>
                <w:szCs w:val="18"/>
              </w:rPr>
              <w:t>0-1</w:t>
            </w:r>
            <w:r>
              <w:rPr>
                <w:rFonts w:hint="eastAsia"/>
                <w:kern w:val="0"/>
                <w:sz w:val="18"/>
                <w:szCs w:val="18"/>
              </w:rPr>
              <w:t>分。</w:t>
            </w: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color w:val="000000"/>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762" w:type="dxa"/>
            <w:vMerge w:val="continue"/>
            <w:tcBorders>
              <w:left w:val="single" w:color="auto" w:sz="4" w:space="0"/>
              <w:right w:val="single" w:color="auto" w:sz="4" w:space="0"/>
            </w:tcBorders>
            <w:vAlign w:val="center"/>
          </w:tcPr>
          <w:p>
            <w:pPr>
              <w:widowControl/>
              <w:jc w:val="left"/>
              <w:rPr>
                <w:sz w:val="18"/>
                <w:szCs w:val="18"/>
              </w:rPr>
            </w:pPr>
          </w:p>
        </w:tc>
        <w:tc>
          <w:tcPr>
            <w:tcW w:w="6810" w:type="dxa"/>
            <w:tcBorders>
              <w:top w:val="single" w:color="auto" w:sz="4" w:space="0"/>
              <w:left w:val="single" w:color="auto" w:sz="4" w:space="0"/>
              <w:bottom w:val="single" w:color="auto" w:sz="4" w:space="0"/>
              <w:right w:val="single" w:color="auto" w:sz="4" w:space="0"/>
            </w:tcBorders>
            <w:vAlign w:val="center"/>
          </w:tcPr>
          <w:p>
            <w:pPr>
              <w:rPr>
                <w:sz w:val="18"/>
                <w:szCs w:val="18"/>
              </w:rPr>
            </w:pPr>
            <w:r>
              <w:rPr>
                <w:kern w:val="0"/>
                <w:sz w:val="18"/>
                <w:szCs w:val="18"/>
              </w:rPr>
              <w:t>3.</w:t>
            </w:r>
            <w:r>
              <w:rPr>
                <w:rFonts w:hint="eastAsia"/>
                <w:kern w:val="0"/>
                <w:sz w:val="18"/>
                <w:szCs w:val="18"/>
              </w:rPr>
              <w:t>备品备件提供列出中标后所提供的各货物的备品、备件和维修工具，完全满足得</w:t>
            </w:r>
            <w:r>
              <w:rPr>
                <w:kern w:val="0"/>
                <w:sz w:val="18"/>
                <w:szCs w:val="18"/>
              </w:rPr>
              <w:t>2-3</w:t>
            </w:r>
            <w:r>
              <w:rPr>
                <w:rFonts w:hint="eastAsia"/>
                <w:kern w:val="0"/>
                <w:sz w:val="18"/>
                <w:szCs w:val="18"/>
              </w:rPr>
              <w:t>分；基本满足得</w:t>
            </w:r>
            <w:r>
              <w:rPr>
                <w:kern w:val="0"/>
                <w:sz w:val="18"/>
                <w:szCs w:val="18"/>
              </w:rPr>
              <w:t>1-2</w:t>
            </w:r>
            <w:r>
              <w:rPr>
                <w:rFonts w:hint="eastAsia"/>
                <w:kern w:val="0"/>
                <w:sz w:val="18"/>
                <w:szCs w:val="18"/>
              </w:rPr>
              <w:t>分；</w:t>
            </w:r>
            <w:r>
              <w:rPr>
                <w:rFonts w:hint="eastAsia"/>
                <w:color w:val="000000"/>
                <w:kern w:val="0"/>
                <w:sz w:val="18"/>
                <w:szCs w:val="18"/>
              </w:rPr>
              <w:t>不全面、不合理及缺项按</w:t>
            </w:r>
            <w:r>
              <w:rPr>
                <w:color w:val="000000"/>
                <w:kern w:val="0"/>
                <w:sz w:val="18"/>
                <w:szCs w:val="18"/>
              </w:rPr>
              <w:t>0</w:t>
            </w:r>
            <w:r>
              <w:rPr>
                <w:rFonts w:hint="eastAsia"/>
                <w:color w:val="000000"/>
                <w:kern w:val="0"/>
                <w:sz w:val="18"/>
                <w:szCs w:val="18"/>
              </w:rPr>
              <w:t>分计。</w:t>
            </w: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762" w:type="dxa"/>
            <w:vMerge w:val="continue"/>
            <w:tcBorders>
              <w:left w:val="single" w:color="auto" w:sz="4" w:space="0"/>
              <w:bottom w:val="single" w:color="auto" w:sz="4" w:space="0"/>
              <w:right w:val="single" w:color="auto" w:sz="4" w:space="0"/>
            </w:tcBorders>
            <w:vAlign w:val="center"/>
          </w:tcPr>
          <w:p>
            <w:pPr>
              <w:widowControl/>
              <w:jc w:val="left"/>
              <w:rPr>
                <w:sz w:val="18"/>
                <w:szCs w:val="18"/>
              </w:rPr>
            </w:pPr>
          </w:p>
        </w:tc>
        <w:tc>
          <w:tcPr>
            <w:tcW w:w="6810"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r>
              <w:rPr>
                <w:rFonts w:hint="eastAsia"/>
                <w:color w:val="000000"/>
                <w:kern w:val="0"/>
                <w:sz w:val="18"/>
                <w:szCs w:val="18"/>
              </w:rPr>
              <w:t>4、评委根据</w:t>
            </w:r>
            <w:r>
              <w:rPr>
                <w:rFonts w:hint="eastAsia"/>
                <w:color w:val="000000"/>
                <w:kern w:val="0"/>
                <w:sz w:val="18"/>
                <w:szCs w:val="18"/>
                <w:lang w:val="en-US" w:eastAsia="zh-CN"/>
              </w:rPr>
              <w:t>供应商</w:t>
            </w:r>
            <w:r>
              <w:rPr>
                <w:rFonts w:hint="eastAsia"/>
                <w:color w:val="000000"/>
                <w:kern w:val="0"/>
                <w:sz w:val="18"/>
                <w:szCs w:val="18"/>
              </w:rPr>
              <w:t>提供的实质性服务承诺以及其他实质性优惠条件在0-2分范围内进行综合打分。</w:t>
            </w: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76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文件编制评价</w:t>
            </w:r>
          </w:p>
        </w:tc>
        <w:tc>
          <w:tcPr>
            <w:tcW w:w="6810"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r>
              <w:rPr>
                <w:rFonts w:hint="eastAsia"/>
                <w:sz w:val="18"/>
                <w:szCs w:val="18"/>
              </w:rPr>
              <w:t>供应商编制的投标文件内容完整、制作清晰可辨、目录排版合理、索引内容方便等综合评价（</w:t>
            </w:r>
            <w:r>
              <w:rPr>
                <w:sz w:val="18"/>
                <w:szCs w:val="18"/>
              </w:rPr>
              <w:t>0-2</w:t>
            </w:r>
            <w:r>
              <w:rPr>
                <w:rFonts w:hint="eastAsia"/>
                <w:sz w:val="18"/>
                <w:szCs w:val="18"/>
              </w:rPr>
              <w:t>分）。</w:t>
            </w: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870" w:type="dxa"/>
            <w:vMerge w:val="restar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技术部分（</w:t>
            </w:r>
            <w:r>
              <w:rPr>
                <w:sz w:val="18"/>
                <w:szCs w:val="18"/>
              </w:rPr>
              <w:t>30</w:t>
            </w:r>
            <w:r>
              <w:rPr>
                <w:rFonts w:hint="eastAsia"/>
                <w:sz w:val="18"/>
                <w:szCs w:val="18"/>
              </w:rPr>
              <w:t>分）</w:t>
            </w:r>
          </w:p>
        </w:tc>
        <w:tc>
          <w:tcPr>
            <w:tcW w:w="76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color w:val="000000"/>
                <w:kern w:val="0"/>
                <w:sz w:val="18"/>
                <w:szCs w:val="18"/>
              </w:rPr>
              <w:t>技术指标响应程度</w:t>
            </w:r>
          </w:p>
        </w:tc>
        <w:tc>
          <w:tcPr>
            <w:tcW w:w="6810" w:type="dxa"/>
            <w:tcBorders>
              <w:top w:val="single" w:color="auto" w:sz="4" w:space="0"/>
              <w:left w:val="single" w:color="auto" w:sz="4" w:space="0"/>
              <w:bottom w:val="single" w:color="auto" w:sz="4" w:space="0"/>
              <w:right w:val="single" w:color="auto" w:sz="4" w:space="0"/>
            </w:tcBorders>
            <w:vAlign w:val="center"/>
          </w:tcPr>
          <w:p>
            <w:pPr>
              <w:widowControl/>
              <w:rPr>
                <w:sz w:val="18"/>
                <w:szCs w:val="18"/>
              </w:rPr>
            </w:pPr>
            <w:r>
              <w:rPr>
                <w:rFonts w:hint="eastAsia"/>
                <w:sz w:val="18"/>
                <w:szCs w:val="18"/>
              </w:rPr>
              <w:t>评标委员会根据投标文件和相关证明材料对招标文件的响应情况，对照判断所投设备是否满足招标文件的要求；技术参数及功能要求为关键技术指标，共</w:t>
            </w:r>
            <w:r>
              <w:rPr>
                <w:sz w:val="18"/>
                <w:szCs w:val="18"/>
              </w:rPr>
              <w:t>17</w:t>
            </w:r>
            <w:r>
              <w:rPr>
                <w:rFonts w:hint="eastAsia"/>
                <w:sz w:val="18"/>
                <w:szCs w:val="18"/>
              </w:rPr>
              <w:t>分，每有一项不满足的扣1分，超过</w:t>
            </w:r>
            <w:r>
              <w:rPr>
                <w:sz w:val="18"/>
                <w:szCs w:val="18"/>
              </w:rPr>
              <w:t>17</w:t>
            </w:r>
            <w:r>
              <w:rPr>
                <w:rFonts w:hint="eastAsia"/>
                <w:sz w:val="18"/>
                <w:szCs w:val="18"/>
              </w:rPr>
              <w:t>条不满足视为响应文件有采购人不能接受的条件，响应文件无效。</w:t>
            </w: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70"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762"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18"/>
                <w:szCs w:val="18"/>
              </w:rPr>
            </w:pPr>
            <w:r>
              <w:rPr>
                <w:rFonts w:hint="eastAsia"/>
                <w:color w:val="000000"/>
                <w:kern w:val="0"/>
                <w:sz w:val="18"/>
                <w:szCs w:val="18"/>
              </w:rPr>
              <w:t>成品检验报告</w:t>
            </w:r>
          </w:p>
        </w:tc>
        <w:tc>
          <w:tcPr>
            <w:tcW w:w="6810" w:type="dxa"/>
            <w:tcBorders>
              <w:top w:val="single" w:color="auto" w:sz="4" w:space="0"/>
              <w:left w:val="single" w:color="auto" w:sz="4" w:space="0"/>
              <w:bottom w:val="single" w:color="auto" w:sz="4" w:space="0"/>
              <w:right w:val="single" w:color="auto" w:sz="4" w:space="0"/>
            </w:tcBorders>
            <w:vAlign w:val="center"/>
          </w:tcPr>
          <w:p>
            <w:pPr>
              <w:widowControl/>
              <w:rPr>
                <w:sz w:val="18"/>
                <w:szCs w:val="18"/>
              </w:rPr>
            </w:pPr>
            <w:r>
              <w:rPr>
                <w:rFonts w:hint="eastAsia"/>
                <w:sz w:val="18"/>
                <w:szCs w:val="18"/>
              </w:rPr>
              <w:t>供应商提供生产厂家 2019 年以来获得的第三方出具的与本次投标同类型货物的成品检验报告，异形管材组合床得</w:t>
            </w:r>
            <w:r>
              <w:rPr>
                <w:sz w:val="18"/>
                <w:szCs w:val="18"/>
              </w:rPr>
              <w:t>3</w:t>
            </w:r>
            <w:r>
              <w:rPr>
                <w:rFonts w:hint="eastAsia"/>
                <w:sz w:val="18"/>
                <w:szCs w:val="18"/>
              </w:rPr>
              <w:t>分，储物柜、桌子每提供一项得 1 分，本项最高得</w:t>
            </w:r>
            <w:r>
              <w:rPr>
                <w:sz w:val="18"/>
                <w:szCs w:val="18"/>
              </w:rPr>
              <w:t>5</w:t>
            </w:r>
            <w:r>
              <w:rPr>
                <w:rFonts w:hint="eastAsia"/>
                <w:sz w:val="18"/>
                <w:szCs w:val="18"/>
              </w:rPr>
              <w:t>分。</w:t>
            </w: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870"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762"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18"/>
                <w:szCs w:val="18"/>
              </w:rPr>
            </w:pPr>
            <w:r>
              <w:rPr>
                <w:rFonts w:hint="eastAsia"/>
                <w:color w:val="000000"/>
                <w:kern w:val="0"/>
                <w:sz w:val="18"/>
                <w:szCs w:val="18"/>
              </w:rPr>
              <w:t>技术优势</w:t>
            </w:r>
          </w:p>
        </w:tc>
        <w:tc>
          <w:tcPr>
            <w:tcW w:w="6810" w:type="dxa"/>
            <w:tcBorders>
              <w:top w:val="single" w:color="auto" w:sz="4" w:space="0"/>
              <w:left w:val="single" w:color="auto" w:sz="4" w:space="0"/>
              <w:bottom w:val="single" w:color="auto" w:sz="4" w:space="0"/>
              <w:right w:val="single" w:color="auto" w:sz="4" w:space="0"/>
            </w:tcBorders>
            <w:vAlign w:val="center"/>
          </w:tcPr>
          <w:p>
            <w:pPr>
              <w:widowControl/>
              <w:rPr>
                <w:sz w:val="18"/>
                <w:szCs w:val="18"/>
              </w:rPr>
            </w:pPr>
            <w:r>
              <w:rPr>
                <w:rFonts w:hint="eastAsia"/>
                <w:sz w:val="18"/>
                <w:szCs w:val="18"/>
              </w:rPr>
              <w:t>1.优于磋商文件中规定的技术指标的（需有技术证明文件加以证明，否则不予认可），每有一项加 1 分，最多加2分；</w:t>
            </w:r>
          </w:p>
          <w:p>
            <w:pPr>
              <w:widowControl/>
              <w:rPr>
                <w:sz w:val="18"/>
                <w:szCs w:val="18"/>
              </w:rPr>
            </w:pPr>
            <w:r>
              <w:rPr>
                <w:rFonts w:hint="eastAsia"/>
                <w:sz w:val="18"/>
                <w:szCs w:val="18"/>
              </w:rPr>
              <w:t>2.提供的产品在满足功能、性能要求的基础上，设计或材料或技术使用新工艺、技术专利，同时提供说明和相关证明材料的，每有一项加 1 分，最多加 2 分。</w:t>
            </w: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870"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762"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18"/>
                <w:szCs w:val="18"/>
              </w:rPr>
            </w:pPr>
            <w:r>
              <w:rPr>
                <w:rFonts w:hint="eastAsia"/>
                <w:color w:val="000000"/>
                <w:kern w:val="0"/>
                <w:sz w:val="18"/>
                <w:szCs w:val="18"/>
              </w:rPr>
              <w:t>用材质量</w:t>
            </w:r>
          </w:p>
        </w:tc>
        <w:tc>
          <w:tcPr>
            <w:tcW w:w="6810" w:type="dxa"/>
            <w:tcBorders>
              <w:top w:val="single" w:color="auto" w:sz="4" w:space="0"/>
              <w:left w:val="single" w:color="auto" w:sz="4" w:space="0"/>
              <w:bottom w:val="single" w:color="auto" w:sz="4" w:space="0"/>
              <w:right w:val="single" w:color="auto" w:sz="4" w:space="0"/>
            </w:tcBorders>
            <w:vAlign w:val="center"/>
          </w:tcPr>
          <w:p>
            <w:pPr>
              <w:widowControl/>
              <w:rPr>
                <w:sz w:val="18"/>
                <w:szCs w:val="18"/>
              </w:rPr>
            </w:pPr>
            <w:r>
              <w:rPr>
                <w:rFonts w:hint="eastAsia"/>
                <w:sz w:val="18"/>
                <w:szCs w:val="18"/>
              </w:rPr>
              <w:t>用于本次投标产品的原材料要求：钢管、钢板、需提供省级以上（含省级）检验机构官网可查询的检验报告；塑料部件需提供生产厂家的检验报告；塑粉必须符合国家标准</w:t>
            </w:r>
            <w:bookmarkStart w:id="76" w:name="_GoBack"/>
            <w:bookmarkEnd w:id="76"/>
            <w:r>
              <w:rPr>
                <w:rFonts w:hint="eastAsia"/>
                <w:sz w:val="18"/>
                <w:szCs w:val="18"/>
              </w:rPr>
              <w:t>， 并提供塑粉生产厂家带CMA标志的检验报告；以上钢管检验报告得</w:t>
            </w:r>
            <w:r>
              <w:rPr>
                <w:sz w:val="18"/>
                <w:szCs w:val="18"/>
              </w:rPr>
              <w:t>1</w:t>
            </w:r>
            <w:r>
              <w:rPr>
                <w:rFonts w:hint="eastAsia"/>
                <w:sz w:val="18"/>
                <w:szCs w:val="18"/>
              </w:rPr>
              <w:t>分、钢板检测报告得</w:t>
            </w:r>
            <w:r>
              <w:rPr>
                <w:sz w:val="18"/>
                <w:szCs w:val="18"/>
              </w:rPr>
              <w:t>1分</w:t>
            </w:r>
            <w:r>
              <w:rPr>
                <w:rFonts w:hint="eastAsia"/>
                <w:sz w:val="18"/>
                <w:szCs w:val="18"/>
              </w:rPr>
              <w:t>、塑料部件检测报告</w:t>
            </w:r>
            <w:r>
              <w:rPr>
                <w:sz w:val="18"/>
                <w:szCs w:val="18"/>
              </w:rPr>
              <w:t>1</w:t>
            </w:r>
            <w:r>
              <w:rPr>
                <w:rFonts w:hint="eastAsia"/>
                <w:sz w:val="18"/>
                <w:szCs w:val="18"/>
              </w:rPr>
              <w:t>分、塑粉检测报告得</w:t>
            </w:r>
            <w:r>
              <w:rPr>
                <w:sz w:val="18"/>
                <w:szCs w:val="18"/>
              </w:rPr>
              <w:t>1</w:t>
            </w:r>
            <w:r>
              <w:rPr>
                <w:rFonts w:hint="eastAsia"/>
                <w:sz w:val="18"/>
                <w:szCs w:val="18"/>
              </w:rPr>
              <w:t>分，共</w:t>
            </w:r>
            <w:r>
              <w:rPr>
                <w:sz w:val="18"/>
                <w:szCs w:val="18"/>
              </w:rPr>
              <w:t>4</w:t>
            </w:r>
            <w:r>
              <w:rPr>
                <w:rFonts w:hint="eastAsia"/>
                <w:sz w:val="18"/>
                <w:szCs w:val="18"/>
              </w:rPr>
              <w:t>分</w:t>
            </w: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4</w:t>
            </w:r>
          </w:p>
        </w:tc>
      </w:tr>
    </w:tbl>
    <w:p>
      <w:pPr>
        <w:pStyle w:val="21"/>
        <w:ind w:firstLine="0" w:firstLineChars="0"/>
        <w:sectPr>
          <w:headerReference r:id="rId3" w:type="default"/>
          <w:footerReference r:id="rId4" w:type="default"/>
          <w:pgSz w:w="11906" w:h="16838"/>
          <w:pgMar w:top="1247" w:right="1418" w:bottom="1247" w:left="1701" w:header="851" w:footer="992" w:gutter="0"/>
          <w:cols w:space="720" w:num="1"/>
          <w:titlePg/>
          <w:docGrid w:linePitch="312" w:charSpace="0"/>
        </w:sectPr>
      </w:pPr>
    </w:p>
    <w:p>
      <w:pPr>
        <w:pStyle w:val="3"/>
        <w:spacing w:line="360" w:lineRule="auto"/>
        <w:ind w:left="0" w:firstLine="420"/>
        <w:rPr>
          <w:rFonts w:ascii="Times New Roman"/>
          <w:b/>
          <w:sz w:val="44"/>
          <w:szCs w:val="44"/>
        </w:rPr>
      </w:pPr>
      <w:bookmarkStart w:id="20" w:name="_Toc44604848"/>
      <w:r>
        <w:rPr>
          <w:rFonts w:ascii="Times New Roman"/>
          <w:b/>
          <w:sz w:val="44"/>
          <w:szCs w:val="44"/>
        </w:rPr>
        <w:t>第三部分竞争性磋商须知</w:t>
      </w:r>
      <w:bookmarkEnd w:id="6"/>
      <w:bookmarkEnd w:id="7"/>
      <w:bookmarkEnd w:id="12"/>
      <w:bookmarkEnd w:id="20"/>
    </w:p>
    <w:p>
      <w:pPr>
        <w:pStyle w:val="4"/>
        <w:numPr>
          <w:ilvl w:val="0"/>
          <w:numId w:val="1"/>
        </w:numPr>
        <w:tabs>
          <w:tab w:val="left" w:pos="405"/>
          <w:tab w:val="left" w:pos="721"/>
        </w:tabs>
        <w:spacing w:before="0" w:after="0" w:line="560" w:lineRule="exact"/>
        <w:rPr>
          <w:rFonts w:ascii="Times New Roman" w:hAnsi="Times New Roman" w:eastAsia="宋体"/>
          <w:color w:val="000000"/>
          <w:sz w:val="32"/>
          <w:szCs w:val="32"/>
        </w:rPr>
      </w:pPr>
      <w:bookmarkStart w:id="21" w:name="_Hlt109551004"/>
      <w:bookmarkEnd w:id="21"/>
      <w:bookmarkStart w:id="22" w:name="_Hlt109555469"/>
      <w:bookmarkEnd w:id="22"/>
      <w:bookmarkStart w:id="23" w:name="_Hlt109551148"/>
      <w:bookmarkEnd w:id="23"/>
      <w:bookmarkStart w:id="24" w:name="_Toc437077310"/>
      <w:bookmarkStart w:id="25" w:name="_Toc497683340"/>
      <w:bookmarkStart w:id="26" w:name="_Toc109550772"/>
      <w:bookmarkStart w:id="27" w:name="_Toc90713331"/>
      <w:bookmarkStart w:id="28" w:name="_Toc428523661"/>
      <w:bookmarkStart w:id="29" w:name="_Toc90712512"/>
      <w:r>
        <w:rPr>
          <w:rFonts w:ascii="Times New Roman" w:hAnsi="Times New Roman" w:eastAsia="宋体"/>
          <w:color w:val="000000"/>
          <w:sz w:val="32"/>
          <w:szCs w:val="32"/>
        </w:rPr>
        <w:t>总则</w:t>
      </w:r>
      <w:bookmarkEnd w:id="24"/>
      <w:bookmarkEnd w:id="25"/>
      <w:bookmarkEnd w:id="26"/>
      <w:bookmarkEnd w:id="27"/>
      <w:bookmarkEnd w:id="28"/>
      <w:bookmarkEnd w:id="29"/>
    </w:p>
    <w:p>
      <w:pPr>
        <w:numPr>
          <w:ilvl w:val="0"/>
          <w:numId w:val="2"/>
        </w:numPr>
        <w:tabs>
          <w:tab w:val="left" w:pos="360"/>
        </w:tabs>
        <w:spacing w:line="560" w:lineRule="exact"/>
        <w:outlineLvl w:val="2"/>
        <w:rPr>
          <w:color w:val="000000"/>
          <w:sz w:val="24"/>
          <w:szCs w:val="24"/>
        </w:rPr>
      </w:pPr>
      <w:r>
        <w:rPr>
          <w:b/>
          <w:color w:val="000000"/>
          <w:sz w:val="24"/>
        </w:rPr>
        <w:t>适用范围</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本竞争性磋商文件仅适用于本次竞争性磋商采购所述的货物及伴随服务。</w:t>
      </w:r>
    </w:p>
    <w:p>
      <w:pPr>
        <w:numPr>
          <w:ilvl w:val="0"/>
          <w:numId w:val="2"/>
        </w:numPr>
        <w:tabs>
          <w:tab w:val="left" w:pos="360"/>
        </w:tabs>
        <w:spacing w:line="560" w:lineRule="exact"/>
        <w:outlineLvl w:val="2"/>
        <w:rPr>
          <w:b/>
          <w:color w:val="000000"/>
          <w:sz w:val="24"/>
        </w:rPr>
      </w:pPr>
      <w:r>
        <w:rPr>
          <w:b/>
          <w:color w:val="000000"/>
          <w:sz w:val="24"/>
        </w:rPr>
        <w:t>定义</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政府采购监督管理部门：河南省财政厅政府采购监督管理处。</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采购人：“竞争性磋商项目资料表”中所述的、依法进行政府采购的国家机关、事业单位、团体组织。</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集中采购机构：是指设区的市、自治州以上人民政府根据本级政府采购项目组织集中采购的需要设立的承担集中采购任务的专门机构。我省系指河南省公共资源交易中心（以下简称“交易中心”）。</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供应商：指已按规定获取了该项目的竞争性磋商文件并参加磋商活动的供应商。</w:t>
      </w:r>
    </w:p>
    <w:p>
      <w:pPr>
        <w:numPr>
          <w:ilvl w:val="1"/>
          <w:numId w:val="2"/>
        </w:numPr>
        <w:tabs>
          <w:tab w:val="left" w:pos="720"/>
        </w:tabs>
        <w:spacing w:line="560" w:lineRule="exact"/>
        <w:ind w:left="720" w:hanging="720" w:hangingChars="300"/>
        <w:rPr>
          <w:color w:val="000000"/>
          <w:sz w:val="24"/>
          <w:szCs w:val="24"/>
        </w:rPr>
      </w:pPr>
      <w:bookmarkStart w:id="30" w:name="_Hlk44581417"/>
      <w:r>
        <w:rPr>
          <w:color w:val="000000"/>
          <w:sz w:val="24"/>
          <w:szCs w:val="24"/>
        </w:rPr>
        <w:t>货物：指除了咨询服务以外的所有的物品、设备、装置和/或包括附件、备品备件、图纸、技术文件、用于运输和安装的包装、培训、维修和其他类似服务的供应。</w:t>
      </w:r>
      <w:bookmarkEnd w:id="30"/>
    </w:p>
    <w:p>
      <w:pPr>
        <w:numPr>
          <w:ilvl w:val="1"/>
          <w:numId w:val="2"/>
        </w:numPr>
        <w:tabs>
          <w:tab w:val="left" w:pos="720"/>
        </w:tabs>
        <w:spacing w:line="560" w:lineRule="exact"/>
        <w:ind w:left="720" w:hanging="720" w:hangingChars="300"/>
        <w:rPr>
          <w:color w:val="000000"/>
          <w:sz w:val="24"/>
          <w:szCs w:val="24"/>
        </w:rPr>
      </w:pPr>
      <w:r>
        <w:rPr>
          <w:color w:val="000000"/>
          <w:sz w:val="24"/>
          <w:szCs w:val="24"/>
        </w:rPr>
        <w:t>采购方式：竞争性磋商。</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供应商资格要求：见“竞争性磋商项目资料表”。</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合格供应商：通过初步评审的供应商。</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成交供应商：接到并接受成交通知书，最终被授予合同的供应商。</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竞争性磋商响应文件：指供应商根据竞争性磋商文件递交的所有文件。</w:t>
      </w:r>
    </w:p>
    <w:p>
      <w:pPr>
        <w:numPr>
          <w:ilvl w:val="0"/>
          <w:numId w:val="2"/>
        </w:numPr>
        <w:tabs>
          <w:tab w:val="left" w:pos="360"/>
        </w:tabs>
        <w:spacing w:line="560" w:lineRule="exact"/>
        <w:outlineLvl w:val="2"/>
        <w:rPr>
          <w:b/>
          <w:color w:val="000000"/>
          <w:sz w:val="24"/>
        </w:rPr>
      </w:pPr>
      <w:r>
        <w:rPr>
          <w:b/>
          <w:color w:val="000000"/>
          <w:sz w:val="24"/>
        </w:rPr>
        <w:t>联合体响应</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除非磋商文件明确规定不接受联合体参加外，两个或两个以上供应商可以组成一个联合体，以一个供应商的身份共同参加政府采购活动。</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以联合体形式进行政府采购活动的，参加联合体的供应商均应当具备《政府采购法》第二十二条规定的条件，并应当向采购人提交联合协议，载明联合体各方承担的工作和义务。</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根据采购项目的特殊要求规定供应商特定条件的，联合体各方中至少应当有一方符合。</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联合体中有同类资质的供应商按照联合体分工承担相同工作的，应当按照资质等级较低的供应商确定资质等级。</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以联合体形式参加政府采购活动的，联合体各方不得再单独参加或者与其他供应商另外组成联合体参加同一合同项下的政府采购活动。</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以联合体形式参加政府采购活动的，可以由联合体中的一方或者多方共同提交磋商承诺函，以一方名义提交磋商承诺函的，对联合体各方均具有约束力。</w:t>
      </w:r>
    </w:p>
    <w:p>
      <w:pPr>
        <w:numPr>
          <w:ilvl w:val="0"/>
          <w:numId w:val="2"/>
        </w:numPr>
        <w:tabs>
          <w:tab w:val="left" w:pos="360"/>
        </w:tabs>
        <w:spacing w:line="560" w:lineRule="exact"/>
        <w:outlineLvl w:val="2"/>
        <w:rPr>
          <w:b/>
          <w:color w:val="000000"/>
          <w:sz w:val="24"/>
        </w:rPr>
      </w:pPr>
      <w:bookmarkStart w:id="31" w:name="_Hlk44583146"/>
      <w:r>
        <w:rPr>
          <w:b/>
          <w:color w:val="000000"/>
          <w:sz w:val="24"/>
        </w:rPr>
        <w:t>竞争性磋商响应相关费用</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不论磋商的结果如何，供应商须自行承担所有与参加磋商有关的费用。</w:t>
      </w:r>
    </w:p>
    <w:p>
      <w:pPr>
        <w:numPr>
          <w:ilvl w:val="0"/>
          <w:numId w:val="2"/>
        </w:numPr>
        <w:tabs>
          <w:tab w:val="left" w:pos="360"/>
        </w:tabs>
        <w:spacing w:line="560" w:lineRule="exact"/>
        <w:outlineLvl w:val="2"/>
        <w:rPr>
          <w:b/>
          <w:color w:val="000000"/>
          <w:sz w:val="24"/>
        </w:rPr>
      </w:pPr>
      <w:r>
        <w:rPr>
          <w:b/>
          <w:color w:val="000000"/>
          <w:sz w:val="24"/>
        </w:rPr>
        <w:t>踏勘现场</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“竞争性磋商项目资料表”规定组织踏勘现场的，采购人按“供应商须知前附表”规定的时间、地点组织供应商踏勘项目现场。</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供应商踏勘现场发生的费用自理。</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除采购人的原因外，供应商自行负责在踏勘现场中所发生的人员伤亡和财产损失。</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采购人在踏勘现场中介绍的项目现场和相关的周边环境情况，供供应商在编制磋商响应文件时参考，采购人不对供应商据此作出的判断和决策负责。</w:t>
      </w:r>
    </w:p>
    <w:p>
      <w:pPr>
        <w:numPr>
          <w:ilvl w:val="0"/>
          <w:numId w:val="2"/>
        </w:numPr>
        <w:tabs>
          <w:tab w:val="left" w:pos="360"/>
        </w:tabs>
        <w:spacing w:line="560" w:lineRule="exact"/>
        <w:outlineLvl w:val="2"/>
        <w:rPr>
          <w:b/>
          <w:color w:val="000000"/>
          <w:sz w:val="24"/>
        </w:rPr>
      </w:pPr>
      <w:r>
        <w:rPr>
          <w:b/>
          <w:color w:val="000000"/>
          <w:sz w:val="24"/>
        </w:rPr>
        <w:t>语言文字</w:t>
      </w:r>
    </w:p>
    <w:p>
      <w:pPr>
        <w:numPr>
          <w:ilvl w:val="1"/>
          <w:numId w:val="2"/>
        </w:numPr>
        <w:tabs>
          <w:tab w:val="left" w:pos="720"/>
        </w:tabs>
        <w:spacing w:line="560" w:lineRule="exact"/>
        <w:rPr>
          <w:color w:val="000000"/>
          <w:sz w:val="24"/>
          <w:szCs w:val="24"/>
        </w:rPr>
      </w:pPr>
      <w:r>
        <w:rPr>
          <w:color w:val="000000"/>
          <w:sz w:val="24"/>
          <w:szCs w:val="24"/>
        </w:rPr>
        <w:t>除专用术语外，与磋商有关的语言均使用中文。必要时专用术语应附有中文注释。</w:t>
      </w:r>
    </w:p>
    <w:p>
      <w:pPr>
        <w:numPr>
          <w:ilvl w:val="0"/>
          <w:numId w:val="2"/>
        </w:numPr>
        <w:tabs>
          <w:tab w:val="left" w:pos="360"/>
        </w:tabs>
        <w:spacing w:line="560" w:lineRule="exact"/>
        <w:outlineLvl w:val="2"/>
        <w:rPr>
          <w:b/>
          <w:color w:val="000000"/>
          <w:sz w:val="24"/>
        </w:rPr>
      </w:pPr>
      <w:r>
        <w:rPr>
          <w:b/>
          <w:color w:val="000000"/>
          <w:sz w:val="24"/>
        </w:rPr>
        <w:t>计量单位</w:t>
      </w:r>
    </w:p>
    <w:p>
      <w:pPr>
        <w:numPr>
          <w:ilvl w:val="1"/>
          <w:numId w:val="2"/>
        </w:numPr>
        <w:tabs>
          <w:tab w:val="left" w:pos="720"/>
        </w:tabs>
        <w:spacing w:line="560" w:lineRule="exact"/>
        <w:rPr>
          <w:color w:val="000000"/>
          <w:sz w:val="24"/>
          <w:szCs w:val="24"/>
        </w:rPr>
      </w:pPr>
      <w:r>
        <w:rPr>
          <w:color w:val="000000"/>
          <w:sz w:val="24"/>
          <w:szCs w:val="24"/>
        </w:rPr>
        <w:t>所有计量均采用中华人民共和国法定计量单位。</w:t>
      </w:r>
    </w:p>
    <w:p>
      <w:pPr>
        <w:numPr>
          <w:ilvl w:val="0"/>
          <w:numId w:val="2"/>
        </w:numPr>
        <w:tabs>
          <w:tab w:val="left" w:pos="360"/>
        </w:tabs>
        <w:spacing w:line="560" w:lineRule="exact"/>
        <w:outlineLvl w:val="2"/>
        <w:rPr>
          <w:b/>
          <w:color w:val="000000"/>
          <w:sz w:val="24"/>
        </w:rPr>
      </w:pPr>
      <w:bookmarkStart w:id="32" w:name="_Hlk44581626"/>
      <w:r>
        <w:rPr>
          <w:b/>
          <w:color w:val="000000"/>
          <w:sz w:val="24"/>
        </w:rPr>
        <w:t>知识产权</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所有涉及知识产权的成果，供应商必须确保采购人拥有其合法的、不受限制的无偿使用权，并免受任何侵权诉讼或索偿，否则，由此产生的一切经济损失和法律责任由供应商承担。</w:t>
      </w:r>
    </w:p>
    <w:bookmarkEnd w:id="31"/>
    <w:bookmarkEnd w:id="32"/>
    <w:p>
      <w:pPr>
        <w:numPr>
          <w:ilvl w:val="0"/>
          <w:numId w:val="2"/>
        </w:numPr>
        <w:tabs>
          <w:tab w:val="left" w:pos="360"/>
        </w:tabs>
        <w:spacing w:line="560" w:lineRule="exact"/>
        <w:outlineLvl w:val="2"/>
        <w:rPr>
          <w:b/>
          <w:color w:val="000000"/>
          <w:sz w:val="24"/>
        </w:rPr>
      </w:pPr>
      <w:r>
        <w:rPr>
          <w:b/>
          <w:color w:val="000000"/>
          <w:sz w:val="24"/>
        </w:rPr>
        <w:t>采购信息的发布</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与本次采购活动相关的信息，将在河南省政府采购指定网站上及时发布，包括《中国政府采购网》</w:t>
      </w:r>
      <w:r>
        <w:fldChar w:fldCharType="begin"/>
      </w:r>
      <w:r>
        <w:instrText xml:space="preserve"> HYPERLINK "http://www.ccgp-henan.gov.cn)和河南省政府采购网河南省公共资源交易网" </w:instrText>
      </w:r>
      <w:r>
        <w:fldChar w:fldCharType="separate"/>
      </w:r>
      <w:r>
        <w:rPr>
          <w:color w:val="000000"/>
          <w:sz w:val="24"/>
          <w:szCs w:val="24"/>
        </w:rPr>
        <w:t>、《河南省政府采购网》与《河南省公共资源交易网</w:t>
      </w:r>
      <w:r>
        <w:rPr>
          <w:color w:val="000000"/>
          <w:sz w:val="24"/>
          <w:szCs w:val="24"/>
        </w:rPr>
        <w:fldChar w:fldCharType="end"/>
      </w:r>
      <w:r>
        <w:rPr>
          <w:color w:val="000000"/>
          <w:sz w:val="24"/>
          <w:szCs w:val="24"/>
        </w:rPr>
        <w:t>》。</w:t>
      </w:r>
    </w:p>
    <w:p>
      <w:pPr>
        <w:tabs>
          <w:tab w:val="left" w:pos="1904"/>
        </w:tabs>
        <w:spacing w:line="560" w:lineRule="exact"/>
        <w:rPr>
          <w:color w:val="000000"/>
          <w:sz w:val="24"/>
        </w:rPr>
      </w:pPr>
    </w:p>
    <w:p>
      <w:pPr>
        <w:pStyle w:val="4"/>
        <w:numPr>
          <w:ilvl w:val="0"/>
          <w:numId w:val="1"/>
        </w:numPr>
        <w:tabs>
          <w:tab w:val="left" w:pos="405"/>
          <w:tab w:val="left" w:pos="721"/>
        </w:tabs>
        <w:spacing w:before="0" w:after="0" w:line="560" w:lineRule="exact"/>
        <w:rPr>
          <w:rFonts w:ascii="Times New Roman" w:hAnsi="Times New Roman" w:eastAsia="宋体"/>
          <w:color w:val="000000"/>
          <w:sz w:val="32"/>
          <w:szCs w:val="32"/>
        </w:rPr>
      </w:pPr>
      <w:r>
        <w:rPr>
          <w:rFonts w:ascii="Times New Roman" w:hAnsi="Times New Roman" w:eastAsia="宋体"/>
          <w:color w:val="000000"/>
          <w:sz w:val="32"/>
          <w:szCs w:val="32"/>
        </w:rPr>
        <w:t>竞争性磋商文件</w:t>
      </w:r>
    </w:p>
    <w:p>
      <w:pPr>
        <w:numPr>
          <w:ilvl w:val="0"/>
          <w:numId w:val="2"/>
        </w:numPr>
        <w:tabs>
          <w:tab w:val="left" w:pos="360"/>
        </w:tabs>
        <w:spacing w:line="560" w:lineRule="exact"/>
        <w:rPr>
          <w:b/>
          <w:color w:val="000000"/>
          <w:sz w:val="24"/>
        </w:rPr>
      </w:pPr>
      <w:r>
        <w:rPr>
          <w:b/>
          <w:color w:val="000000"/>
          <w:sz w:val="24"/>
        </w:rPr>
        <w:t>竞争性磋商文件的构成</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竞争性磋商文件由下述部分组成：</w:t>
      </w:r>
    </w:p>
    <w:p>
      <w:pPr>
        <w:pStyle w:val="13"/>
        <w:tabs>
          <w:tab w:val="left" w:pos="720"/>
          <w:tab w:val="left" w:pos="1080"/>
        </w:tabs>
        <w:spacing w:line="560" w:lineRule="exact"/>
        <w:ind w:left="720" w:firstLine="0"/>
        <w:rPr>
          <w:rFonts w:eastAsia="宋体"/>
          <w:color w:val="000000"/>
          <w:sz w:val="24"/>
          <w:szCs w:val="24"/>
        </w:rPr>
      </w:pPr>
      <w:r>
        <w:rPr>
          <w:rFonts w:eastAsia="宋体"/>
          <w:color w:val="000000"/>
          <w:sz w:val="24"/>
          <w:szCs w:val="24"/>
        </w:rPr>
        <w:t>第一部分</w:t>
      </w:r>
      <w:r>
        <w:rPr>
          <w:rFonts w:eastAsia="宋体"/>
          <w:color w:val="000000"/>
          <w:sz w:val="24"/>
          <w:szCs w:val="24"/>
        </w:rPr>
        <w:tab/>
      </w:r>
      <w:r>
        <w:rPr>
          <w:rFonts w:eastAsia="宋体"/>
          <w:color w:val="000000"/>
          <w:sz w:val="24"/>
          <w:szCs w:val="24"/>
        </w:rPr>
        <w:t>竞争性磋商公告</w:t>
      </w:r>
    </w:p>
    <w:p>
      <w:pPr>
        <w:pStyle w:val="13"/>
        <w:tabs>
          <w:tab w:val="left" w:pos="720"/>
          <w:tab w:val="left" w:pos="1080"/>
        </w:tabs>
        <w:spacing w:line="560" w:lineRule="exact"/>
        <w:ind w:left="720" w:firstLine="0"/>
        <w:rPr>
          <w:rFonts w:eastAsia="宋体"/>
          <w:color w:val="000000"/>
          <w:sz w:val="24"/>
          <w:szCs w:val="24"/>
        </w:rPr>
      </w:pPr>
      <w:r>
        <w:rPr>
          <w:rFonts w:eastAsia="宋体"/>
          <w:color w:val="000000"/>
          <w:sz w:val="24"/>
          <w:szCs w:val="24"/>
        </w:rPr>
        <w:t>第二部分</w:t>
      </w:r>
      <w:bookmarkStart w:id="33" w:name="_Hlk44592048"/>
      <w:r>
        <w:rPr>
          <w:rFonts w:eastAsia="宋体"/>
          <w:color w:val="000000"/>
          <w:sz w:val="24"/>
          <w:szCs w:val="24"/>
        </w:rPr>
        <w:tab/>
      </w:r>
      <w:r>
        <w:rPr>
          <w:rFonts w:eastAsia="宋体"/>
          <w:color w:val="000000"/>
          <w:sz w:val="24"/>
          <w:szCs w:val="24"/>
        </w:rPr>
        <w:t>竞争性磋商项目资料表</w:t>
      </w:r>
      <w:bookmarkEnd w:id="33"/>
    </w:p>
    <w:p>
      <w:pPr>
        <w:pStyle w:val="13"/>
        <w:tabs>
          <w:tab w:val="left" w:pos="720"/>
          <w:tab w:val="left" w:pos="1080"/>
        </w:tabs>
        <w:spacing w:line="560" w:lineRule="exact"/>
        <w:ind w:left="720" w:firstLine="0"/>
        <w:rPr>
          <w:rFonts w:eastAsia="宋体"/>
          <w:color w:val="000000"/>
          <w:sz w:val="24"/>
          <w:szCs w:val="24"/>
        </w:rPr>
      </w:pPr>
      <w:r>
        <w:rPr>
          <w:rFonts w:eastAsia="宋体"/>
          <w:color w:val="000000"/>
          <w:sz w:val="24"/>
          <w:szCs w:val="24"/>
        </w:rPr>
        <w:t>第三部分</w:t>
      </w:r>
      <w:r>
        <w:rPr>
          <w:rFonts w:eastAsia="宋体"/>
          <w:color w:val="000000"/>
          <w:sz w:val="24"/>
          <w:szCs w:val="24"/>
        </w:rPr>
        <w:tab/>
      </w:r>
      <w:r>
        <w:rPr>
          <w:rFonts w:eastAsia="宋体"/>
          <w:color w:val="000000"/>
          <w:sz w:val="24"/>
          <w:szCs w:val="24"/>
        </w:rPr>
        <w:t>竞争性磋商须知</w:t>
      </w:r>
    </w:p>
    <w:p>
      <w:pPr>
        <w:pStyle w:val="13"/>
        <w:tabs>
          <w:tab w:val="left" w:pos="720"/>
          <w:tab w:val="left" w:pos="1080"/>
        </w:tabs>
        <w:spacing w:line="560" w:lineRule="exact"/>
        <w:ind w:left="720" w:firstLine="0"/>
        <w:rPr>
          <w:rFonts w:eastAsia="宋体"/>
          <w:color w:val="000000"/>
          <w:sz w:val="24"/>
          <w:szCs w:val="24"/>
        </w:rPr>
      </w:pPr>
      <w:r>
        <w:rPr>
          <w:rFonts w:eastAsia="宋体"/>
          <w:color w:val="000000"/>
          <w:sz w:val="24"/>
          <w:szCs w:val="24"/>
        </w:rPr>
        <w:t>第四部分</w:t>
      </w:r>
      <w:r>
        <w:rPr>
          <w:rFonts w:eastAsia="宋体"/>
          <w:color w:val="000000"/>
          <w:sz w:val="24"/>
          <w:szCs w:val="24"/>
        </w:rPr>
        <w:tab/>
      </w:r>
      <w:r>
        <w:rPr>
          <w:rFonts w:eastAsia="宋体"/>
          <w:color w:val="000000"/>
          <w:sz w:val="24"/>
          <w:szCs w:val="24"/>
        </w:rPr>
        <w:t>合同格式</w:t>
      </w:r>
    </w:p>
    <w:p>
      <w:pPr>
        <w:pStyle w:val="13"/>
        <w:tabs>
          <w:tab w:val="left" w:pos="720"/>
          <w:tab w:val="left" w:pos="1080"/>
        </w:tabs>
        <w:spacing w:line="560" w:lineRule="exact"/>
        <w:ind w:left="720" w:firstLine="0"/>
        <w:rPr>
          <w:rFonts w:eastAsia="宋体"/>
          <w:color w:val="000000"/>
          <w:sz w:val="24"/>
          <w:szCs w:val="24"/>
        </w:rPr>
      </w:pPr>
      <w:r>
        <w:rPr>
          <w:rFonts w:eastAsia="宋体"/>
          <w:color w:val="000000"/>
          <w:sz w:val="24"/>
          <w:szCs w:val="24"/>
        </w:rPr>
        <w:t>第五部分</w:t>
      </w:r>
      <w:r>
        <w:rPr>
          <w:rFonts w:eastAsia="宋体"/>
          <w:color w:val="000000"/>
          <w:sz w:val="24"/>
          <w:szCs w:val="24"/>
        </w:rPr>
        <w:tab/>
      </w:r>
      <w:r>
        <w:rPr>
          <w:rFonts w:eastAsia="宋体"/>
          <w:color w:val="000000"/>
          <w:sz w:val="24"/>
          <w:szCs w:val="24"/>
        </w:rPr>
        <w:t>采购项目需求及技术要求</w:t>
      </w:r>
    </w:p>
    <w:p>
      <w:pPr>
        <w:pStyle w:val="13"/>
        <w:tabs>
          <w:tab w:val="left" w:pos="720"/>
          <w:tab w:val="left" w:pos="1080"/>
        </w:tabs>
        <w:spacing w:line="560" w:lineRule="exact"/>
        <w:ind w:left="720" w:firstLine="0"/>
        <w:rPr>
          <w:rFonts w:eastAsia="宋体"/>
          <w:color w:val="000000"/>
          <w:sz w:val="24"/>
          <w:szCs w:val="24"/>
        </w:rPr>
      </w:pPr>
      <w:r>
        <w:rPr>
          <w:rFonts w:eastAsia="宋体"/>
          <w:color w:val="000000"/>
          <w:sz w:val="24"/>
          <w:szCs w:val="24"/>
        </w:rPr>
        <w:t>第六部分</w:t>
      </w:r>
      <w:r>
        <w:rPr>
          <w:rFonts w:eastAsia="宋体"/>
          <w:color w:val="000000"/>
          <w:sz w:val="24"/>
          <w:szCs w:val="24"/>
        </w:rPr>
        <w:tab/>
      </w:r>
      <w:r>
        <w:rPr>
          <w:rFonts w:eastAsia="宋体"/>
          <w:color w:val="000000"/>
          <w:sz w:val="24"/>
          <w:szCs w:val="24"/>
        </w:rPr>
        <w:t>磋商响应文件格式及内容</w:t>
      </w:r>
    </w:p>
    <w:p>
      <w:pPr>
        <w:pStyle w:val="13"/>
        <w:tabs>
          <w:tab w:val="left" w:pos="720"/>
          <w:tab w:val="left" w:pos="1080"/>
        </w:tabs>
        <w:spacing w:line="560" w:lineRule="exact"/>
        <w:ind w:left="720" w:firstLine="0"/>
        <w:rPr>
          <w:rFonts w:eastAsia="宋体"/>
          <w:color w:val="000000"/>
          <w:sz w:val="24"/>
          <w:szCs w:val="24"/>
        </w:rPr>
      </w:pPr>
      <w:r>
        <w:rPr>
          <w:rFonts w:eastAsia="宋体"/>
          <w:color w:val="000000"/>
          <w:sz w:val="24"/>
          <w:szCs w:val="24"/>
        </w:rPr>
        <w:t>对竞争性磋商文件所作的澄清、修改，构成竞争性磋商文件的组成部分。</w:t>
      </w:r>
    </w:p>
    <w:p>
      <w:pPr>
        <w:numPr>
          <w:ilvl w:val="0"/>
          <w:numId w:val="2"/>
        </w:numPr>
        <w:tabs>
          <w:tab w:val="left" w:pos="360"/>
        </w:tabs>
        <w:spacing w:line="560" w:lineRule="exact"/>
        <w:rPr>
          <w:b/>
          <w:color w:val="000000"/>
          <w:sz w:val="24"/>
        </w:rPr>
      </w:pPr>
      <w:r>
        <w:rPr>
          <w:b/>
          <w:color w:val="000000"/>
          <w:sz w:val="24"/>
        </w:rPr>
        <w:t>竞争性磋商响应文件的下载</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供应商必须直接从交易平台下载竞争性磋商文件，未经下载仅根据复制的竞争性磋商文件编制的竞争性磋商响应文件，或供应商名称与下载竞争性磋商文件时登记的名称不一致的竞争性磋商响应文件，均将被拒收。</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答疑文件发布后，各供应商须重新下载最新的竞争性磋商文件和答疑文件，以此编制竞争性磋商响应文件。</w:t>
      </w:r>
    </w:p>
    <w:p>
      <w:pPr>
        <w:numPr>
          <w:ilvl w:val="0"/>
          <w:numId w:val="2"/>
        </w:numPr>
        <w:tabs>
          <w:tab w:val="left" w:pos="360"/>
        </w:tabs>
        <w:spacing w:line="560" w:lineRule="exact"/>
        <w:rPr>
          <w:b/>
          <w:color w:val="000000"/>
          <w:sz w:val="24"/>
        </w:rPr>
      </w:pPr>
      <w:r>
        <w:rPr>
          <w:b/>
          <w:color w:val="000000"/>
          <w:sz w:val="24"/>
        </w:rPr>
        <w:t>竞争性磋商文件的澄清</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供应商对竞争性磋商文件如有需要澄清或疑问，应在 “河南省公共资源交易中心（www.hnggzy.com）”电子交易平台进行提问，要求采购人对竞争性磋商文件予以澄清。供应商在规定的时间内未要求对竞争性磋商文件澄清或提出疑问的，采购人和集中采购机构将视其为无异议。响应文件提交的截止时间后，采购人和集中采购机构不接受其对竞争性磋商文件内容的质疑。</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竞争性磋商文件的澄清将在响应文件提交的截止时间的3个工作日前在“河南省公共资源交易中心（www.hnggzy.com）”电子交易平台公布给所有下载竞争性磋商文件的供应商，但不指明澄清问题的来源。如果澄清发出的时间距响应文件提交的截止时间不足3个工作日并且澄清内容影响磋商响应文件编制的，相应延长响应文件提交的截止时间和开启时间。</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澄清内容是竞争性磋商文件的组成部分，澄清内容一经在项目公告网站和电子交易平台发布，视作已送达所有供应商，并对供应商具有约束力。</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因“河南省公共资源交易中心（www.hnggzy.com）”电子交易平台在响应文件提交的截止时间前具有保密性，供应商在响应文件提交的截止时间前须自行查看项目进展、下载竞争性磋商文件的澄清等，因供应商未及时查看和下载而造成的后果自负。</w:t>
      </w:r>
    </w:p>
    <w:p>
      <w:pPr>
        <w:numPr>
          <w:ilvl w:val="0"/>
          <w:numId w:val="2"/>
        </w:numPr>
        <w:tabs>
          <w:tab w:val="left" w:pos="360"/>
        </w:tabs>
        <w:spacing w:line="560" w:lineRule="exact"/>
        <w:rPr>
          <w:b/>
          <w:color w:val="000000"/>
          <w:sz w:val="24"/>
        </w:rPr>
      </w:pPr>
      <w:r>
        <w:rPr>
          <w:b/>
          <w:color w:val="000000"/>
          <w:sz w:val="24"/>
        </w:rPr>
        <w:t>竞争性磋商文件的修改</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必要情况下，采购人和集中采购机构可主动地或在解答供应商提出的澄清问题时对竞争性磋商文件进行修改。</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竞争性磋商文件的的修改将在响应文件提交的截止时间的3个工作日前，在“河南省公共资源交易中心（www.hnggzy.com）”电子交易平台公布给所有下载采购文件的供应商。如果修改发出的时间距响应文件提交的截止时间不足3个工作日，并且修改内容影响磋商响应文件编制的，相应延长响应文件提交的截止时间和开启时间。</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修改内容是竞争性磋商文件的组成部分，修改内容一经在项目公告网站和电子交易平台发布，视作已送达所有供应商，并对供应商具有约束力。若供应商对修改内容仍有疑问，应在收到修改内容后24小时内在“河南省公共资源交易中心（www.hnggzy.com）”电子交易平台进行提问，否则视为已接收，并同意修改或澄清内容。响应文件提交的截止时间后，采购人和集中采购机构不接受其对竞争性磋商文件内容的质疑。</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因河南省公共资源交易中心（www.hnggzy.com）”电子交易平台在响应文件提交的截止时间前具有保密性，供应商在首次响应文件提交的截止时间前须自行查看项目进展、下载竞争性磋商文件的修改等，因供应商未及时查看和下载而造成的后果自负。</w:t>
      </w:r>
    </w:p>
    <w:p>
      <w:pPr>
        <w:spacing w:line="560" w:lineRule="exact"/>
        <w:ind w:left="481" w:leftChars="229" w:firstLine="360" w:firstLineChars="150"/>
        <w:rPr>
          <w:color w:val="000000"/>
          <w:sz w:val="24"/>
        </w:rPr>
      </w:pPr>
    </w:p>
    <w:p>
      <w:pPr>
        <w:pStyle w:val="4"/>
        <w:numPr>
          <w:ilvl w:val="0"/>
          <w:numId w:val="1"/>
        </w:numPr>
        <w:tabs>
          <w:tab w:val="left" w:pos="405"/>
          <w:tab w:val="left" w:pos="721"/>
        </w:tabs>
        <w:spacing w:before="0" w:after="0" w:line="560" w:lineRule="exact"/>
        <w:rPr>
          <w:rFonts w:ascii="Times New Roman" w:hAnsi="Times New Roman" w:eastAsia="宋体"/>
          <w:color w:val="000000"/>
          <w:sz w:val="32"/>
          <w:szCs w:val="32"/>
        </w:rPr>
      </w:pPr>
      <w:r>
        <w:rPr>
          <w:rFonts w:ascii="Times New Roman" w:hAnsi="Times New Roman" w:eastAsia="宋体"/>
          <w:color w:val="000000"/>
          <w:sz w:val="32"/>
          <w:szCs w:val="32"/>
        </w:rPr>
        <w:t>竞争性磋商响应文件的编写</w:t>
      </w:r>
    </w:p>
    <w:p>
      <w:pPr>
        <w:numPr>
          <w:ilvl w:val="0"/>
          <w:numId w:val="2"/>
        </w:numPr>
        <w:tabs>
          <w:tab w:val="left" w:pos="360"/>
        </w:tabs>
        <w:spacing w:line="560" w:lineRule="exact"/>
        <w:rPr>
          <w:b/>
          <w:color w:val="000000"/>
          <w:sz w:val="24"/>
        </w:rPr>
      </w:pPr>
      <w:r>
        <w:rPr>
          <w:b/>
          <w:color w:val="000000"/>
          <w:sz w:val="24"/>
        </w:rPr>
        <w:t>竞争性磋商响应文件的组成</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竞争性磋商响应文件应按 “第六部分磋商响应文件格式及内容”中所要求的内容和格式进行编制。</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供应商应认真阅读和充分理解竞争性磋商文件中的所有内容，按竞争性磋商文件的要求提供磋商响应文件，并保证所提供全部资料的真实性，以使其磋商响应文件对竞争性磋商文件做出实质性响应，否则，将承担其磋商响应文件被拒绝或无效的风险。</w:t>
      </w:r>
    </w:p>
    <w:p>
      <w:pPr>
        <w:numPr>
          <w:ilvl w:val="0"/>
          <w:numId w:val="2"/>
        </w:numPr>
        <w:tabs>
          <w:tab w:val="left" w:pos="360"/>
        </w:tabs>
        <w:spacing w:line="560" w:lineRule="exact"/>
        <w:rPr>
          <w:b/>
          <w:color w:val="000000"/>
          <w:sz w:val="24"/>
        </w:rPr>
      </w:pPr>
      <w:r>
        <w:rPr>
          <w:b/>
          <w:color w:val="000000"/>
          <w:sz w:val="24"/>
        </w:rPr>
        <w:t>供应商资格的证明文件</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参照“第六部分磋商响应文件格式及内容”递交相应的资格证明文件。</w:t>
      </w:r>
    </w:p>
    <w:p>
      <w:pPr>
        <w:numPr>
          <w:ilvl w:val="0"/>
          <w:numId w:val="2"/>
        </w:numPr>
        <w:tabs>
          <w:tab w:val="left" w:pos="360"/>
        </w:tabs>
        <w:spacing w:line="560" w:lineRule="exact"/>
        <w:rPr>
          <w:b/>
          <w:color w:val="000000"/>
          <w:sz w:val="24"/>
        </w:rPr>
      </w:pPr>
      <w:r>
        <w:rPr>
          <w:b/>
          <w:color w:val="000000"/>
          <w:sz w:val="24"/>
        </w:rPr>
        <w:t>证明货物或服务符合竞争性磋商文件技术要求的文件</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供应商应递交证明其拟供货物和服务符合竞争性磋商文件规定的技术响应文件，作为竞争性磋商响应文件的一部分。</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在产品规格一览表中应说明货物的品牌型号、规格参数、制造商及原产地等，交货时出具原产地证明及合格出厂证明。</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竞争性磋商文件中为简述货物品质、基本性能而标示的品牌或型号仅供供应商选择货物在质量、水平上的比照参考，不具有限制性。供应商可提供品质相同或优于同类产品的货物。</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证明文件可以是文字资料、图纸、彩页和数据，不限于提供：</w:t>
      </w:r>
      <w:r>
        <w:rPr>
          <w:color w:val="000000"/>
          <w:sz w:val="24"/>
          <w:szCs w:val="24"/>
        </w:rPr>
        <w:br w:type="textWrapping"/>
      </w:r>
      <w:r>
        <w:rPr>
          <w:color w:val="000000"/>
          <w:sz w:val="24"/>
          <w:szCs w:val="24"/>
        </w:rPr>
        <w:t>（1）货物主要技术指标和性能的详细描述；</w:t>
      </w:r>
      <w:r>
        <w:rPr>
          <w:color w:val="000000"/>
          <w:sz w:val="24"/>
          <w:szCs w:val="24"/>
        </w:rPr>
        <w:br w:type="textWrapping"/>
      </w:r>
      <w:r>
        <w:rPr>
          <w:color w:val="000000"/>
          <w:sz w:val="24"/>
          <w:szCs w:val="24"/>
        </w:rPr>
        <w:t>（2）供应商应对竞争性磋商文件技术要求逐条应答，并标明与竞争性磋商文件条文的偏差和例外。对竞争性磋商文件有具体规格、参数的指标，供应商必须提供其所投货物的具体数值。</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对于服务类项目，供应商应按照磋商文件要求，提供相应各项服务方案和相关资料及文件证明。</w:t>
      </w:r>
    </w:p>
    <w:p>
      <w:pPr>
        <w:numPr>
          <w:ilvl w:val="0"/>
          <w:numId w:val="2"/>
        </w:numPr>
        <w:tabs>
          <w:tab w:val="left" w:pos="360"/>
        </w:tabs>
        <w:spacing w:line="560" w:lineRule="exact"/>
        <w:rPr>
          <w:b/>
          <w:color w:val="000000"/>
          <w:sz w:val="24"/>
        </w:rPr>
      </w:pPr>
      <w:r>
        <w:rPr>
          <w:b/>
          <w:color w:val="000000"/>
          <w:sz w:val="24"/>
        </w:rPr>
        <w:t>磋商响应文件的真实性与准确性</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供应商须对其磋商响应文件的真实性与准确性负责。一旦成交，其磋商响应文件将作为合同的重要组成部分。</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供应商在未征得采购人许可的情况下，不得擅自对竞争性磋商文件的格式内容、条款和技术要求进行修改。否则，其磋商响应文件在磋商时有可能被认为对竞争性磋商文件未做出实质性响应而终止对其作进一步的评审。</w:t>
      </w:r>
    </w:p>
    <w:p>
      <w:pPr>
        <w:numPr>
          <w:ilvl w:val="0"/>
          <w:numId w:val="2"/>
        </w:numPr>
        <w:tabs>
          <w:tab w:val="left" w:pos="360"/>
        </w:tabs>
        <w:spacing w:line="560" w:lineRule="exact"/>
        <w:rPr>
          <w:b/>
          <w:color w:val="000000"/>
          <w:sz w:val="24"/>
        </w:rPr>
      </w:pPr>
      <w:r>
        <w:rPr>
          <w:b/>
          <w:color w:val="000000"/>
          <w:sz w:val="24"/>
        </w:rPr>
        <w:t>报价</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供应商应以“包”为报价的基本单位。若整个需求分为若干包，则供应商可选择其中的部分或所有包报价。</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供应商总报价应包括供应商认为成交后针对完成采购文件规定的全部要求而发生的包含设计、制造、采购、运保、安装、质量检测费以及伴随的其它服务费等的全部成本、保险、税金及利润，并考虑了应承担的风险及相关费用。质保期内所需的备件应包含在磋商报价中。应涵盖除根据采购人要求的变更外，采购人在竞争性磋商文件中所要求的所有采购内容。</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采取二次报价，第二次报价为最终报价。</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除非竞争性磋商文件另有规定，每包只允许有一个最终报价，任何有选择的报价或替代方案将导致响应磋商无效。</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供应商各轮次总报价均不能超过最高限价，否则其磋商响应文件按无效处理。</w:t>
      </w:r>
      <w:bookmarkStart w:id="34" w:name="_Hlk44858831"/>
    </w:p>
    <w:bookmarkEnd w:id="34"/>
    <w:p>
      <w:pPr>
        <w:numPr>
          <w:ilvl w:val="0"/>
          <w:numId w:val="2"/>
        </w:numPr>
        <w:tabs>
          <w:tab w:val="left" w:pos="360"/>
        </w:tabs>
        <w:spacing w:line="560" w:lineRule="exact"/>
        <w:rPr>
          <w:b/>
          <w:color w:val="000000"/>
          <w:sz w:val="24"/>
        </w:rPr>
      </w:pPr>
      <w:r>
        <w:rPr>
          <w:b/>
          <w:color w:val="000000"/>
          <w:sz w:val="24"/>
        </w:rPr>
        <w:t>报价货币</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除非另有规定，供应商提供的所有货物和服务用人民币报价。</w:t>
      </w:r>
    </w:p>
    <w:p>
      <w:pPr>
        <w:numPr>
          <w:ilvl w:val="0"/>
          <w:numId w:val="2"/>
        </w:numPr>
        <w:tabs>
          <w:tab w:val="left" w:pos="360"/>
        </w:tabs>
        <w:spacing w:line="560" w:lineRule="exact"/>
        <w:rPr>
          <w:b/>
          <w:color w:val="000000"/>
          <w:sz w:val="24"/>
        </w:rPr>
      </w:pPr>
      <w:r>
        <w:rPr>
          <w:b/>
          <w:color w:val="000000"/>
          <w:sz w:val="24"/>
        </w:rPr>
        <w:t>竞争性磋商保证金及磋商响应承诺函</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本项目无须交纳竞争性磋商保证金。</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供应商应按磋商文件规定的格式和内容提交磋商响应承诺函，并在发生承诺函约定的情形时，向采购人支付违约赔偿金。</w:t>
      </w:r>
    </w:p>
    <w:p>
      <w:pPr>
        <w:numPr>
          <w:ilvl w:val="0"/>
          <w:numId w:val="2"/>
        </w:numPr>
        <w:tabs>
          <w:tab w:val="left" w:pos="360"/>
        </w:tabs>
        <w:spacing w:line="560" w:lineRule="exact"/>
        <w:rPr>
          <w:b/>
          <w:color w:val="000000"/>
          <w:sz w:val="24"/>
        </w:rPr>
      </w:pPr>
      <w:r>
        <w:rPr>
          <w:b/>
          <w:color w:val="000000"/>
          <w:sz w:val="24"/>
        </w:rPr>
        <w:t>竞争性磋商响应有效期</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竞争性磋商响应文件应自竞争性磋商响应文件递交截止时间起，在“竞争性磋商项目资料表”规定的时间内保持有效。</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在特殊情况下，采购人和交易中心可征求供应商同意延长竞争性磋商响应的有效期。这种要求与答复均应以书面形式提交。供应商可以拒绝这种要求，原有效期到期后其磋商响应文件失效。</w:t>
      </w:r>
    </w:p>
    <w:p>
      <w:pPr>
        <w:numPr>
          <w:ilvl w:val="0"/>
          <w:numId w:val="2"/>
        </w:numPr>
        <w:tabs>
          <w:tab w:val="left" w:pos="360"/>
        </w:tabs>
        <w:spacing w:line="560" w:lineRule="exact"/>
        <w:rPr>
          <w:b/>
          <w:color w:val="000000"/>
          <w:sz w:val="24"/>
        </w:rPr>
      </w:pPr>
      <w:r>
        <w:rPr>
          <w:b/>
          <w:color w:val="000000"/>
          <w:sz w:val="24"/>
        </w:rPr>
        <w:t>竞争性磋商响应文件的制作和文件签署</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供应商应按照竞争性磋商文件的要求编制磋商响应文件，磋商响应文件应当对竞争性磋商文件提出的实质性要求和条件作出响应。</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磋商响应文件形式为加密电子磋商响应文件。其他形式的磋商响应文件不予接受。</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加密的电子磋商响应文件由“河南省公共资源交易中心（www.hnggzy.com）” 网站提供的“投标文件制作工具”软件制作生成。</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供应商在制作电子磋商响应文件时，根据“第六部分磋商响应文件格式及内容”要求进行签字盖章签章。未按规定签署的响应文件将按无效处理。</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竞争性磋商文件要求签字的，个人电子签章满足签字要求；竞争性磋商文件要求盖章的，企业电子签章满足盖章要求。</w:t>
      </w:r>
    </w:p>
    <w:p>
      <w:pPr>
        <w:spacing w:line="560" w:lineRule="exact"/>
        <w:rPr>
          <w:color w:val="000000"/>
          <w:sz w:val="24"/>
        </w:rPr>
      </w:pPr>
    </w:p>
    <w:p>
      <w:pPr>
        <w:pStyle w:val="4"/>
        <w:numPr>
          <w:ilvl w:val="0"/>
          <w:numId w:val="1"/>
        </w:numPr>
        <w:tabs>
          <w:tab w:val="left" w:pos="405"/>
          <w:tab w:val="left" w:pos="720"/>
        </w:tabs>
        <w:spacing w:before="0" w:after="0" w:line="560" w:lineRule="exact"/>
        <w:rPr>
          <w:rFonts w:ascii="Times New Roman" w:hAnsi="Times New Roman" w:eastAsia="宋体"/>
          <w:color w:val="000000"/>
          <w:sz w:val="32"/>
          <w:szCs w:val="32"/>
        </w:rPr>
      </w:pPr>
      <w:r>
        <w:rPr>
          <w:rFonts w:ascii="Times New Roman" w:hAnsi="Times New Roman" w:eastAsia="宋体"/>
          <w:color w:val="000000"/>
          <w:sz w:val="32"/>
          <w:szCs w:val="32"/>
        </w:rPr>
        <w:t>竞争性磋商响应文件的提交</w:t>
      </w:r>
    </w:p>
    <w:p>
      <w:pPr>
        <w:numPr>
          <w:ilvl w:val="0"/>
          <w:numId w:val="2"/>
        </w:numPr>
        <w:tabs>
          <w:tab w:val="left" w:pos="360"/>
        </w:tabs>
        <w:spacing w:line="560" w:lineRule="exact"/>
        <w:rPr>
          <w:b/>
          <w:color w:val="000000"/>
          <w:sz w:val="24"/>
        </w:rPr>
      </w:pPr>
      <w:r>
        <w:rPr>
          <w:b/>
          <w:color w:val="000000"/>
          <w:sz w:val="24"/>
        </w:rPr>
        <w:t>竞争性磋商响应文件的提交</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加密电子磋商响应文件的上传：见“竞争性磋商项目资料表”。</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供应商因交易中心系统问题无法上传电子竞争性磋商响应文件时，请在工作时间与河南省公共资源交易中心联系，联系电话：0371-86095903。</w:t>
      </w:r>
    </w:p>
    <w:p>
      <w:pPr>
        <w:numPr>
          <w:ilvl w:val="0"/>
          <w:numId w:val="2"/>
        </w:numPr>
        <w:tabs>
          <w:tab w:val="left" w:pos="360"/>
        </w:tabs>
        <w:spacing w:line="560" w:lineRule="exact"/>
        <w:rPr>
          <w:b/>
          <w:color w:val="000000"/>
          <w:sz w:val="24"/>
        </w:rPr>
      </w:pPr>
      <w:r>
        <w:rPr>
          <w:b/>
          <w:color w:val="000000"/>
          <w:sz w:val="24"/>
        </w:rPr>
        <w:t>响应文件提交的截止时间</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磋商响应文件提交的截止时间：见“竞争性磋商项目资料表”。</w:t>
      </w:r>
    </w:p>
    <w:p>
      <w:pPr>
        <w:numPr>
          <w:ilvl w:val="1"/>
          <w:numId w:val="2"/>
        </w:numPr>
        <w:tabs>
          <w:tab w:val="left" w:pos="720"/>
        </w:tabs>
        <w:spacing w:line="560" w:lineRule="exact"/>
        <w:ind w:left="720" w:hanging="720" w:hangingChars="300"/>
        <w:rPr>
          <w:color w:val="000000"/>
          <w:sz w:val="24"/>
        </w:rPr>
      </w:pPr>
      <w:r>
        <w:rPr>
          <w:color w:val="000000"/>
          <w:sz w:val="24"/>
          <w:szCs w:val="24"/>
        </w:rPr>
        <w:t>逾期上传的或者未上传指定系统的磋商响应文件，采购人不予受理。</w:t>
      </w:r>
    </w:p>
    <w:p>
      <w:pPr>
        <w:numPr>
          <w:ilvl w:val="0"/>
          <w:numId w:val="2"/>
        </w:numPr>
        <w:tabs>
          <w:tab w:val="left" w:pos="360"/>
        </w:tabs>
        <w:spacing w:line="560" w:lineRule="exact"/>
        <w:rPr>
          <w:b/>
          <w:color w:val="000000"/>
          <w:sz w:val="24"/>
        </w:rPr>
      </w:pPr>
      <w:r>
        <w:rPr>
          <w:b/>
          <w:color w:val="000000"/>
          <w:sz w:val="24"/>
        </w:rPr>
        <w:t>竞争性磋商响应文件的修改和撤回</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磋商结束之日至磋商响应文件有效期到期之日，供应商不得实质上修改或撤回其磋商响应文件，否则按国家有关法律法规进行处理并按磋商承诺函的约定向采购人支付违约赔偿金。供应商因磋商小组变动购需求中的技术、服务要求以及合同草案条款，而重新提交的响应文件的除外。</w:t>
      </w:r>
    </w:p>
    <w:p>
      <w:pPr>
        <w:pStyle w:val="7"/>
        <w:tabs>
          <w:tab w:val="left" w:pos="360"/>
          <w:tab w:val="left" w:pos="720"/>
        </w:tabs>
        <w:spacing w:line="560" w:lineRule="exact"/>
        <w:ind w:firstLine="747" w:firstLineChars="300"/>
        <w:rPr>
          <w:rFonts w:ascii="Times New Roman" w:hAnsi="Times New Roman"/>
          <w:color w:val="000000"/>
        </w:rPr>
      </w:pPr>
    </w:p>
    <w:p>
      <w:pPr>
        <w:pStyle w:val="4"/>
        <w:numPr>
          <w:ilvl w:val="0"/>
          <w:numId w:val="1"/>
        </w:numPr>
        <w:tabs>
          <w:tab w:val="left" w:pos="405"/>
          <w:tab w:val="left" w:pos="720"/>
        </w:tabs>
        <w:spacing w:before="0" w:after="0" w:line="560" w:lineRule="exact"/>
        <w:rPr>
          <w:rFonts w:ascii="Times New Roman" w:hAnsi="Times New Roman" w:eastAsia="宋体"/>
          <w:color w:val="000000"/>
          <w:sz w:val="32"/>
          <w:szCs w:val="32"/>
        </w:rPr>
      </w:pPr>
      <w:r>
        <w:rPr>
          <w:rFonts w:ascii="Times New Roman" w:hAnsi="Times New Roman" w:eastAsia="宋体"/>
          <w:color w:val="000000"/>
          <w:sz w:val="32"/>
          <w:szCs w:val="32"/>
        </w:rPr>
        <w:t>项目开启、评审与磋商</w:t>
      </w:r>
    </w:p>
    <w:p>
      <w:pPr>
        <w:numPr>
          <w:ilvl w:val="0"/>
          <w:numId w:val="2"/>
        </w:numPr>
        <w:tabs>
          <w:tab w:val="left" w:pos="360"/>
        </w:tabs>
        <w:spacing w:line="560" w:lineRule="exact"/>
        <w:rPr>
          <w:b/>
          <w:color w:val="000000"/>
          <w:sz w:val="24"/>
        </w:rPr>
      </w:pPr>
      <w:r>
        <w:rPr>
          <w:b/>
          <w:color w:val="000000"/>
          <w:sz w:val="24"/>
        </w:rPr>
        <w:t>开启</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本项目实行远程不见面方式开启响应文件，供应商无需到河南省公共资源交易中心现场参加响应文件开启会议。</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在采购文件确定的响应文件提交的截止时间前，供应商登录远程开标大厅（www.hnggzyjy.cn），在线准时参加响应文件开启活动并使用CA数字证书进行文件解密。</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未在规定时间内解密响应文件的供应商，其响应文件无效。</w:t>
      </w:r>
    </w:p>
    <w:p>
      <w:pPr>
        <w:numPr>
          <w:ilvl w:val="0"/>
          <w:numId w:val="2"/>
        </w:numPr>
        <w:tabs>
          <w:tab w:val="left" w:pos="360"/>
        </w:tabs>
        <w:spacing w:line="560" w:lineRule="exact"/>
        <w:rPr>
          <w:b/>
          <w:color w:val="000000"/>
          <w:sz w:val="24"/>
        </w:rPr>
      </w:pPr>
      <w:r>
        <w:rPr>
          <w:b/>
          <w:color w:val="000000"/>
          <w:sz w:val="24"/>
        </w:rPr>
        <w:t>竞争性磋商小组</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磋商与评审工作由磋商小组负责，磋商小组由采购人按规定组建。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pPr>
        <w:numPr>
          <w:ilvl w:val="0"/>
          <w:numId w:val="2"/>
        </w:numPr>
        <w:tabs>
          <w:tab w:val="left" w:pos="360"/>
        </w:tabs>
        <w:spacing w:line="560" w:lineRule="exact"/>
        <w:rPr>
          <w:b/>
          <w:color w:val="000000"/>
          <w:sz w:val="24"/>
        </w:rPr>
      </w:pPr>
      <w:r>
        <w:rPr>
          <w:b/>
          <w:color w:val="000000"/>
          <w:sz w:val="24"/>
        </w:rPr>
        <w:t>初步评审</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磋商响应文件电子解密结束后，磋商小组依据“竞争性磋商项目资料表 ”对供应商的磋商响应文件进行初步评审，以确定供应商是否具备参与磋商的资格和是否实质响应磋商文件的要求。</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初步评审有一项不符合审查标准的，其磋商响应文件按无效处理。</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有下列情形之一的，视为供应商串通磋商响应，其磋商响应文件无效：</w:t>
      </w:r>
      <w:r>
        <w:rPr>
          <w:color w:val="000000"/>
          <w:sz w:val="24"/>
          <w:szCs w:val="24"/>
        </w:rPr>
        <w:br w:type="textWrapping"/>
      </w:r>
      <w:r>
        <w:rPr>
          <w:color w:val="000000"/>
          <w:sz w:val="24"/>
          <w:szCs w:val="24"/>
        </w:rPr>
        <w:t>（1）不同供应商委托同一单位或者个人办理磋商事宜；</w:t>
      </w:r>
      <w:r>
        <w:rPr>
          <w:color w:val="000000"/>
          <w:sz w:val="24"/>
          <w:szCs w:val="24"/>
        </w:rPr>
        <w:br w:type="textWrapping"/>
      </w:r>
      <w:r>
        <w:rPr>
          <w:color w:val="000000"/>
          <w:sz w:val="24"/>
          <w:szCs w:val="24"/>
        </w:rPr>
        <w:t>（2）不同供应商的竞争性磋商响应文件载明的项目管理成员或者联系人员为同一人；</w:t>
      </w:r>
      <w:r>
        <w:rPr>
          <w:color w:val="000000"/>
          <w:sz w:val="24"/>
          <w:szCs w:val="24"/>
        </w:rPr>
        <w:br w:type="textWrapping"/>
      </w:r>
      <w:r>
        <w:rPr>
          <w:color w:val="000000"/>
          <w:sz w:val="24"/>
          <w:szCs w:val="24"/>
        </w:rPr>
        <w:t>（3）不同供应商的竞争性磋商响应文件异常一致或者报价呈规律性差异。</w:t>
      </w:r>
    </w:p>
    <w:p>
      <w:pPr>
        <w:numPr>
          <w:ilvl w:val="0"/>
          <w:numId w:val="2"/>
        </w:numPr>
        <w:tabs>
          <w:tab w:val="left" w:pos="360"/>
        </w:tabs>
        <w:spacing w:line="560" w:lineRule="exact"/>
        <w:rPr>
          <w:b/>
          <w:color w:val="000000"/>
          <w:sz w:val="24"/>
        </w:rPr>
      </w:pPr>
      <w:r>
        <w:rPr>
          <w:b/>
          <w:color w:val="000000"/>
          <w:sz w:val="24"/>
        </w:rPr>
        <w:t>磋商</w:t>
      </w:r>
    </w:p>
    <w:p>
      <w:pPr>
        <w:numPr>
          <w:ilvl w:val="1"/>
          <w:numId w:val="2"/>
        </w:numPr>
        <w:tabs>
          <w:tab w:val="left" w:pos="720"/>
        </w:tabs>
        <w:spacing w:line="560" w:lineRule="exact"/>
        <w:ind w:left="720" w:hanging="720" w:hangingChars="300"/>
        <w:rPr>
          <w:color w:val="000000"/>
          <w:sz w:val="24"/>
          <w:szCs w:val="24"/>
        </w:rPr>
      </w:pPr>
      <w:bookmarkStart w:id="35" w:name="_Hlk44947873"/>
      <w:r>
        <w:rPr>
          <w:color w:val="000000"/>
          <w:sz w:val="24"/>
          <w:szCs w:val="24"/>
        </w:rPr>
        <w:t>磋商小组讨论、通过磋商要点。</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围绕磋商要点，磋商小组与供应商进行磋商，磋商小组全体成员集中与单一供应商分别进行磋商，并给予所有参加磋商的供应商平等的磋商机会。</w:t>
      </w:r>
    </w:p>
    <w:bookmarkEnd w:id="35"/>
    <w:p>
      <w:pPr>
        <w:numPr>
          <w:ilvl w:val="1"/>
          <w:numId w:val="2"/>
        </w:numPr>
        <w:tabs>
          <w:tab w:val="left" w:pos="720"/>
        </w:tabs>
        <w:spacing w:line="560" w:lineRule="exact"/>
        <w:ind w:left="720" w:hanging="720" w:hangingChars="300"/>
        <w:rPr>
          <w:color w:val="000000"/>
          <w:sz w:val="24"/>
          <w:szCs w:val="24"/>
        </w:rPr>
      </w:pPr>
      <w:r>
        <w:rPr>
          <w:color w:val="000000"/>
          <w:sz w:val="24"/>
          <w:szCs w:val="24"/>
        </w:rPr>
        <w:t>在磋商过程中，磋商小组可以根据竞争性磋商文件和磋商情况实质性变动采购需求中的技术、服务要求以及合同草案条款，但不得变动竞争性磋商文件中的其他内容。实质性变动的内容，须经采购人代表确认。</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对竞争性磋商文件作出的实质性变动是竞争性磋商文件的有效组成部分，磋商小组应当及时以书面形式同时通知所有参加磋商的供应商。</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供应商应当按照竞争性磋商文件的变动情况和磋商小组的要求重新提交磋商响应文件，磋商响应文件须通过河南省公共资源交易平台不见面服务系统在线提交，并签署企业电子签章或法定代表人个人电子签章。</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磋商小组成员应当遵守工作纪律，不得泄露评审情况和评审中获悉的商业秘密。</w:t>
      </w:r>
    </w:p>
    <w:p>
      <w:pPr>
        <w:numPr>
          <w:ilvl w:val="0"/>
          <w:numId w:val="2"/>
        </w:numPr>
        <w:tabs>
          <w:tab w:val="left" w:pos="360"/>
        </w:tabs>
        <w:spacing w:line="560" w:lineRule="exact"/>
        <w:rPr>
          <w:b/>
          <w:color w:val="000000"/>
          <w:sz w:val="24"/>
        </w:rPr>
      </w:pPr>
      <w:r>
        <w:rPr>
          <w:b/>
          <w:color w:val="000000"/>
          <w:sz w:val="24"/>
        </w:rPr>
        <w:t>竞争性磋商响应文件的澄清</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磋商小组可以要求供应商对响应文件中含义不明确的内容作必要的澄清或者说明。澄清的要求和供应商的答复均应采取书面形式，本项目均需通过河南省公共资源交易中心（www.hnggzy.com）在线上进行。供应商的答复必须加盖企业电子签章或法定代表个人电子签章，作为响应文件的组成部分。</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算术错误将按以下方法更正：若单价计算的结果与总价不一致，以单价为准修改总价；若文字表示的数值与数字表示的数值不一致，以文字表示的数值为准。若供应商不接受对其错误的更正，其竞争性磋商响应将被拒绝。</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允许修正竞争性磋商响应文件中不构成重大偏离的、微小的、非正规的、不一致或不规则的地方。</w:t>
      </w:r>
    </w:p>
    <w:p>
      <w:pPr>
        <w:numPr>
          <w:ilvl w:val="0"/>
          <w:numId w:val="2"/>
        </w:numPr>
        <w:tabs>
          <w:tab w:val="left" w:pos="360"/>
        </w:tabs>
        <w:spacing w:line="560" w:lineRule="exact"/>
        <w:rPr>
          <w:b/>
          <w:color w:val="000000"/>
          <w:sz w:val="24"/>
        </w:rPr>
      </w:pPr>
      <w:r>
        <w:rPr>
          <w:b/>
          <w:color w:val="000000"/>
          <w:sz w:val="24"/>
        </w:rPr>
        <w:t>偏差</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磋商小组将允许供应商修正其磋商响应文件中的细微偏差，细微偏差是指磋商响应文件在实质上响应竞争性磋商文件要求，但个别地方存在漏项或者提供了不完整的信息和数据等情况，并且补正这些遗漏或者不完整不会对其他供应商造成不公平的结果。细微偏差不影响磋商响应文件的有效性。</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重大偏差是指对竞争性磋商文件规定的采购需求、交货期和质量标准等产生重大或不可接受的偏差，或限制了集中采购机构、采购人的权利和供应商的义务的规定，而纠正这些偏离将影响到其它提交实质性响应竞争性磋商文件的供应商的公平竞争地位。</w:t>
      </w:r>
    </w:p>
    <w:p>
      <w:pPr>
        <w:numPr>
          <w:ilvl w:val="0"/>
          <w:numId w:val="2"/>
        </w:numPr>
        <w:tabs>
          <w:tab w:val="left" w:pos="360"/>
        </w:tabs>
        <w:spacing w:line="560" w:lineRule="exact"/>
        <w:rPr>
          <w:b/>
          <w:color w:val="000000"/>
          <w:sz w:val="24"/>
        </w:rPr>
      </w:pPr>
      <w:r>
        <w:rPr>
          <w:b/>
          <w:color w:val="000000"/>
          <w:sz w:val="24"/>
        </w:rPr>
        <w:t>报价合理性</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磋商小组认为供应商的报价明显低于其他通过初步评审供应商的报价，有可能影响服务质量或者不能诚信履约的，应当要求其在评审现场合理的时间内提供书面说明，必要时提交相关证明材料；供应商不能证明其报价合理性的，磋商小组应当将其作为无效响应处理。</w:t>
      </w:r>
    </w:p>
    <w:p>
      <w:pPr>
        <w:numPr>
          <w:ilvl w:val="0"/>
          <w:numId w:val="2"/>
        </w:numPr>
        <w:tabs>
          <w:tab w:val="left" w:pos="360"/>
        </w:tabs>
        <w:spacing w:line="560" w:lineRule="exact"/>
        <w:rPr>
          <w:b/>
          <w:color w:val="000000"/>
          <w:sz w:val="24"/>
        </w:rPr>
      </w:pPr>
      <w:r>
        <w:rPr>
          <w:b/>
          <w:color w:val="000000"/>
          <w:sz w:val="24"/>
        </w:rPr>
        <w:t>　 最终报价的确定</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磋商结束后，磋商小组要求所有实质性响应的供应商在规定时间内提交最终报价，最后报价是供应商磋商响应文件的有效组成部分。</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报价方式为远程在线报价。供应商登录远程开标项目，在评标过程中收到远程报价通知时，即可远程在线报价。</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经磋商，如采购需求发生实质性变更的，供应商可退出磋商，不进行最终报价。此情况下，如不进行最终报价的即视为退出磋商。</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经磋商，如采购需求未变更或未发生实质性变更的，供应商未提交最终报价的，其响应文件中的首次报价视为最终报价，供应商不得以未进行二次报价为由对其否认，否则视为磋商有效期内撤回其竞争性磋商响应文件。</w:t>
      </w:r>
    </w:p>
    <w:p>
      <w:pPr>
        <w:numPr>
          <w:ilvl w:val="0"/>
          <w:numId w:val="2"/>
        </w:numPr>
        <w:tabs>
          <w:tab w:val="left" w:pos="360"/>
        </w:tabs>
        <w:spacing w:line="560" w:lineRule="exact"/>
        <w:rPr>
          <w:b/>
          <w:color w:val="000000"/>
          <w:sz w:val="24"/>
        </w:rPr>
      </w:pPr>
      <w:r>
        <w:rPr>
          <w:b/>
          <w:color w:val="000000"/>
          <w:sz w:val="24"/>
        </w:rPr>
        <w:t>评审价的确定</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因落实政府采购政策进行价格调整的，以调整后的价格计算磋商基准价和磋商报价得分。</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评审价不作为成交价和合同签约价，成交价和合同签约价仍以其竞争性磋商响应文件中的最终报价为准。</w:t>
      </w:r>
    </w:p>
    <w:p>
      <w:pPr>
        <w:numPr>
          <w:ilvl w:val="0"/>
          <w:numId w:val="2"/>
        </w:numPr>
        <w:tabs>
          <w:tab w:val="left" w:pos="360"/>
        </w:tabs>
        <w:spacing w:line="560" w:lineRule="exact"/>
        <w:rPr>
          <w:b/>
          <w:color w:val="000000"/>
          <w:sz w:val="24"/>
        </w:rPr>
      </w:pPr>
      <w:r>
        <w:rPr>
          <w:b/>
          <w:color w:val="000000"/>
          <w:sz w:val="24"/>
        </w:rPr>
        <w:t>政府采购政策</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本项目落实节能环保、小微型企业扶持等相关政府采购政策，详见“第二部分竞争性磋商项目资料表 ”。</w:t>
      </w:r>
    </w:p>
    <w:p>
      <w:pPr>
        <w:numPr>
          <w:ilvl w:val="0"/>
          <w:numId w:val="2"/>
        </w:numPr>
        <w:tabs>
          <w:tab w:val="left" w:pos="360"/>
        </w:tabs>
        <w:spacing w:line="560" w:lineRule="exact"/>
        <w:rPr>
          <w:b/>
          <w:color w:val="000000"/>
          <w:sz w:val="24"/>
        </w:rPr>
      </w:pPr>
      <w:r>
        <w:rPr>
          <w:b/>
          <w:color w:val="000000"/>
          <w:sz w:val="24"/>
        </w:rPr>
        <w:t>评分标准</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磋商小组采用综合评分法对递交最后报价的供应商的有效磋商响应文件和评审后的最终总报价进行综合评分。磋商小组应按照“评分办法”规定的方法、因素、标准进行评分。“评分办法”没有规定的方法、因素和标准，不作为综合评分依据。</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评分时，磋商小组各成员应当独立对每个有效响应的文件进行评价、打分，然后汇总每个供应商每项评分因素的得分。</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供应商的综合得分为磋商小组各成员评分的算术平均值，综合得分取至小数点后两位（第三位四舍五入）。</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评分方法见“第二部分竞争性磋商项目资料表 ”评分方法。</w:t>
      </w:r>
    </w:p>
    <w:p>
      <w:pPr>
        <w:numPr>
          <w:ilvl w:val="0"/>
          <w:numId w:val="2"/>
        </w:numPr>
        <w:tabs>
          <w:tab w:val="left" w:pos="360"/>
        </w:tabs>
        <w:spacing w:line="560" w:lineRule="exact"/>
        <w:rPr>
          <w:b/>
          <w:color w:val="000000"/>
          <w:sz w:val="24"/>
        </w:rPr>
      </w:pPr>
      <w:r>
        <w:rPr>
          <w:b/>
          <w:color w:val="000000"/>
          <w:sz w:val="24"/>
        </w:rPr>
        <w:t>评审结果</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评审结果按综合得分由高到低顺序排列推荐成交候选供应商。详见“第二部分竞争性磋商项目资料表 ”。</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磋商小组成员对需要共同认定的事项存在争议的，应当按照少数服从多数的原则作出结论。持不同意见的磋商小组成员应当在评审报告上签署不同意见及理由，否则视为同意评审报告。</w:t>
      </w:r>
    </w:p>
    <w:p>
      <w:pPr>
        <w:numPr>
          <w:ilvl w:val="1"/>
          <w:numId w:val="3"/>
        </w:numPr>
        <w:tabs>
          <w:tab w:val="left" w:pos="720"/>
        </w:tabs>
        <w:spacing w:line="520" w:lineRule="exact"/>
        <w:ind w:left="720" w:hanging="720" w:hangingChars="300"/>
        <w:rPr>
          <w:color w:val="000000"/>
          <w:sz w:val="24"/>
          <w:szCs w:val="28"/>
        </w:rPr>
      </w:pPr>
      <w:r>
        <w:rPr>
          <w:color w:val="000000"/>
          <w:sz w:val="24"/>
          <w:szCs w:val="24"/>
        </w:rPr>
        <w:t>出现下列情形之一的，采购人或者采购代理机构应当终止竞争性磋商采购活动，发布项目终止公告并说明原因，重新开展采购活动：</w:t>
      </w:r>
      <w:r>
        <w:rPr>
          <w:color w:val="000000"/>
          <w:sz w:val="24"/>
          <w:szCs w:val="24"/>
        </w:rPr>
        <w:br w:type="textWrapping"/>
      </w:r>
      <w:r>
        <w:rPr>
          <w:color w:val="000000"/>
          <w:sz w:val="24"/>
          <w:szCs w:val="24"/>
        </w:rPr>
        <w:t>（1）</w:t>
      </w:r>
      <w:r>
        <w:rPr>
          <w:color w:val="000000"/>
          <w:sz w:val="24"/>
          <w:szCs w:val="28"/>
        </w:rPr>
        <w:t>因情况变化，不再符合规定的竞争性磋商采购方式适用情形的；</w:t>
      </w:r>
      <w:r>
        <w:rPr>
          <w:color w:val="000000"/>
          <w:sz w:val="24"/>
          <w:szCs w:val="28"/>
        </w:rPr>
        <w:br w:type="textWrapping"/>
      </w:r>
      <w:r>
        <w:rPr>
          <w:color w:val="000000"/>
          <w:sz w:val="24"/>
          <w:szCs w:val="28"/>
        </w:rPr>
        <w:t>（2）出现影响采购公正的违法、违规行为的；</w:t>
      </w:r>
      <w:r>
        <w:rPr>
          <w:color w:val="000000"/>
          <w:sz w:val="24"/>
          <w:szCs w:val="28"/>
        </w:rPr>
        <w:br w:type="textWrapping"/>
      </w:r>
      <w:r>
        <w:rPr>
          <w:color w:val="000000"/>
          <w:sz w:val="24"/>
          <w:szCs w:val="28"/>
        </w:rPr>
        <w:t>（3）除财库〔2014〕214号第二十一条第三款规定的情形和以竞争性磋商方式采购的政府购买服务项目（含政府和社会资本合作项目）外，在采购过程中符合要求的供应商或者报价未超过最高限价的供应商不足3家的；</w:t>
      </w:r>
      <w:r>
        <w:rPr>
          <w:color w:val="000000"/>
          <w:sz w:val="24"/>
          <w:szCs w:val="28"/>
        </w:rPr>
        <w:br w:type="textWrapping"/>
      </w:r>
      <w:r>
        <w:rPr>
          <w:color w:val="000000"/>
          <w:sz w:val="24"/>
          <w:szCs w:val="28"/>
        </w:rPr>
        <w:t>（4）符合财库〔2014〕214号第二十一条第三款规定的情形或以竞争性磋商方式采购的政府购买服务项目（含政府和社会资本合作项目）时，在采购过程中符合要求的供应商或者报价未超过最高限价的供应商不足2家的。</w:t>
      </w:r>
    </w:p>
    <w:p>
      <w:pPr>
        <w:numPr>
          <w:ilvl w:val="0"/>
          <w:numId w:val="2"/>
        </w:numPr>
        <w:tabs>
          <w:tab w:val="left" w:pos="360"/>
        </w:tabs>
        <w:spacing w:line="560" w:lineRule="exact"/>
        <w:rPr>
          <w:b/>
          <w:color w:val="000000"/>
          <w:sz w:val="24"/>
        </w:rPr>
      </w:pPr>
      <w:r>
        <w:rPr>
          <w:b/>
          <w:color w:val="000000"/>
          <w:sz w:val="24"/>
        </w:rPr>
        <w:t>保密及其它注意事项</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评审是竞争性磋商采购工作的重要环节，评审工作在竞争性磋商小组内独立进行。</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竞争性磋商小组将遵照规定的评审方法，公正、平等地对待所有供应商。</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在评审期间，供应商不得向评委询问评审情况，不得进行旨在影响评审结果的活动。否则其竞争性磋商可能被拒绝。</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为保证评审的公正性，开标后直至授予供应商合同，竞争性磋商小组专家不得与供应商私下交换意见。</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在评审工作结束后，凡与评审情况有接触的任何人不得擅自将评审情况扩散出评审人员之外。</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政府采购当事人不得相互串通操纵政府采购活动或弄虚作假或有其他违法行为。</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参与磋商活动的各方应对竞争性磋商文件和磋商响应文件中的商业和技术等秘密保密，违者应对由此造成的后果承担法律责任。</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评审结束后，概不退还竞争性磋商响应文件。</w:t>
      </w:r>
    </w:p>
    <w:p>
      <w:pPr>
        <w:spacing w:line="560" w:lineRule="exact"/>
        <w:rPr>
          <w:color w:val="000000"/>
          <w:sz w:val="24"/>
        </w:rPr>
      </w:pPr>
    </w:p>
    <w:p>
      <w:pPr>
        <w:pStyle w:val="4"/>
        <w:numPr>
          <w:ilvl w:val="0"/>
          <w:numId w:val="1"/>
        </w:numPr>
        <w:tabs>
          <w:tab w:val="left" w:pos="405"/>
          <w:tab w:val="left" w:pos="721"/>
        </w:tabs>
        <w:spacing w:before="0" w:after="0" w:line="560" w:lineRule="exact"/>
        <w:rPr>
          <w:rFonts w:ascii="Times New Roman" w:hAnsi="Times New Roman" w:eastAsia="宋体"/>
          <w:color w:val="000000"/>
          <w:sz w:val="32"/>
          <w:szCs w:val="32"/>
        </w:rPr>
      </w:pPr>
      <w:r>
        <w:rPr>
          <w:rFonts w:ascii="Times New Roman" w:hAnsi="Times New Roman" w:eastAsia="宋体"/>
          <w:color w:val="000000"/>
          <w:sz w:val="32"/>
          <w:szCs w:val="32"/>
        </w:rPr>
        <w:t>授予合同</w:t>
      </w:r>
    </w:p>
    <w:p>
      <w:pPr>
        <w:numPr>
          <w:ilvl w:val="0"/>
          <w:numId w:val="2"/>
        </w:numPr>
        <w:tabs>
          <w:tab w:val="left" w:pos="360"/>
        </w:tabs>
        <w:spacing w:line="560" w:lineRule="exact"/>
        <w:rPr>
          <w:b/>
          <w:color w:val="000000"/>
          <w:sz w:val="24"/>
        </w:rPr>
      </w:pPr>
      <w:r>
        <w:rPr>
          <w:b/>
          <w:color w:val="000000"/>
          <w:sz w:val="24"/>
        </w:rPr>
        <w:t>成交供应商确定及成交结果的公告</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采购人应当在收到评审报告后5个工作日内，从评审报告提出的成交候选供应商中，按照综合得分排序由高到低的原则确定成交供应商，也可以书面授权磋商小组直接确定成交供应商。采购人逾期未确定成交供应商且不提出异议的，视为确定评审报告提出的排序第一的供应商为成交供应商。</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采购人或者集中采购机构应当自成交供应商确定之日起2个工作日内，发出成交通知书，并在《中国政府采购网》</w:t>
      </w:r>
      <w:r>
        <w:fldChar w:fldCharType="begin"/>
      </w:r>
      <w:r>
        <w:instrText xml:space="preserve"> HYPERLINK "http://www.ccgp-henan.gov.cn)和河南省政府采购网河南省公共资源交易网" </w:instrText>
      </w:r>
      <w:r>
        <w:fldChar w:fldCharType="separate"/>
      </w:r>
      <w:r>
        <w:rPr>
          <w:color w:val="000000"/>
          <w:sz w:val="24"/>
          <w:szCs w:val="24"/>
        </w:rPr>
        <w:t>、《河南省政府采购网》与《河南省公共资源交易网</w:t>
      </w:r>
      <w:r>
        <w:rPr>
          <w:color w:val="000000"/>
          <w:sz w:val="24"/>
          <w:szCs w:val="24"/>
        </w:rPr>
        <w:fldChar w:fldCharType="end"/>
      </w:r>
      <w:r>
        <w:rPr>
          <w:color w:val="000000"/>
          <w:sz w:val="24"/>
          <w:szCs w:val="24"/>
        </w:rPr>
        <w:t>》公告成交结果。成交供应商为小微企业（残疾人福利性单位）时，同时公告其声明函。公示期为一个工作日。</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供应商若对成交结果有异议，可以在成交结果公告发布之日起七个工作日内，按照财政部令94号令的规定，以书面形式同时向采购人和采购代理机构提出质疑，并以质疑函接受确认日期作为受理时间。逾期未提交或未按照要求提交或不符合法律法规规定的质疑函不予受理。</w:t>
      </w:r>
    </w:p>
    <w:p>
      <w:pPr>
        <w:numPr>
          <w:ilvl w:val="0"/>
          <w:numId w:val="2"/>
        </w:numPr>
        <w:tabs>
          <w:tab w:val="left" w:pos="360"/>
        </w:tabs>
        <w:spacing w:line="560" w:lineRule="exact"/>
        <w:rPr>
          <w:b/>
          <w:color w:val="000000"/>
          <w:sz w:val="24"/>
        </w:rPr>
      </w:pPr>
      <w:r>
        <w:rPr>
          <w:b/>
          <w:color w:val="000000"/>
          <w:sz w:val="24"/>
        </w:rPr>
        <w:t>成交通知书</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在成交结果公告发布后，采购人向成交供应商发出成交通知书。</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交易中心对未成交的供应商不做未成交原因的解释。</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成交通知书将作为进行合同磋商和签订合同的依据。</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成交通知书发出后，采购人不得违法改变成交结果，成交供应商无正当理由不得拒签合同。</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成交服务费：免费。</w:t>
      </w:r>
    </w:p>
    <w:p>
      <w:pPr>
        <w:numPr>
          <w:ilvl w:val="0"/>
          <w:numId w:val="2"/>
        </w:numPr>
        <w:tabs>
          <w:tab w:val="left" w:pos="360"/>
        </w:tabs>
        <w:spacing w:line="560" w:lineRule="exact"/>
        <w:rPr>
          <w:b/>
          <w:color w:val="000000"/>
          <w:sz w:val="24"/>
        </w:rPr>
      </w:pPr>
      <w:r>
        <w:rPr>
          <w:b/>
          <w:color w:val="000000"/>
          <w:sz w:val="24"/>
        </w:rPr>
        <w:t>签订合同</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采购人与成交供应商应当在成交通知书发出之日起 30 日内签订合同。</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竞争性磋商文件、成交供应商的竞争性磋商响应文件和澄清文件等，均应作为签约的合同文本的基础。所签订的合同不得对采购文件确定的事项和成交供应商响应文件作实质性修改。</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如成交供应商无正当理由拒绝签订合同的，采购人取消其成交资格。拒绝签订政府采购合同的成交供应商还应当按照响应承诺函约定对采购人支付违约赔偿金，并不得参加对该项目重新开展的采购活动。</w:t>
      </w:r>
    </w:p>
    <w:p>
      <w:pPr>
        <w:numPr>
          <w:ilvl w:val="0"/>
          <w:numId w:val="2"/>
        </w:numPr>
        <w:tabs>
          <w:tab w:val="left" w:pos="360"/>
        </w:tabs>
        <w:spacing w:line="560" w:lineRule="exact"/>
        <w:rPr>
          <w:b/>
          <w:color w:val="000000"/>
          <w:sz w:val="24"/>
        </w:rPr>
      </w:pPr>
      <w:r>
        <w:rPr>
          <w:b/>
          <w:color w:val="000000"/>
          <w:sz w:val="24"/>
        </w:rPr>
        <w:t>履约保证金</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成交供应商应采用竞争性磋商文件中规定的履约保证金数量、形式向采购人提交履约保证金。</w:t>
      </w:r>
    </w:p>
    <w:p>
      <w:pPr>
        <w:numPr>
          <w:ilvl w:val="0"/>
          <w:numId w:val="2"/>
        </w:numPr>
        <w:tabs>
          <w:tab w:val="left" w:pos="360"/>
        </w:tabs>
        <w:spacing w:line="560" w:lineRule="exact"/>
        <w:rPr>
          <w:b/>
          <w:color w:val="000000"/>
          <w:sz w:val="24"/>
        </w:rPr>
      </w:pPr>
      <w:r>
        <w:rPr>
          <w:b/>
          <w:color w:val="000000"/>
          <w:sz w:val="24"/>
        </w:rPr>
        <w:t>其他</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成交供应商拒绝签订政府采购合同的，采购人可以按照评审报告推荐成交候选供应商的顺序确定下一供应商作为成交供应商并签订政府采购合同，也可以重新开展采购活动。</w:t>
      </w:r>
    </w:p>
    <w:p>
      <w:pPr>
        <w:numPr>
          <w:ilvl w:val="1"/>
          <w:numId w:val="2"/>
        </w:numPr>
        <w:tabs>
          <w:tab w:val="left" w:pos="720"/>
        </w:tabs>
        <w:spacing w:line="560" w:lineRule="exact"/>
        <w:ind w:left="720" w:hanging="720" w:hangingChars="300"/>
        <w:rPr>
          <w:color w:val="000000"/>
          <w:sz w:val="24"/>
          <w:szCs w:val="24"/>
        </w:rPr>
      </w:pPr>
      <w:r>
        <w:rPr>
          <w:color w:val="000000"/>
          <w:sz w:val="24"/>
          <w:szCs w:val="24"/>
        </w:rPr>
        <w:t>如出现重大变故、采购任务取消情况，交易中心和采购人保留因此原因在授标之前任何时候接受或拒绝任何竞争性磋商响应、以及宣布竞争性磋商采购无效或拒绝所有竞争性磋商响应的权力，对受影响的供应商不承担任何责任。</w:t>
      </w:r>
    </w:p>
    <w:p>
      <w:pPr>
        <w:numPr>
          <w:ilvl w:val="1"/>
          <w:numId w:val="2"/>
        </w:numPr>
        <w:tabs>
          <w:tab w:val="left" w:pos="720"/>
        </w:tabs>
        <w:spacing w:line="560" w:lineRule="exact"/>
        <w:ind w:left="720" w:hanging="720" w:hangingChars="300"/>
        <w:rPr>
          <w:color w:val="000000"/>
          <w:sz w:val="24"/>
          <w:szCs w:val="24"/>
        </w:rPr>
        <w:sectPr>
          <w:headerReference r:id="rId5" w:type="default"/>
          <w:footerReference r:id="rId6" w:type="default"/>
          <w:pgSz w:w="11906" w:h="16838"/>
          <w:pgMar w:top="1247" w:right="1418" w:bottom="1247" w:left="1701" w:header="851" w:footer="992" w:gutter="0"/>
          <w:cols w:space="720" w:num="1"/>
          <w:titlePg/>
          <w:docGrid w:linePitch="312" w:charSpace="0"/>
        </w:sectPr>
      </w:pPr>
      <w:bookmarkStart w:id="36" w:name="_Toc536445013"/>
    </w:p>
    <w:p>
      <w:pPr>
        <w:pStyle w:val="6"/>
        <w:spacing w:line="520" w:lineRule="exact"/>
        <w:ind w:firstLine="0" w:firstLineChars="0"/>
        <w:jc w:val="center"/>
        <w:outlineLvl w:val="0"/>
        <w:rPr>
          <w:rFonts w:eastAsia="黑体"/>
          <w:b/>
          <w:kern w:val="2"/>
          <w:sz w:val="44"/>
          <w:szCs w:val="44"/>
        </w:rPr>
      </w:pPr>
      <w:bookmarkStart w:id="37" w:name="_Toc44604849"/>
      <w:r>
        <w:rPr>
          <w:rFonts w:eastAsia="黑体"/>
          <w:b/>
          <w:kern w:val="2"/>
          <w:sz w:val="44"/>
          <w:szCs w:val="44"/>
        </w:rPr>
        <w:t>第四部分合同格式</w:t>
      </w:r>
      <w:bookmarkEnd w:id="36"/>
      <w:bookmarkEnd w:id="37"/>
    </w:p>
    <w:p>
      <w:pPr>
        <w:tabs>
          <w:tab w:val="left" w:pos="840"/>
        </w:tabs>
        <w:spacing w:line="360" w:lineRule="auto"/>
        <w:jc w:val="center"/>
        <w:rPr>
          <w:b/>
          <w:color w:val="000000"/>
          <w:sz w:val="24"/>
        </w:rPr>
      </w:pPr>
    </w:p>
    <w:p>
      <w:pPr>
        <w:tabs>
          <w:tab w:val="left" w:pos="840"/>
        </w:tabs>
        <w:spacing w:line="360" w:lineRule="auto"/>
        <w:jc w:val="center"/>
        <w:rPr>
          <w:b/>
          <w:color w:val="000000"/>
          <w:sz w:val="24"/>
        </w:rPr>
      </w:pPr>
      <w:bookmarkStart w:id="38" w:name="_Toc44604850"/>
      <w:bookmarkStart w:id="39" w:name="_Toc536445015"/>
      <w:r>
        <w:rPr>
          <w:b/>
          <w:color w:val="000000"/>
          <w:sz w:val="24"/>
        </w:rPr>
        <w:t>一、总则</w:t>
      </w:r>
    </w:p>
    <w:p>
      <w:pPr>
        <w:tabs>
          <w:tab w:val="left" w:pos="840"/>
        </w:tabs>
        <w:spacing w:line="360" w:lineRule="auto"/>
        <w:ind w:left="1"/>
        <w:rPr>
          <w:color w:val="000000"/>
          <w:sz w:val="24"/>
        </w:rPr>
      </w:pPr>
      <w:r>
        <w:rPr>
          <w:b/>
          <w:color w:val="000000"/>
          <w:sz w:val="24"/>
        </w:rPr>
        <w:t>第一条</w:t>
      </w:r>
      <w:r>
        <w:rPr>
          <w:color w:val="000000"/>
          <w:sz w:val="24"/>
        </w:rPr>
        <w:t>合同当事人</w:t>
      </w:r>
    </w:p>
    <w:p>
      <w:pPr>
        <w:spacing w:line="360" w:lineRule="auto"/>
        <w:rPr>
          <w:color w:val="000000"/>
          <w:sz w:val="24"/>
        </w:rPr>
      </w:pPr>
      <w:r>
        <w:rPr>
          <w:color w:val="000000"/>
          <w:sz w:val="24"/>
        </w:rPr>
        <w:t>甲方（采购人）：</w:t>
      </w:r>
    </w:p>
    <w:p>
      <w:pPr>
        <w:spacing w:line="360" w:lineRule="auto"/>
        <w:rPr>
          <w:color w:val="000000"/>
          <w:sz w:val="24"/>
        </w:rPr>
      </w:pPr>
      <w:r>
        <w:rPr>
          <w:color w:val="000000"/>
          <w:sz w:val="24"/>
        </w:rPr>
        <w:t>乙方（</w:t>
      </w:r>
      <w:r>
        <w:rPr>
          <w:rFonts w:hint="eastAsia"/>
          <w:color w:val="000000"/>
          <w:sz w:val="24"/>
        </w:rPr>
        <w:t>成交</w:t>
      </w:r>
      <w:r>
        <w:rPr>
          <w:color w:val="000000"/>
          <w:sz w:val="24"/>
        </w:rPr>
        <w:t>供应商）：</w:t>
      </w:r>
    </w:p>
    <w:p>
      <w:pPr>
        <w:spacing w:line="400" w:lineRule="exact"/>
        <w:ind w:firstLine="480" w:firstLineChars="200"/>
        <w:rPr>
          <w:color w:val="000000"/>
          <w:sz w:val="24"/>
        </w:rPr>
      </w:pPr>
      <w:r>
        <w:rPr>
          <w:color w:val="000000"/>
          <w:sz w:val="24"/>
        </w:rPr>
        <w:t>根据《中华人民共和国合同法》、《中华人民共和国政府采购法》，竞争性磋商文件的要求和采购结果，经甲乙双方协商一致，签订本合同。双方共同遵守如下条款（其他有关合同项目的特定信息由合同附件予以说明，合同附件及本项目的竞争性磋商文件、竞争性磋商响应文件、成交通知书、在实施过程中双方共同签署的补充文件等均为本合同不可分割之一部分）。</w:t>
      </w:r>
    </w:p>
    <w:p>
      <w:pPr>
        <w:tabs>
          <w:tab w:val="left" w:pos="840"/>
        </w:tabs>
        <w:spacing w:line="400" w:lineRule="exact"/>
        <w:jc w:val="center"/>
        <w:rPr>
          <w:b/>
          <w:color w:val="000000"/>
          <w:sz w:val="24"/>
        </w:rPr>
      </w:pPr>
      <w:r>
        <w:rPr>
          <w:b/>
          <w:color w:val="000000"/>
          <w:sz w:val="24"/>
        </w:rPr>
        <w:t>二、合同标的</w:t>
      </w:r>
    </w:p>
    <w:p>
      <w:pPr>
        <w:tabs>
          <w:tab w:val="left" w:pos="840"/>
        </w:tabs>
        <w:spacing w:line="400" w:lineRule="exact"/>
        <w:ind w:left="1"/>
        <w:rPr>
          <w:color w:val="000000"/>
          <w:sz w:val="24"/>
        </w:rPr>
      </w:pPr>
      <w:r>
        <w:rPr>
          <w:b/>
          <w:color w:val="000000"/>
          <w:sz w:val="24"/>
        </w:rPr>
        <w:t>第二条</w:t>
      </w:r>
      <w:r>
        <w:rPr>
          <w:color w:val="000000"/>
          <w:sz w:val="24"/>
        </w:rPr>
        <w:t>乙方根据甲方要求提供以下货物：</w:t>
      </w:r>
    </w:p>
    <w:tbl>
      <w:tblPr>
        <w:tblStyle w:val="16"/>
        <w:tblW w:w="902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1461"/>
        <w:gridCol w:w="696"/>
        <w:gridCol w:w="1043"/>
        <w:gridCol w:w="1043"/>
        <w:gridCol w:w="1392"/>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647" w:type="dxa"/>
            <w:vAlign w:val="center"/>
          </w:tcPr>
          <w:p>
            <w:pPr>
              <w:spacing w:line="400" w:lineRule="exact"/>
              <w:jc w:val="center"/>
              <w:rPr>
                <w:color w:val="000000"/>
                <w:sz w:val="24"/>
              </w:rPr>
            </w:pPr>
            <w:r>
              <w:rPr>
                <w:color w:val="000000"/>
                <w:sz w:val="24"/>
              </w:rPr>
              <w:t>货物品名</w:t>
            </w:r>
          </w:p>
        </w:tc>
        <w:tc>
          <w:tcPr>
            <w:tcW w:w="1461" w:type="dxa"/>
            <w:vAlign w:val="center"/>
          </w:tcPr>
          <w:p>
            <w:pPr>
              <w:spacing w:line="400" w:lineRule="exact"/>
              <w:jc w:val="center"/>
              <w:rPr>
                <w:color w:val="000000"/>
                <w:sz w:val="24"/>
              </w:rPr>
            </w:pPr>
            <w:r>
              <w:rPr>
                <w:color w:val="000000"/>
                <w:sz w:val="24"/>
              </w:rPr>
              <w:t>规格型号</w:t>
            </w:r>
          </w:p>
        </w:tc>
        <w:tc>
          <w:tcPr>
            <w:tcW w:w="696" w:type="dxa"/>
            <w:vAlign w:val="center"/>
          </w:tcPr>
          <w:p>
            <w:pPr>
              <w:spacing w:line="400" w:lineRule="exact"/>
              <w:jc w:val="center"/>
              <w:rPr>
                <w:color w:val="000000"/>
                <w:sz w:val="24"/>
              </w:rPr>
            </w:pPr>
            <w:r>
              <w:rPr>
                <w:color w:val="000000"/>
                <w:sz w:val="24"/>
              </w:rPr>
              <w:t>单位</w:t>
            </w:r>
          </w:p>
        </w:tc>
        <w:tc>
          <w:tcPr>
            <w:tcW w:w="1043" w:type="dxa"/>
            <w:vAlign w:val="center"/>
          </w:tcPr>
          <w:p>
            <w:pPr>
              <w:spacing w:line="400" w:lineRule="exact"/>
              <w:ind w:left="120"/>
              <w:rPr>
                <w:color w:val="000000"/>
                <w:sz w:val="24"/>
              </w:rPr>
            </w:pPr>
            <w:r>
              <w:rPr>
                <w:color w:val="000000"/>
                <w:sz w:val="24"/>
              </w:rPr>
              <w:t>数量</w:t>
            </w:r>
          </w:p>
        </w:tc>
        <w:tc>
          <w:tcPr>
            <w:tcW w:w="1043" w:type="dxa"/>
            <w:vAlign w:val="center"/>
          </w:tcPr>
          <w:p>
            <w:pPr>
              <w:spacing w:line="400" w:lineRule="exact"/>
              <w:jc w:val="center"/>
              <w:rPr>
                <w:color w:val="000000"/>
                <w:sz w:val="24"/>
              </w:rPr>
            </w:pPr>
            <w:r>
              <w:rPr>
                <w:color w:val="000000"/>
                <w:sz w:val="24"/>
              </w:rPr>
              <w:t>单价</w:t>
            </w:r>
          </w:p>
        </w:tc>
        <w:tc>
          <w:tcPr>
            <w:tcW w:w="1392" w:type="dxa"/>
            <w:vAlign w:val="center"/>
          </w:tcPr>
          <w:p>
            <w:pPr>
              <w:spacing w:line="400" w:lineRule="exact"/>
              <w:jc w:val="center"/>
              <w:rPr>
                <w:color w:val="000000"/>
                <w:sz w:val="24"/>
              </w:rPr>
            </w:pPr>
            <w:r>
              <w:rPr>
                <w:color w:val="000000"/>
                <w:sz w:val="24"/>
              </w:rPr>
              <w:t>总价</w:t>
            </w:r>
          </w:p>
        </w:tc>
        <w:tc>
          <w:tcPr>
            <w:tcW w:w="1739" w:type="dxa"/>
            <w:vAlign w:val="center"/>
          </w:tcPr>
          <w:p>
            <w:pPr>
              <w:spacing w:line="400" w:lineRule="exact"/>
              <w:jc w:val="center"/>
              <w:rPr>
                <w:color w:val="000000"/>
                <w:sz w:val="24"/>
              </w:rPr>
            </w:pPr>
            <w:r>
              <w:rPr>
                <w:color w:val="000000"/>
                <w:sz w:val="24"/>
              </w:rPr>
              <w:t>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647" w:type="dxa"/>
            <w:vAlign w:val="center"/>
          </w:tcPr>
          <w:p>
            <w:pPr>
              <w:spacing w:line="400" w:lineRule="exact"/>
              <w:jc w:val="center"/>
              <w:rPr>
                <w:color w:val="000000"/>
                <w:sz w:val="24"/>
              </w:rPr>
            </w:pPr>
          </w:p>
        </w:tc>
        <w:tc>
          <w:tcPr>
            <w:tcW w:w="1461" w:type="dxa"/>
            <w:vAlign w:val="center"/>
          </w:tcPr>
          <w:p>
            <w:pPr>
              <w:spacing w:line="400" w:lineRule="exact"/>
              <w:jc w:val="center"/>
              <w:rPr>
                <w:color w:val="000000"/>
                <w:sz w:val="24"/>
              </w:rPr>
            </w:pPr>
          </w:p>
        </w:tc>
        <w:tc>
          <w:tcPr>
            <w:tcW w:w="696" w:type="dxa"/>
            <w:vAlign w:val="center"/>
          </w:tcPr>
          <w:p>
            <w:pPr>
              <w:spacing w:line="400" w:lineRule="exact"/>
              <w:jc w:val="center"/>
              <w:rPr>
                <w:color w:val="000000"/>
                <w:sz w:val="24"/>
              </w:rPr>
            </w:pPr>
          </w:p>
        </w:tc>
        <w:tc>
          <w:tcPr>
            <w:tcW w:w="1043" w:type="dxa"/>
            <w:vAlign w:val="center"/>
          </w:tcPr>
          <w:p>
            <w:pPr>
              <w:spacing w:line="400" w:lineRule="exact"/>
              <w:jc w:val="center"/>
              <w:rPr>
                <w:color w:val="000000"/>
                <w:sz w:val="24"/>
              </w:rPr>
            </w:pPr>
          </w:p>
        </w:tc>
        <w:tc>
          <w:tcPr>
            <w:tcW w:w="1043" w:type="dxa"/>
            <w:vAlign w:val="center"/>
          </w:tcPr>
          <w:p>
            <w:pPr>
              <w:spacing w:line="400" w:lineRule="exact"/>
              <w:jc w:val="center"/>
              <w:rPr>
                <w:color w:val="000000"/>
                <w:sz w:val="24"/>
              </w:rPr>
            </w:pPr>
          </w:p>
        </w:tc>
        <w:tc>
          <w:tcPr>
            <w:tcW w:w="1392" w:type="dxa"/>
            <w:vAlign w:val="center"/>
          </w:tcPr>
          <w:p>
            <w:pPr>
              <w:spacing w:line="400" w:lineRule="exact"/>
              <w:jc w:val="center"/>
              <w:rPr>
                <w:color w:val="000000"/>
                <w:sz w:val="24"/>
              </w:rPr>
            </w:pPr>
          </w:p>
        </w:tc>
        <w:tc>
          <w:tcPr>
            <w:tcW w:w="1739" w:type="dxa"/>
            <w:vAlign w:val="center"/>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647" w:type="dxa"/>
            <w:vAlign w:val="center"/>
          </w:tcPr>
          <w:p>
            <w:pPr>
              <w:spacing w:line="400" w:lineRule="exact"/>
              <w:jc w:val="center"/>
              <w:rPr>
                <w:color w:val="000000"/>
                <w:sz w:val="24"/>
              </w:rPr>
            </w:pPr>
          </w:p>
        </w:tc>
        <w:tc>
          <w:tcPr>
            <w:tcW w:w="1461" w:type="dxa"/>
            <w:vAlign w:val="center"/>
          </w:tcPr>
          <w:p>
            <w:pPr>
              <w:spacing w:line="400" w:lineRule="exact"/>
              <w:jc w:val="center"/>
              <w:rPr>
                <w:color w:val="000000"/>
                <w:sz w:val="24"/>
              </w:rPr>
            </w:pPr>
          </w:p>
        </w:tc>
        <w:tc>
          <w:tcPr>
            <w:tcW w:w="696" w:type="dxa"/>
            <w:vAlign w:val="center"/>
          </w:tcPr>
          <w:p>
            <w:pPr>
              <w:spacing w:line="400" w:lineRule="exact"/>
              <w:jc w:val="center"/>
              <w:rPr>
                <w:color w:val="000000"/>
                <w:sz w:val="24"/>
              </w:rPr>
            </w:pPr>
          </w:p>
        </w:tc>
        <w:tc>
          <w:tcPr>
            <w:tcW w:w="1043" w:type="dxa"/>
            <w:vAlign w:val="center"/>
          </w:tcPr>
          <w:p>
            <w:pPr>
              <w:spacing w:line="400" w:lineRule="exact"/>
              <w:jc w:val="center"/>
              <w:rPr>
                <w:color w:val="000000"/>
                <w:sz w:val="24"/>
              </w:rPr>
            </w:pPr>
          </w:p>
        </w:tc>
        <w:tc>
          <w:tcPr>
            <w:tcW w:w="1043" w:type="dxa"/>
            <w:vAlign w:val="center"/>
          </w:tcPr>
          <w:p>
            <w:pPr>
              <w:spacing w:line="400" w:lineRule="exact"/>
              <w:jc w:val="center"/>
              <w:rPr>
                <w:color w:val="000000"/>
                <w:sz w:val="24"/>
              </w:rPr>
            </w:pPr>
          </w:p>
        </w:tc>
        <w:tc>
          <w:tcPr>
            <w:tcW w:w="1392" w:type="dxa"/>
            <w:vAlign w:val="center"/>
          </w:tcPr>
          <w:p>
            <w:pPr>
              <w:spacing w:line="400" w:lineRule="exact"/>
              <w:jc w:val="center"/>
              <w:rPr>
                <w:color w:val="000000"/>
                <w:sz w:val="24"/>
              </w:rPr>
            </w:pPr>
          </w:p>
        </w:tc>
        <w:tc>
          <w:tcPr>
            <w:tcW w:w="1739" w:type="dxa"/>
            <w:vAlign w:val="center"/>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647" w:type="dxa"/>
            <w:vAlign w:val="center"/>
          </w:tcPr>
          <w:p>
            <w:pPr>
              <w:spacing w:line="400" w:lineRule="exact"/>
              <w:jc w:val="center"/>
              <w:rPr>
                <w:color w:val="000000"/>
                <w:sz w:val="24"/>
              </w:rPr>
            </w:pPr>
          </w:p>
        </w:tc>
        <w:tc>
          <w:tcPr>
            <w:tcW w:w="1461" w:type="dxa"/>
            <w:vAlign w:val="center"/>
          </w:tcPr>
          <w:p>
            <w:pPr>
              <w:spacing w:line="400" w:lineRule="exact"/>
              <w:jc w:val="center"/>
              <w:rPr>
                <w:color w:val="000000"/>
                <w:sz w:val="24"/>
              </w:rPr>
            </w:pPr>
          </w:p>
        </w:tc>
        <w:tc>
          <w:tcPr>
            <w:tcW w:w="696" w:type="dxa"/>
            <w:vAlign w:val="center"/>
          </w:tcPr>
          <w:p>
            <w:pPr>
              <w:spacing w:line="400" w:lineRule="exact"/>
              <w:jc w:val="center"/>
              <w:rPr>
                <w:color w:val="000000"/>
                <w:sz w:val="24"/>
              </w:rPr>
            </w:pPr>
          </w:p>
        </w:tc>
        <w:tc>
          <w:tcPr>
            <w:tcW w:w="1043" w:type="dxa"/>
            <w:vAlign w:val="center"/>
          </w:tcPr>
          <w:p>
            <w:pPr>
              <w:spacing w:line="400" w:lineRule="exact"/>
              <w:jc w:val="center"/>
              <w:rPr>
                <w:color w:val="000000"/>
                <w:sz w:val="24"/>
              </w:rPr>
            </w:pPr>
          </w:p>
        </w:tc>
        <w:tc>
          <w:tcPr>
            <w:tcW w:w="1043" w:type="dxa"/>
            <w:vAlign w:val="center"/>
          </w:tcPr>
          <w:p>
            <w:pPr>
              <w:spacing w:line="400" w:lineRule="exact"/>
              <w:jc w:val="center"/>
              <w:rPr>
                <w:color w:val="000000"/>
                <w:sz w:val="24"/>
              </w:rPr>
            </w:pPr>
          </w:p>
        </w:tc>
        <w:tc>
          <w:tcPr>
            <w:tcW w:w="1392" w:type="dxa"/>
            <w:vAlign w:val="center"/>
          </w:tcPr>
          <w:p>
            <w:pPr>
              <w:spacing w:line="400" w:lineRule="exact"/>
              <w:jc w:val="center"/>
              <w:rPr>
                <w:color w:val="000000"/>
                <w:sz w:val="24"/>
              </w:rPr>
            </w:pPr>
          </w:p>
        </w:tc>
        <w:tc>
          <w:tcPr>
            <w:tcW w:w="1739" w:type="dxa"/>
            <w:vAlign w:val="center"/>
          </w:tcPr>
          <w:p>
            <w:pPr>
              <w:spacing w:line="400" w:lineRule="exact"/>
              <w:jc w:val="center"/>
              <w:rPr>
                <w:color w:val="000000"/>
                <w:sz w:val="24"/>
              </w:rPr>
            </w:pPr>
          </w:p>
        </w:tc>
      </w:tr>
    </w:tbl>
    <w:p>
      <w:pPr>
        <w:tabs>
          <w:tab w:val="left" w:pos="840"/>
        </w:tabs>
        <w:spacing w:line="440" w:lineRule="exact"/>
        <w:jc w:val="center"/>
        <w:rPr>
          <w:b/>
          <w:color w:val="000000"/>
          <w:sz w:val="24"/>
        </w:rPr>
      </w:pPr>
      <w:r>
        <w:rPr>
          <w:b/>
          <w:color w:val="000000"/>
          <w:sz w:val="24"/>
        </w:rPr>
        <w:t>三、质量</w:t>
      </w:r>
    </w:p>
    <w:p>
      <w:pPr>
        <w:tabs>
          <w:tab w:val="left" w:pos="840"/>
        </w:tabs>
        <w:spacing w:line="440" w:lineRule="exact"/>
        <w:rPr>
          <w:color w:val="000000"/>
          <w:sz w:val="24"/>
        </w:rPr>
      </w:pPr>
      <w:r>
        <w:rPr>
          <w:b/>
          <w:color w:val="000000"/>
          <w:sz w:val="24"/>
        </w:rPr>
        <w:t>第三条</w:t>
      </w:r>
      <w:r>
        <w:rPr>
          <w:color w:val="000000"/>
          <w:sz w:val="24"/>
        </w:rPr>
        <w:t>货物质量</w:t>
      </w:r>
    </w:p>
    <w:p>
      <w:pPr>
        <w:widowControl/>
        <w:numPr>
          <w:ilvl w:val="1"/>
          <w:numId w:val="4"/>
        </w:numPr>
        <w:spacing w:line="440" w:lineRule="exact"/>
        <w:ind w:left="0" w:firstLine="425"/>
        <w:jc w:val="left"/>
        <w:rPr>
          <w:color w:val="000000"/>
          <w:sz w:val="24"/>
        </w:rPr>
      </w:pPr>
      <w:r>
        <w:rPr>
          <w:color w:val="000000"/>
          <w:sz w:val="24"/>
        </w:rPr>
        <w:t>乙方须提供全新的、未使用过的货物，是目前的型号，其质量、规格及技术特征符合合同附件的要求。</w:t>
      </w:r>
    </w:p>
    <w:p>
      <w:pPr>
        <w:widowControl/>
        <w:numPr>
          <w:ilvl w:val="1"/>
          <w:numId w:val="4"/>
        </w:numPr>
        <w:spacing w:line="440" w:lineRule="exact"/>
        <w:ind w:left="0" w:firstLine="425"/>
        <w:jc w:val="left"/>
        <w:rPr>
          <w:color w:val="000000"/>
          <w:sz w:val="24"/>
        </w:rPr>
      </w:pPr>
      <w:r>
        <w:rPr>
          <w:color w:val="000000"/>
          <w:sz w:val="24"/>
        </w:rPr>
        <w:t>产品必须提供出厂合格证。（中国境内制造的产品必须提供出厂合格证。）</w:t>
      </w:r>
    </w:p>
    <w:p>
      <w:pPr>
        <w:widowControl/>
        <w:numPr>
          <w:ilvl w:val="1"/>
          <w:numId w:val="4"/>
        </w:numPr>
        <w:spacing w:line="440" w:lineRule="exact"/>
        <w:ind w:left="0" w:firstLine="425"/>
        <w:jc w:val="left"/>
        <w:rPr>
          <w:color w:val="000000"/>
          <w:sz w:val="24"/>
        </w:rPr>
      </w:pPr>
      <w:r>
        <w:rPr>
          <w:color w:val="000000"/>
          <w:sz w:val="24"/>
        </w:rPr>
        <w:t>货物制造质量出现问题，乙方应负责三包（包修、包换、包退），费用由乙方负责。</w:t>
      </w:r>
    </w:p>
    <w:p>
      <w:pPr>
        <w:widowControl/>
        <w:numPr>
          <w:ilvl w:val="1"/>
          <w:numId w:val="4"/>
        </w:numPr>
        <w:spacing w:line="440" w:lineRule="exact"/>
        <w:ind w:left="0" w:firstLine="425"/>
        <w:jc w:val="left"/>
        <w:rPr>
          <w:color w:val="000000"/>
          <w:sz w:val="24"/>
        </w:rPr>
      </w:pPr>
      <w:r>
        <w:rPr>
          <w:color w:val="000000"/>
          <w:sz w:val="24"/>
        </w:rPr>
        <w:t>货到现场后由于甲方保管不当造成的质量问题，乙方亦应负责修理，但费用由甲方负担。</w:t>
      </w:r>
    </w:p>
    <w:p>
      <w:pPr>
        <w:tabs>
          <w:tab w:val="left" w:pos="840"/>
        </w:tabs>
        <w:spacing w:line="440" w:lineRule="exact"/>
        <w:jc w:val="center"/>
        <w:rPr>
          <w:b/>
          <w:color w:val="000000"/>
          <w:sz w:val="24"/>
        </w:rPr>
      </w:pPr>
      <w:r>
        <w:rPr>
          <w:b/>
          <w:color w:val="000000"/>
          <w:sz w:val="24"/>
        </w:rPr>
        <w:t>四、交货与验收</w:t>
      </w:r>
    </w:p>
    <w:p>
      <w:pPr>
        <w:tabs>
          <w:tab w:val="left" w:pos="840"/>
        </w:tabs>
        <w:spacing w:line="440" w:lineRule="exact"/>
        <w:ind w:left="1"/>
        <w:rPr>
          <w:b/>
          <w:color w:val="000000"/>
          <w:sz w:val="24"/>
        </w:rPr>
      </w:pPr>
      <w:r>
        <w:rPr>
          <w:b/>
          <w:color w:val="000000"/>
          <w:sz w:val="24"/>
        </w:rPr>
        <w:t>第四条</w:t>
      </w:r>
      <w:r>
        <w:rPr>
          <w:color w:val="000000"/>
          <w:sz w:val="24"/>
        </w:rPr>
        <w:t>交货验收、安装调试必须在合同签订后天内完成。</w:t>
      </w:r>
    </w:p>
    <w:p>
      <w:pPr>
        <w:tabs>
          <w:tab w:val="left" w:pos="840"/>
        </w:tabs>
        <w:spacing w:line="440" w:lineRule="exact"/>
        <w:ind w:left="1"/>
        <w:rPr>
          <w:b/>
          <w:color w:val="000000"/>
          <w:sz w:val="24"/>
        </w:rPr>
      </w:pPr>
      <w:r>
        <w:rPr>
          <w:b/>
          <w:color w:val="000000"/>
          <w:sz w:val="24"/>
        </w:rPr>
        <w:t>第五条</w:t>
      </w:r>
      <w:r>
        <w:rPr>
          <w:color w:val="000000"/>
          <w:sz w:val="24"/>
        </w:rPr>
        <w:t>交货地点：甲方指定地点。</w:t>
      </w:r>
    </w:p>
    <w:p>
      <w:pPr>
        <w:tabs>
          <w:tab w:val="left" w:pos="840"/>
        </w:tabs>
        <w:spacing w:line="440" w:lineRule="exact"/>
        <w:ind w:left="1"/>
        <w:rPr>
          <w:color w:val="000000"/>
          <w:sz w:val="24"/>
        </w:rPr>
      </w:pPr>
      <w:r>
        <w:rPr>
          <w:b/>
          <w:color w:val="000000"/>
          <w:sz w:val="24"/>
        </w:rPr>
        <w:t>第六条</w:t>
      </w:r>
      <w:r>
        <w:rPr>
          <w:color w:val="000000"/>
          <w:sz w:val="24"/>
        </w:rPr>
        <w:t>由甲方与乙方一起进行到货验收，由乙方免费完成货物的安装调试工作并交付甲方使用。</w:t>
      </w:r>
    </w:p>
    <w:p>
      <w:pPr>
        <w:tabs>
          <w:tab w:val="left" w:pos="840"/>
        </w:tabs>
        <w:spacing w:line="440" w:lineRule="exact"/>
        <w:ind w:left="1"/>
        <w:rPr>
          <w:color w:val="000000"/>
          <w:sz w:val="24"/>
        </w:rPr>
      </w:pPr>
      <w:r>
        <w:rPr>
          <w:b/>
          <w:color w:val="000000"/>
          <w:sz w:val="24"/>
        </w:rPr>
        <w:t>第七条</w:t>
      </w:r>
      <w:r>
        <w:rPr>
          <w:color w:val="000000"/>
          <w:sz w:val="24"/>
        </w:rPr>
        <w:t>乙方应将所提供货物的装箱清单、用户手册、原厂保修卡、随品资料及配件、工具等交付给甲方；乙方不能完整交付货物及本款规定的单证和工具的，视为未按合同约定供货，乙方必须负责补齐，因此导致逾期交付的，由乙方承担相关的违约责任。</w:t>
      </w:r>
    </w:p>
    <w:p>
      <w:pPr>
        <w:tabs>
          <w:tab w:val="left" w:pos="840"/>
        </w:tabs>
        <w:spacing w:line="440" w:lineRule="exact"/>
        <w:jc w:val="center"/>
        <w:rPr>
          <w:b/>
          <w:color w:val="000000"/>
          <w:sz w:val="24"/>
        </w:rPr>
      </w:pPr>
      <w:r>
        <w:rPr>
          <w:b/>
          <w:color w:val="000000"/>
          <w:sz w:val="24"/>
        </w:rPr>
        <w:t>五、合同金额及付款方式</w:t>
      </w:r>
    </w:p>
    <w:p>
      <w:pPr>
        <w:tabs>
          <w:tab w:val="left" w:pos="840"/>
        </w:tabs>
        <w:spacing w:line="440" w:lineRule="exact"/>
        <w:ind w:left="1"/>
        <w:rPr>
          <w:color w:val="000000"/>
          <w:sz w:val="24"/>
        </w:rPr>
      </w:pPr>
      <w:r>
        <w:rPr>
          <w:b/>
          <w:color w:val="000000"/>
          <w:sz w:val="24"/>
        </w:rPr>
        <w:t>第八条</w:t>
      </w:r>
      <w:r>
        <w:rPr>
          <w:color w:val="000000"/>
          <w:sz w:val="24"/>
        </w:rPr>
        <w:t>合同金额</w:t>
      </w:r>
    </w:p>
    <w:p>
      <w:pPr>
        <w:spacing w:line="440" w:lineRule="exact"/>
        <w:ind w:firstLine="480" w:firstLineChars="200"/>
        <w:rPr>
          <w:color w:val="000000"/>
          <w:sz w:val="24"/>
        </w:rPr>
      </w:pPr>
      <w:r>
        <w:rPr>
          <w:color w:val="000000"/>
          <w:sz w:val="24"/>
        </w:rPr>
        <w:t>本合同金额为人民币（大写）元整（￥元）。该合同总价是货物设计、制造、包装、运输、安装调试、检测及验收合格之前及质保期内服务及备品备件发生的所有含税费用。本合同执行期间合同总价不变。</w:t>
      </w:r>
    </w:p>
    <w:p>
      <w:pPr>
        <w:spacing w:line="440" w:lineRule="exact"/>
        <w:rPr>
          <w:color w:val="000000"/>
          <w:sz w:val="24"/>
        </w:rPr>
      </w:pPr>
      <w:r>
        <w:rPr>
          <w:b/>
          <w:color w:val="000000"/>
          <w:sz w:val="24"/>
        </w:rPr>
        <w:t>第九条</w:t>
      </w:r>
      <w:r>
        <w:rPr>
          <w:color w:val="000000"/>
          <w:sz w:val="24"/>
        </w:rPr>
        <w:t>付款方式</w:t>
      </w:r>
    </w:p>
    <w:p>
      <w:pPr>
        <w:tabs>
          <w:tab w:val="left" w:pos="840"/>
        </w:tabs>
        <w:spacing w:line="440" w:lineRule="exact"/>
        <w:jc w:val="left"/>
        <w:rPr>
          <w:color w:val="000000"/>
          <w:sz w:val="24"/>
        </w:rPr>
      </w:pPr>
      <w:r>
        <w:rPr>
          <w:color w:val="000000"/>
          <w:sz w:val="24"/>
        </w:rPr>
        <w:t>按采购文件第五章采购人需求的规定。</w:t>
      </w:r>
    </w:p>
    <w:p>
      <w:pPr>
        <w:tabs>
          <w:tab w:val="left" w:pos="840"/>
        </w:tabs>
        <w:spacing w:line="440" w:lineRule="exact"/>
        <w:jc w:val="center"/>
        <w:rPr>
          <w:b/>
          <w:color w:val="000000"/>
          <w:sz w:val="24"/>
        </w:rPr>
      </w:pPr>
      <w:r>
        <w:rPr>
          <w:b/>
          <w:color w:val="000000"/>
          <w:sz w:val="24"/>
        </w:rPr>
        <w:t>六、售后服务</w:t>
      </w:r>
    </w:p>
    <w:p>
      <w:pPr>
        <w:widowControl/>
        <w:spacing w:line="440" w:lineRule="exact"/>
        <w:jc w:val="left"/>
        <w:rPr>
          <w:color w:val="000000"/>
          <w:sz w:val="24"/>
        </w:rPr>
      </w:pPr>
      <w:r>
        <w:rPr>
          <w:b/>
          <w:color w:val="000000"/>
          <w:sz w:val="24"/>
        </w:rPr>
        <w:t>第十条</w:t>
      </w:r>
      <w:r>
        <w:rPr>
          <w:color w:val="000000"/>
          <w:sz w:val="24"/>
        </w:rPr>
        <w:t>乙方应为甲方提供免费培训服务，并指派专人负责与甲方联系售后服务事宜。主要培训内容为货物的基本结构、主要部件的构造、日常使用操作、保养与管理、常见故障的排除、紧急情况的处理等，如甲方未使用过同类型货物，乙方还需就货物的功能对甲方进行相应的技术培训，培训地点主要在货物安装现场或由双方约定。</w:t>
      </w:r>
    </w:p>
    <w:p>
      <w:pPr>
        <w:widowControl/>
        <w:spacing w:line="440" w:lineRule="exact"/>
        <w:jc w:val="left"/>
        <w:rPr>
          <w:b/>
          <w:color w:val="000000"/>
          <w:sz w:val="24"/>
        </w:rPr>
      </w:pPr>
      <w:r>
        <w:rPr>
          <w:b/>
          <w:color w:val="000000"/>
          <w:sz w:val="24"/>
        </w:rPr>
        <w:t>第十一条</w:t>
      </w:r>
      <w:r>
        <w:rPr>
          <w:sz w:val="24"/>
        </w:rPr>
        <w:t>质保期年。</w:t>
      </w:r>
    </w:p>
    <w:p>
      <w:pPr>
        <w:widowControl/>
        <w:spacing w:line="440" w:lineRule="exact"/>
        <w:jc w:val="left"/>
        <w:rPr>
          <w:color w:val="000000"/>
          <w:sz w:val="24"/>
        </w:rPr>
      </w:pPr>
      <w:r>
        <w:rPr>
          <w:b/>
          <w:color w:val="000000"/>
          <w:sz w:val="24"/>
        </w:rPr>
        <w:t>第十二条</w:t>
      </w:r>
      <w:r>
        <w:rPr>
          <w:color w:val="000000"/>
          <w:sz w:val="24"/>
        </w:rPr>
        <w:t>因不可抗力（如火灾、雷击等）造成的故障或甲方使用、管理不当或人为因素等非乙方原因造成设备损坏由甲方承担责任和费用，乙方提供有偿服务。</w:t>
      </w:r>
    </w:p>
    <w:p>
      <w:pPr>
        <w:widowControl/>
        <w:spacing w:line="440" w:lineRule="exact"/>
        <w:jc w:val="left"/>
        <w:rPr>
          <w:color w:val="000000"/>
          <w:sz w:val="24"/>
        </w:rPr>
      </w:pPr>
      <w:r>
        <w:rPr>
          <w:b/>
          <w:color w:val="000000"/>
          <w:sz w:val="24"/>
        </w:rPr>
        <w:t>第十三条</w:t>
      </w:r>
      <w:r>
        <w:rPr>
          <w:color w:val="000000"/>
          <w:sz w:val="24"/>
        </w:rPr>
        <w:t>质保期满后，乙方提供有偿维护保养服务。</w:t>
      </w:r>
    </w:p>
    <w:p>
      <w:pPr>
        <w:tabs>
          <w:tab w:val="left" w:pos="840"/>
        </w:tabs>
        <w:spacing w:line="440" w:lineRule="exact"/>
        <w:jc w:val="center"/>
        <w:rPr>
          <w:b/>
          <w:color w:val="000000"/>
          <w:sz w:val="24"/>
        </w:rPr>
      </w:pPr>
      <w:r>
        <w:rPr>
          <w:b/>
          <w:color w:val="000000"/>
          <w:sz w:val="24"/>
        </w:rPr>
        <w:t>七、违约责任</w:t>
      </w:r>
    </w:p>
    <w:p>
      <w:pPr>
        <w:spacing w:line="440" w:lineRule="exact"/>
        <w:jc w:val="left"/>
        <w:rPr>
          <w:color w:val="000000"/>
          <w:sz w:val="24"/>
        </w:rPr>
      </w:pPr>
      <w:r>
        <w:rPr>
          <w:b/>
          <w:color w:val="000000"/>
          <w:sz w:val="24"/>
        </w:rPr>
        <w:t>第十四条</w:t>
      </w:r>
      <w:r>
        <w:rPr>
          <w:color w:val="000000"/>
          <w:sz w:val="24"/>
        </w:rPr>
        <w:t>甲方无正当理由拒收货物、拒付货款的，甲方须向乙方交纳合同总价</w:t>
      </w:r>
      <w:r>
        <w:rPr>
          <w:color w:val="000000"/>
          <w:sz w:val="24"/>
        </w:rPr>
        <w:softHyphen/>
      </w:r>
      <w:r>
        <w:rPr>
          <w:color w:val="000000"/>
          <w:sz w:val="24"/>
        </w:rPr>
        <w:softHyphen/>
      </w:r>
      <w:r>
        <w:rPr>
          <w:color w:val="000000"/>
          <w:sz w:val="24"/>
        </w:rPr>
        <w:softHyphen/>
      </w:r>
      <w:r>
        <w:rPr>
          <w:color w:val="000000"/>
          <w:sz w:val="24"/>
        </w:rPr>
        <w:softHyphen/>
      </w:r>
      <w:r>
        <w:rPr>
          <w:color w:val="000000"/>
          <w:sz w:val="24"/>
        </w:rPr>
        <w:softHyphen/>
      </w:r>
      <w:r>
        <w:rPr>
          <w:color w:val="000000"/>
          <w:sz w:val="24"/>
        </w:rPr>
        <w:softHyphen/>
      </w:r>
      <w:r>
        <w:rPr>
          <w:color w:val="000000"/>
          <w:sz w:val="24"/>
        </w:rPr>
        <w:softHyphen/>
      </w:r>
      <w:r>
        <w:rPr>
          <w:color w:val="000000"/>
          <w:sz w:val="24"/>
        </w:rPr>
        <w:softHyphen/>
      </w:r>
      <w:r>
        <w:rPr>
          <w:color w:val="000000"/>
          <w:sz w:val="24"/>
        </w:rPr>
        <w:softHyphen/>
      </w:r>
      <w:r>
        <w:rPr>
          <w:color w:val="000000"/>
          <w:sz w:val="24"/>
        </w:rPr>
        <w:softHyphen/>
      </w:r>
      <w:r>
        <w:rPr>
          <w:color w:val="000000"/>
          <w:sz w:val="24"/>
        </w:rPr>
        <w:t>%的违约金。</w:t>
      </w:r>
    </w:p>
    <w:p>
      <w:pPr>
        <w:spacing w:line="440" w:lineRule="exact"/>
        <w:jc w:val="left"/>
        <w:rPr>
          <w:color w:val="000000"/>
          <w:sz w:val="24"/>
        </w:rPr>
      </w:pPr>
      <w:r>
        <w:rPr>
          <w:b/>
          <w:color w:val="000000"/>
          <w:sz w:val="24"/>
        </w:rPr>
        <w:t>第十五条</w:t>
      </w:r>
      <w:r>
        <w:rPr>
          <w:color w:val="000000"/>
          <w:sz w:val="24"/>
        </w:rPr>
        <w:t>甲方逾期支付货款的，甲方须每日以欠款总额‰的标准向乙方交纳违约金，累计不超过欠款总额的% 。</w:t>
      </w:r>
    </w:p>
    <w:p>
      <w:pPr>
        <w:spacing w:line="440" w:lineRule="exact"/>
        <w:rPr>
          <w:color w:val="000000"/>
          <w:sz w:val="24"/>
        </w:rPr>
      </w:pPr>
      <w:r>
        <w:rPr>
          <w:b/>
          <w:color w:val="000000"/>
          <w:sz w:val="24"/>
        </w:rPr>
        <w:t>第十六条</w:t>
      </w:r>
      <w:r>
        <w:rPr>
          <w:color w:val="000000"/>
          <w:sz w:val="24"/>
        </w:rPr>
        <w:t>乙方逾期交付货物的，乙方须每日以逾期交货部分货款总额‰的标准向甲方交纳违约金，累计不超过逾期交货部分货款总额的%，逾期交货超过天，甲方有权终止合同，并追究违约责任。</w:t>
      </w:r>
    </w:p>
    <w:p>
      <w:pPr>
        <w:spacing w:line="440" w:lineRule="exact"/>
        <w:textAlignment w:val="baseline"/>
        <w:rPr>
          <w:color w:val="000000"/>
          <w:sz w:val="24"/>
        </w:rPr>
      </w:pPr>
      <w:r>
        <w:rPr>
          <w:b/>
          <w:color w:val="000000"/>
          <w:sz w:val="24"/>
        </w:rPr>
        <w:t>第十七条</w:t>
      </w:r>
      <w:r>
        <w:rPr>
          <w:color w:val="000000"/>
          <w:sz w:val="24"/>
        </w:rPr>
        <w:t>乙方所交付货物的型号、规格、数量和质量不符合合同规定标准的，甲方有权拒收。乙方须向甲方交纳合同总价</w:t>
      </w:r>
      <w:r>
        <w:rPr>
          <w:color w:val="000000"/>
          <w:sz w:val="24"/>
        </w:rPr>
        <w:softHyphen/>
      </w:r>
      <w:r>
        <w:rPr>
          <w:color w:val="000000"/>
          <w:sz w:val="24"/>
        </w:rPr>
        <w:softHyphen/>
      </w:r>
      <w:r>
        <w:rPr>
          <w:color w:val="000000"/>
          <w:sz w:val="24"/>
        </w:rPr>
        <w:softHyphen/>
      </w:r>
      <w:r>
        <w:rPr>
          <w:color w:val="000000"/>
          <w:sz w:val="24"/>
        </w:rPr>
        <w:softHyphen/>
      </w:r>
      <w:r>
        <w:rPr>
          <w:color w:val="000000"/>
          <w:sz w:val="24"/>
        </w:rPr>
        <w:softHyphen/>
      </w:r>
      <w:r>
        <w:rPr>
          <w:color w:val="000000"/>
          <w:sz w:val="24"/>
        </w:rPr>
        <w:softHyphen/>
      </w:r>
      <w:r>
        <w:rPr>
          <w:color w:val="000000"/>
          <w:sz w:val="24"/>
        </w:rPr>
        <w:softHyphen/>
      </w:r>
      <w:r>
        <w:rPr>
          <w:color w:val="000000"/>
          <w:sz w:val="24"/>
        </w:rPr>
        <w:softHyphen/>
      </w:r>
      <w:r>
        <w:rPr>
          <w:color w:val="000000"/>
          <w:sz w:val="24"/>
        </w:rPr>
        <w:softHyphen/>
      </w:r>
      <w:r>
        <w:rPr>
          <w:color w:val="000000"/>
          <w:sz w:val="24"/>
        </w:rPr>
        <w:softHyphen/>
      </w:r>
      <w:r>
        <w:rPr>
          <w:color w:val="000000"/>
          <w:sz w:val="24"/>
        </w:rPr>
        <w:t>%的违约金。</w:t>
      </w:r>
    </w:p>
    <w:p>
      <w:pPr>
        <w:spacing w:line="440" w:lineRule="exact"/>
        <w:textAlignment w:val="baseline"/>
        <w:rPr>
          <w:color w:val="000000"/>
          <w:sz w:val="24"/>
        </w:rPr>
      </w:pPr>
      <w:r>
        <w:rPr>
          <w:b/>
          <w:color w:val="000000"/>
          <w:sz w:val="24"/>
        </w:rPr>
        <w:t>第十八条</w:t>
      </w:r>
      <w:r>
        <w:rPr>
          <w:color w:val="000000"/>
          <w:sz w:val="24"/>
        </w:rPr>
        <w:t>如经乙方两次维修，货物仍不能达到合同约定质量标准，甲方有权退货，要求乙方退回全部货款，并赔偿甲方因此遭受的损失。</w:t>
      </w:r>
    </w:p>
    <w:p>
      <w:pPr>
        <w:spacing w:line="440" w:lineRule="exact"/>
        <w:textAlignment w:val="baseline"/>
        <w:rPr>
          <w:color w:val="000000"/>
          <w:sz w:val="24"/>
        </w:rPr>
      </w:pPr>
      <w:r>
        <w:rPr>
          <w:b/>
          <w:color w:val="000000"/>
          <w:sz w:val="24"/>
        </w:rPr>
        <w:t>第十九条</w:t>
      </w:r>
      <w:r>
        <w:rPr>
          <w:color w:val="000000"/>
          <w:sz w:val="24"/>
        </w:rPr>
        <w:t>乙方所供货物必须权属清楚，不得侵害他人的知识产权，否则构成对甲方违约。</w:t>
      </w:r>
    </w:p>
    <w:p>
      <w:pPr>
        <w:tabs>
          <w:tab w:val="left" w:pos="840"/>
        </w:tabs>
        <w:spacing w:line="440" w:lineRule="exact"/>
        <w:jc w:val="center"/>
        <w:rPr>
          <w:b/>
          <w:color w:val="000000"/>
          <w:sz w:val="24"/>
        </w:rPr>
      </w:pPr>
      <w:r>
        <w:rPr>
          <w:b/>
          <w:color w:val="000000"/>
          <w:sz w:val="24"/>
        </w:rPr>
        <w:t>八、不可抗力</w:t>
      </w:r>
    </w:p>
    <w:p>
      <w:pPr>
        <w:tabs>
          <w:tab w:val="left" w:pos="840"/>
        </w:tabs>
        <w:spacing w:line="440" w:lineRule="exact"/>
        <w:ind w:left="1"/>
        <w:rPr>
          <w:color w:val="000000"/>
          <w:sz w:val="24"/>
        </w:rPr>
      </w:pPr>
      <w:r>
        <w:rPr>
          <w:b/>
          <w:color w:val="000000"/>
          <w:sz w:val="24"/>
        </w:rPr>
        <w:t>第二十条</w:t>
      </w:r>
      <w:r>
        <w:rPr>
          <w:color w:val="000000"/>
          <w:sz w:val="24"/>
        </w:rPr>
        <w:t>由于不可预见、不可避免、不可克服等不可抗力的原因，一方不能履行合同义务的，应当在不可抗力发生之日起天内以书面形式通知对方，证明不可抗力事件的存在。</w:t>
      </w:r>
    </w:p>
    <w:p>
      <w:pPr>
        <w:tabs>
          <w:tab w:val="left" w:pos="840"/>
        </w:tabs>
        <w:spacing w:line="440" w:lineRule="exact"/>
        <w:ind w:left="1"/>
        <w:rPr>
          <w:color w:val="000000"/>
          <w:sz w:val="24"/>
        </w:rPr>
      </w:pPr>
      <w:r>
        <w:rPr>
          <w:b/>
          <w:color w:val="000000"/>
          <w:sz w:val="24"/>
        </w:rPr>
        <w:t>第二十一条</w:t>
      </w:r>
      <w:r>
        <w:rPr>
          <w:color w:val="000000"/>
          <w:sz w:val="24"/>
        </w:rPr>
        <w:t>不可抗力事件发生后，甲方和乙方应当积极寻求以合理的方式履行本合同。如不可抗力无法消除，致使合同目的无法实现的，双方均有权解除合同，且均不互相索赔。</w:t>
      </w:r>
    </w:p>
    <w:p>
      <w:pPr>
        <w:tabs>
          <w:tab w:val="left" w:pos="840"/>
        </w:tabs>
        <w:spacing w:line="440" w:lineRule="exact"/>
        <w:jc w:val="center"/>
        <w:rPr>
          <w:b/>
          <w:color w:val="000000"/>
          <w:sz w:val="24"/>
        </w:rPr>
      </w:pPr>
      <w:r>
        <w:rPr>
          <w:b/>
          <w:color w:val="000000"/>
          <w:sz w:val="24"/>
        </w:rPr>
        <w:t>九、争议及解决办法</w:t>
      </w:r>
    </w:p>
    <w:p>
      <w:pPr>
        <w:widowControl/>
        <w:spacing w:line="440" w:lineRule="exact"/>
        <w:jc w:val="left"/>
        <w:rPr>
          <w:color w:val="000000"/>
          <w:sz w:val="24"/>
        </w:rPr>
      </w:pPr>
      <w:r>
        <w:rPr>
          <w:b/>
          <w:color w:val="000000"/>
          <w:sz w:val="24"/>
        </w:rPr>
        <w:t>第二十二条</w:t>
      </w:r>
      <w:r>
        <w:rPr>
          <w:color w:val="000000"/>
          <w:sz w:val="24"/>
        </w:rPr>
        <w:t>因货物的质量问题发生争议，由河南省质量技术监督局或其指定的质量鉴定单位进行质量鉴定。货物符合质量标准的，鉴定费由甲方承担；货物不符合质量标准的，鉴定费由乙方承担。</w:t>
      </w:r>
    </w:p>
    <w:p>
      <w:pPr>
        <w:tabs>
          <w:tab w:val="left" w:pos="840"/>
        </w:tabs>
        <w:spacing w:line="440" w:lineRule="exact"/>
        <w:rPr>
          <w:color w:val="000000"/>
          <w:sz w:val="24"/>
        </w:rPr>
      </w:pPr>
      <w:r>
        <w:rPr>
          <w:b/>
          <w:color w:val="000000"/>
          <w:sz w:val="24"/>
        </w:rPr>
        <w:t>第二十三条</w:t>
      </w:r>
      <w:r>
        <w:rPr>
          <w:color w:val="000000"/>
          <w:sz w:val="24"/>
        </w:rPr>
        <w:t>本合同发生争议，由双方协商或由政府采购监管部门调解解决，协商或调解不成时按以下第种方式解决：</w:t>
      </w:r>
    </w:p>
    <w:p>
      <w:pPr>
        <w:widowControl/>
        <w:numPr>
          <w:ilvl w:val="2"/>
          <w:numId w:val="5"/>
        </w:numPr>
        <w:spacing w:line="440" w:lineRule="exact"/>
        <w:jc w:val="left"/>
        <w:rPr>
          <w:color w:val="000000"/>
          <w:sz w:val="24"/>
        </w:rPr>
      </w:pPr>
      <w:r>
        <w:rPr>
          <w:color w:val="000000"/>
          <w:sz w:val="24"/>
        </w:rPr>
        <w:t>郑州仲裁委员会仲裁；</w:t>
      </w:r>
    </w:p>
    <w:p>
      <w:pPr>
        <w:widowControl/>
        <w:numPr>
          <w:ilvl w:val="2"/>
          <w:numId w:val="5"/>
        </w:numPr>
        <w:spacing w:line="440" w:lineRule="exact"/>
        <w:jc w:val="left"/>
        <w:rPr>
          <w:color w:val="000000"/>
          <w:sz w:val="24"/>
        </w:rPr>
      </w:pPr>
      <w:r>
        <w:rPr>
          <w:color w:val="000000"/>
          <w:sz w:val="24"/>
        </w:rPr>
        <w:t>向甲方所在地人民法院提起诉讼。</w:t>
      </w:r>
    </w:p>
    <w:p>
      <w:pPr>
        <w:tabs>
          <w:tab w:val="left" w:pos="840"/>
        </w:tabs>
        <w:spacing w:line="440" w:lineRule="exact"/>
        <w:jc w:val="center"/>
        <w:rPr>
          <w:b/>
          <w:color w:val="000000"/>
          <w:sz w:val="24"/>
        </w:rPr>
      </w:pPr>
      <w:r>
        <w:rPr>
          <w:b/>
          <w:color w:val="000000"/>
          <w:sz w:val="24"/>
        </w:rPr>
        <w:t>十、其他</w:t>
      </w:r>
    </w:p>
    <w:p>
      <w:pPr>
        <w:widowControl/>
        <w:spacing w:line="440" w:lineRule="exact"/>
        <w:jc w:val="left"/>
        <w:rPr>
          <w:color w:val="000000"/>
          <w:sz w:val="24"/>
        </w:rPr>
      </w:pPr>
      <w:r>
        <w:rPr>
          <w:b/>
          <w:color w:val="000000"/>
          <w:sz w:val="24"/>
        </w:rPr>
        <w:t>第二十四条</w:t>
      </w:r>
      <w:r>
        <w:rPr>
          <w:color w:val="000000"/>
          <w:sz w:val="24"/>
        </w:rPr>
        <w:t>本合同一式份，具有同等效力，甲、乙双方各执份。合同自双方签字盖章之日起生效。</w:t>
      </w:r>
    </w:p>
    <w:p>
      <w:pPr>
        <w:widowControl/>
        <w:spacing w:line="440" w:lineRule="exact"/>
        <w:jc w:val="left"/>
        <w:rPr>
          <w:color w:val="000000"/>
          <w:sz w:val="24"/>
        </w:rPr>
      </w:pPr>
      <w:r>
        <w:rPr>
          <w:b/>
          <w:color w:val="000000"/>
          <w:sz w:val="24"/>
        </w:rPr>
        <w:t>第二十五条</w:t>
      </w:r>
      <w:r>
        <w:rPr>
          <w:color w:val="000000"/>
          <w:sz w:val="24"/>
        </w:rPr>
        <w:t>本合同未尽事宜，由双方协商处理。</w:t>
      </w:r>
    </w:p>
    <w:p>
      <w:pPr>
        <w:tabs>
          <w:tab w:val="left" w:pos="840"/>
        </w:tabs>
        <w:spacing w:line="400" w:lineRule="exact"/>
        <w:ind w:left="456"/>
        <w:jc w:val="center"/>
        <w:rPr>
          <w:b/>
          <w:color w:val="000000"/>
          <w:sz w:val="24"/>
        </w:rPr>
      </w:pPr>
    </w:p>
    <w:tbl>
      <w:tblPr>
        <w:tblStyle w:val="16"/>
        <w:tblW w:w="9072" w:type="dxa"/>
        <w:jc w:val="center"/>
        <w:tblLayout w:type="fixed"/>
        <w:tblCellMar>
          <w:top w:w="0" w:type="dxa"/>
          <w:left w:w="108" w:type="dxa"/>
          <w:bottom w:w="0" w:type="dxa"/>
          <w:right w:w="108" w:type="dxa"/>
        </w:tblCellMar>
      </w:tblPr>
      <w:tblGrid>
        <w:gridCol w:w="1390"/>
        <w:gridCol w:w="3146"/>
        <w:gridCol w:w="1390"/>
        <w:gridCol w:w="3146"/>
      </w:tblGrid>
      <w:tr>
        <w:tblPrEx>
          <w:tblCellMar>
            <w:top w:w="0" w:type="dxa"/>
            <w:left w:w="108" w:type="dxa"/>
            <w:bottom w:w="0" w:type="dxa"/>
            <w:right w:w="108" w:type="dxa"/>
          </w:tblCellMar>
        </w:tblPrEx>
        <w:trPr>
          <w:trHeight w:val="567" w:hRule="atLeast"/>
          <w:jc w:val="center"/>
        </w:trPr>
        <w:tc>
          <w:tcPr>
            <w:tcW w:w="1390" w:type="dxa"/>
          </w:tcPr>
          <w:p>
            <w:pPr>
              <w:spacing w:line="400" w:lineRule="exact"/>
              <w:rPr>
                <w:b/>
                <w:color w:val="000000"/>
                <w:sz w:val="24"/>
              </w:rPr>
            </w:pPr>
            <w:r>
              <w:rPr>
                <w:b/>
                <w:color w:val="000000"/>
                <w:sz w:val="24"/>
              </w:rPr>
              <w:t>甲方：</w:t>
            </w:r>
          </w:p>
        </w:tc>
        <w:tc>
          <w:tcPr>
            <w:tcW w:w="3146" w:type="dxa"/>
          </w:tcPr>
          <w:p>
            <w:pPr>
              <w:spacing w:line="400" w:lineRule="exact"/>
              <w:ind w:right="480"/>
              <w:jc w:val="right"/>
              <w:rPr>
                <w:color w:val="000000"/>
                <w:sz w:val="24"/>
              </w:rPr>
            </w:pPr>
            <w:r>
              <w:rPr>
                <w:color w:val="000000"/>
                <w:sz w:val="24"/>
              </w:rPr>
              <w:t>（盖章）</w:t>
            </w:r>
          </w:p>
        </w:tc>
        <w:tc>
          <w:tcPr>
            <w:tcW w:w="1390" w:type="dxa"/>
          </w:tcPr>
          <w:p>
            <w:pPr>
              <w:spacing w:line="400" w:lineRule="exact"/>
              <w:rPr>
                <w:b/>
                <w:color w:val="000000"/>
                <w:sz w:val="24"/>
              </w:rPr>
            </w:pPr>
            <w:r>
              <w:rPr>
                <w:b/>
                <w:color w:val="000000"/>
                <w:sz w:val="24"/>
              </w:rPr>
              <w:t>乙方：</w:t>
            </w:r>
          </w:p>
        </w:tc>
        <w:tc>
          <w:tcPr>
            <w:tcW w:w="3146" w:type="dxa"/>
          </w:tcPr>
          <w:p>
            <w:pPr>
              <w:spacing w:line="400" w:lineRule="exact"/>
              <w:ind w:right="600"/>
              <w:jc w:val="right"/>
              <w:rPr>
                <w:color w:val="000000"/>
                <w:sz w:val="24"/>
              </w:rPr>
            </w:pPr>
            <w:r>
              <w:rPr>
                <w:color w:val="000000"/>
                <w:sz w:val="24"/>
              </w:rPr>
              <w:t>（盖章）</w:t>
            </w:r>
          </w:p>
        </w:tc>
      </w:tr>
      <w:tr>
        <w:tblPrEx>
          <w:tblCellMar>
            <w:top w:w="0" w:type="dxa"/>
            <w:left w:w="108" w:type="dxa"/>
            <w:bottom w:w="0" w:type="dxa"/>
            <w:right w:w="108" w:type="dxa"/>
          </w:tblCellMar>
        </w:tblPrEx>
        <w:trPr>
          <w:trHeight w:val="567" w:hRule="atLeast"/>
          <w:jc w:val="center"/>
        </w:trPr>
        <w:tc>
          <w:tcPr>
            <w:tcW w:w="1390" w:type="dxa"/>
          </w:tcPr>
          <w:p>
            <w:pPr>
              <w:spacing w:line="400" w:lineRule="exact"/>
              <w:rPr>
                <w:b/>
                <w:color w:val="000000"/>
                <w:sz w:val="24"/>
              </w:rPr>
            </w:pPr>
            <w:r>
              <w:rPr>
                <w:b/>
                <w:color w:val="000000"/>
                <w:sz w:val="24"/>
              </w:rPr>
              <w:t>签约代表：</w:t>
            </w:r>
          </w:p>
        </w:tc>
        <w:tc>
          <w:tcPr>
            <w:tcW w:w="3146" w:type="dxa"/>
          </w:tcPr>
          <w:p>
            <w:pPr>
              <w:spacing w:line="400" w:lineRule="exact"/>
              <w:rPr>
                <w:color w:val="000000"/>
                <w:sz w:val="24"/>
              </w:rPr>
            </w:pPr>
          </w:p>
        </w:tc>
        <w:tc>
          <w:tcPr>
            <w:tcW w:w="1390" w:type="dxa"/>
          </w:tcPr>
          <w:p>
            <w:pPr>
              <w:spacing w:line="400" w:lineRule="exact"/>
              <w:rPr>
                <w:b/>
                <w:color w:val="000000"/>
                <w:sz w:val="24"/>
              </w:rPr>
            </w:pPr>
            <w:r>
              <w:rPr>
                <w:b/>
                <w:color w:val="000000"/>
                <w:sz w:val="24"/>
              </w:rPr>
              <w:t>签约代表：</w:t>
            </w:r>
          </w:p>
        </w:tc>
        <w:tc>
          <w:tcPr>
            <w:tcW w:w="3146" w:type="dxa"/>
          </w:tcPr>
          <w:p>
            <w:pPr>
              <w:spacing w:line="400" w:lineRule="exact"/>
              <w:rPr>
                <w:color w:val="000000"/>
                <w:sz w:val="24"/>
              </w:rPr>
            </w:pPr>
          </w:p>
        </w:tc>
      </w:tr>
      <w:tr>
        <w:tblPrEx>
          <w:tblCellMar>
            <w:top w:w="0" w:type="dxa"/>
            <w:left w:w="108" w:type="dxa"/>
            <w:bottom w:w="0" w:type="dxa"/>
            <w:right w:w="108" w:type="dxa"/>
          </w:tblCellMar>
        </w:tblPrEx>
        <w:trPr>
          <w:trHeight w:val="567" w:hRule="atLeast"/>
          <w:jc w:val="center"/>
        </w:trPr>
        <w:tc>
          <w:tcPr>
            <w:tcW w:w="1390" w:type="dxa"/>
          </w:tcPr>
          <w:p>
            <w:pPr>
              <w:spacing w:line="400" w:lineRule="exact"/>
              <w:rPr>
                <w:b/>
                <w:color w:val="000000"/>
                <w:sz w:val="24"/>
              </w:rPr>
            </w:pPr>
            <w:r>
              <w:rPr>
                <w:b/>
                <w:color w:val="000000"/>
                <w:sz w:val="24"/>
              </w:rPr>
              <w:t>地址：</w:t>
            </w:r>
          </w:p>
        </w:tc>
        <w:tc>
          <w:tcPr>
            <w:tcW w:w="3146" w:type="dxa"/>
          </w:tcPr>
          <w:p>
            <w:pPr>
              <w:spacing w:line="400" w:lineRule="exact"/>
              <w:rPr>
                <w:color w:val="000000"/>
                <w:sz w:val="24"/>
              </w:rPr>
            </w:pPr>
          </w:p>
        </w:tc>
        <w:tc>
          <w:tcPr>
            <w:tcW w:w="1390" w:type="dxa"/>
          </w:tcPr>
          <w:p>
            <w:pPr>
              <w:spacing w:line="400" w:lineRule="exact"/>
              <w:rPr>
                <w:b/>
                <w:color w:val="000000"/>
                <w:sz w:val="24"/>
              </w:rPr>
            </w:pPr>
            <w:r>
              <w:rPr>
                <w:b/>
                <w:color w:val="000000"/>
                <w:sz w:val="24"/>
              </w:rPr>
              <w:t>地址：</w:t>
            </w:r>
          </w:p>
        </w:tc>
        <w:tc>
          <w:tcPr>
            <w:tcW w:w="3146" w:type="dxa"/>
          </w:tcPr>
          <w:p>
            <w:pPr>
              <w:spacing w:line="400" w:lineRule="exact"/>
              <w:rPr>
                <w:color w:val="000000"/>
                <w:sz w:val="24"/>
              </w:rPr>
            </w:pPr>
          </w:p>
        </w:tc>
      </w:tr>
      <w:tr>
        <w:tblPrEx>
          <w:tblCellMar>
            <w:top w:w="0" w:type="dxa"/>
            <w:left w:w="108" w:type="dxa"/>
            <w:bottom w:w="0" w:type="dxa"/>
            <w:right w:w="108" w:type="dxa"/>
          </w:tblCellMar>
        </w:tblPrEx>
        <w:trPr>
          <w:trHeight w:val="567" w:hRule="atLeast"/>
          <w:jc w:val="center"/>
        </w:trPr>
        <w:tc>
          <w:tcPr>
            <w:tcW w:w="1390" w:type="dxa"/>
          </w:tcPr>
          <w:p>
            <w:pPr>
              <w:spacing w:line="400" w:lineRule="exact"/>
              <w:rPr>
                <w:b/>
                <w:color w:val="000000"/>
                <w:sz w:val="24"/>
              </w:rPr>
            </w:pPr>
            <w:r>
              <w:rPr>
                <w:b/>
                <w:color w:val="000000"/>
                <w:sz w:val="24"/>
              </w:rPr>
              <w:t>电话：</w:t>
            </w:r>
          </w:p>
        </w:tc>
        <w:tc>
          <w:tcPr>
            <w:tcW w:w="3146" w:type="dxa"/>
          </w:tcPr>
          <w:p>
            <w:pPr>
              <w:spacing w:line="400" w:lineRule="exact"/>
              <w:rPr>
                <w:color w:val="000000"/>
                <w:sz w:val="24"/>
              </w:rPr>
            </w:pPr>
          </w:p>
        </w:tc>
        <w:tc>
          <w:tcPr>
            <w:tcW w:w="1390" w:type="dxa"/>
          </w:tcPr>
          <w:p>
            <w:pPr>
              <w:spacing w:line="400" w:lineRule="exact"/>
              <w:rPr>
                <w:b/>
                <w:color w:val="000000"/>
                <w:sz w:val="24"/>
              </w:rPr>
            </w:pPr>
            <w:r>
              <w:rPr>
                <w:b/>
                <w:color w:val="000000"/>
                <w:sz w:val="24"/>
              </w:rPr>
              <w:t>电话：</w:t>
            </w:r>
          </w:p>
        </w:tc>
        <w:tc>
          <w:tcPr>
            <w:tcW w:w="3146" w:type="dxa"/>
          </w:tcPr>
          <w:p>
            <w:pPr>
              <w:spacing w:line="400" w:lineRule="exact"/>
              <w:rPr>
                <w:color w:val="000000"/>
                <w:sz w:val="24"/>
              </w:rPr>
            </w:pPr>
          </w:p>
        </w:tc>
      </w:tr>
      <w:tr>
        <w:tblPrEx>
          <w:tblCellMar>
            <w:top w:w="0" w:type="dxa"/>
            <w:left w:w="108" w:type="dxa"/>
            <w:bottom w:w="0" w:type="dxa"/>
            <w:right w:w="108" w:type="dxa"/>
          </w:tblCellMar>
        </w:tblPrEx>
        <w:trPr>
          <w:trHeight w:val="567" w:hRule="atLeast"/>
          <w:jc w:val="center"/>
        </w:trPr>
        <w:tc>
          <w:tcPr>
            <w:tcW w:w="1390" w:type="dxa"/>
          </w:tcPr>
          <w:p>
            <w:pPr>
              <w:spacing w:line="400" w:lineRule="exact"/>
              <w:rPr>
                <w:b/>
                <w:color w:val="000000"/>
                <w:sz w:val="24"/>
              </w:rPr>
            </w:pPr>
            <w:r>
              <w:rPr>
                <w:b/>
                <w:color w:val="000000"/>
                <w:sz w:val="24"/>
              </w:rPr>
              <w:t>传真：</w:t>
            </w:r>
          </w:p>
        </w:tc>
        <w:tc>
          <w:tcPr>
            <w:tcW w:w="3146" w:type="dxa"/>
          </w:tcPr>
          <w:p>
            <w:pPr>
              <w:spacing w:line="400" w:lineRule="exact"/>
              <w:rPr>
                <w:color w:val="000000"/>
                <w:sz w:val="24"/>
              </w:rPr>
            </w:pPr>
          </w:p>
        </w:tc>
        <w:tc>
          <w:tcPr>
            <w:tcW w:w="1390" w:type="dxa"/>
          </w:tcPr>
          <w:p>
            <w:pPr>
              <w:spacing w:line="400" w:lineRule="exact"/>
              <w:rPr>
                <w:b/>
                <w:color w:val="000000"/>
                <w:sz w:val="24"/>
              </w:rPr>
            </w:pPr>
            <w:r>
              <w:rPr>
                <w:b/>
                <w:color w:val="000000"/>
                <w:sz w:val="24"/>
              </w:rPr>
              <w:t>传真：</w:t>
            </w:r>
          </w:p>
        </w:tc>
        <w:tc>
          <w:tcPr>
            <w:tcW w:w="3146" w:type="dxa"/>
          </w:tcPr>
          <w:p>
            <w:pPr>
              <w:spacing w:line="400" w:lineRule="exact"/>
              <w:rPr>
                <w:color w:val="000000"/>
                <w:sz w:val="24"/>
              </w:rPr>
            </w:pPr>
          </w:p>
        </w:tc>
      </w:tr>
      <w:tr>
        <w:tblPrEx>
          <w:tblCellMar>
            <w:top w:w="0" w:type="dxa"/>
            <w:left w:w="108" w:type="dxa"/>
            <w:bottom w:w="0" w:type="dxa"/>
            <w:right w:w="108" w:type="dxa"/>
          </w:tblCellMar>
        </w:tblPrEx>
        <w:trPr>
          <w:trHeight w:val="567" w:hRule="atLeast"/>
          <w:jc w:val="center"/>
        </w:trPr>
        <w:tc>
          <w:tcPr>
            <w:tcW w:w="1390" w:type="dxa"/>
          </w:tcPr>
          <w:p>
            <w:pPr>
              <w:spacing w:line="400" w:lineRule="exact"/>
              <w:rPr>
                <w:b/>
                <w:color w:val="000000"/>
                <w:sz w:val="24"/>
              </w:rPr>
            </w:pPr>
            <w:r>
              <w:rPr>
                <w:b/>
                <w:color w:val="000000"/>
                <w:sz w:val="24"/>
              </w:rPr>
              <w:t>签约日期：</w:t>
            </w:r>
          </w:p>
        </w:tc>
        <w:tc>
          <w:tcPr>
            <w:tcW w:w="3146" w:type="dxa"/>
          </w:tcPr>
          <w:p>
            <w:pPr>
              <w:spacing w:line="400" w:lineRule="exact"/>
              <w:ind w:firstLine="240" w:firstLineChars="100"/>
              <w:rPr>
                <w:color w:val="000000"/>
                <w:sz w:val="24"/>
              </w:rPr>
            </w:pPr>
            <w:r>
              <w:rPr>
                <w:color w:val="000000"/>
                <w:sz w:val="24"/>
              </w:rPr>
              <w:t>年月日</w:t>
            </w:r>
          </w:p>
        </w:tc>
        <w:tc>
          <w:tcPr>
            <w:tcW w:w="1390" w:type="dxa"/>
          </w:tcPr>
          <w:p>
            <w:pPr>
              <w:spacing w:line="400" w:lineRule="exact"/>
              <w:rPr>
                <w:b/>
                <w:color w:val="000000"/>
                <w:sz w:val="24"/>
              </w:rPr>
            </w:pPr>
            <w:r>
              <w:rPr>
                <w:b/>
                <w:color w:val="000000"/>
                <w:sz w:val="24"/>
              </w:rPr>
              <w:t>签约日期：</w:t>
            </w:r>
          </w:p>
        </w:tc>
        <w:tc>
          <w:tcPr>
            <w:tcW w:w="3146" w:type="dxa"/>
          </w:tcPr>
          <w:p>
            <w:pPr>
              <w:spacing w:line="400" w:lineRule="exact"/>
              <w:ind w:firstLine="240" w:firstLineChars="100"/>
              <w:rPr>
                <w:color w:val="000000"/>
                <w:sz w:val="24"/>
              </w:rPr>
            </w:pPr>
            <w:r>
              <w:rPr>
                <w:color w:val="000000"/>
                <w:sz w:val="24"/>
              </w:rPr>
              <w:t>年月日</w:t>
            </w:r>
          </w:p>
          <w:p>
            <w:pPr>
              <w:spacing w:line="400" w:lineRule="exact"/>
              <w:ind w:firstLine="240" w:firstLineChars="100"/>
              <w:rPr>
                <w:color w:val="000000"/>
                <w:sz w:val="24"/>
              </w:rPr>
            </w:pPr>
          </w:p>
          <w:p>
            <w:pPr>
              <w:spacing w:line="400" w:lineRule="exact"/>
              <w:ind w:firstLine="240" w:firstLineChars="100"/>
              <w:rPr>
                <w:color w:val="000000"/>
                <w:sz w:val="24"/>
              </w:rPr>
            </w:pPr>
          </w:p>
          <w:p>
            <w:pPr>
              <w:spacing w:line="400" w:lineRule="exact"/>
              <w:ind w:firstLine="240" w:firstLineChars="100"/>
              <w:rPr>
                <w:color w:val="000000"/>
                <w:sz w:val="24"/>
              </w:rPr>
            </w:pPr>
          </w:p>
        </w:tc>
      </w:tr>
    </w:tbl>
    <w:p>
      <w:pPr>
        <w:pStyle w:val="6"/>
        <w:spacing w:line="520" w:lineRule="exact"/>
        <w:ind w:firstLine="0" w:firstLineChars="0"/>
        <w:jc w:val="center"/>
        <w:outlineLvl w:val="0"/>
        <w:rPr>
          <w:rFonts w:eastAsia="黑体"/>
          <w:b/>
          <w:kern w:val="2"/>
          <w:sz w:val="44"/>
          <w:szCs w:val="44"/>
        </w:rPr>
        <w:sectPr>
          <w:headerReference r:id="rId7" w:type="default"/>
          <w:footerReference r:id="rId8" w:type="default"/>
          <w:pgSz w:w="11906" w:h="16838"/>
          <w:pgMar w:top="1247" w:right="1418" w:bottom="1247" w:left="1701" w:header="851" w:footer="992" w:gutter="0"/>
          <w:cols w:space="720" w:num="1"/>
          <w:titlePg/>
          <w:docGrid w:linePitch="312" w:charSpace="0"/>
        </w:sectPr>
      </w:pPr>
    </w:p>
    <w:p>
      <w:pPr>
        <w:pStyle w:val="6"/>
        <w:spacing w:line="520" w:lineRule="exact"/>
        <w:ind w:firstLine="0" w:firstLineChars="0"/>
        <w:jc w:val="center"/>
        <w:outlineLvl w:val="0"/>
        <w:rPr>
          <w:rFonts w:eastAsia="黑体"/>
          <w:b/>
          <w:kern w:val="2"/>
          <w:sz w:val="44"/>
          <w:szCs w:val="44"/>
        </w:rPr>
      </w:pPr>
      <w:r>
        <w:rPr>
          <w:rFonts w:eastAsia="黑体"/>
          <w:b/>
          <w:kern w:val="2"/>
          <w:sz w:val="44"/>
          <w:szCs w:val="44"/>
        </w:rPr>
        <w:t>第五部分采购项目需求及有关要求</w:t>
      </w:r>
      <w:bookmarkEnd w:id="38"/>
    </w:p>
    <w:p>
      <w:pPr>
        <w:spacing w:line="400" w:lineRule="exact"/>
        <w:ind w:firstLine="480" w:firstLineChars="200"/>
        <w:rPr>
          <w:color w:val="000000"/>
          <w:sz w:val="24"/>
        </w:rPr>
      </w:pPr>
    </w:p>
    <w:p>
      <w:pPr>
        <w:pStyle w:val="14"/>
        <w:spacing w:before="120" w:beforeAutospacing="0" w:after="120" w:afterAutospacing="0"/>
        <w:ind w:firstLine="482" w:firstLineChars="200"/>
        <w:jc w:val="both"/>
        <w:rPr>
          <w:b/>
          <w:caps/>
        </w:rPr>
      </w:pPr>
      <w:r>
        <w:rPr>
          <w:rFonts w:hint="eastAsia"/>
          <w:b/>
          <w:caps/>
        </w:rPr>
        <w:t>一、项目相关要求：</w:t>
      </w:r>
    </w:p>
    <w:p>
      <w:pPr>
        <w:pStyle w:val="14"/>
        <w:spacing w:before="0" w:beforeAutospacing="0" w:after="0" w:afterAutospacing="0" w:line="360" w:lineRule="auto"/>
        <w:ind w:firstLine="480" w:firstLineChars="200"/>
        <w:jc w:val="both"/>
        <w:rPr>
          <w:caps/>
        </w:rPr>
      </w:pPr>
      <w:r>
        <w:rPr>
          <w:rFonts w:hint="eastAsia"/>
          <w:caps/>
        </w:rPr>
        <w:t>1．磋商文件中为描述货物的品质、基本性能而标示的品牌型号或指标与某产品相同的仅供供应商选择货物时在质量水平上的参考，不具有限制性，评标以功能和性能为主，供应商可提供品质和功能相同的</w:t>
      </w:r>
      <w:r>
        <w:rPr>
          <w:rFonts w:hint="eastAsia"/>
          <w:b/>
          <w:caps/>
        </w:rPr>
        <w:t>或优于同类产品的货物或方案</w:t>
      </w:r>
      <w:r>
        <w:rPr>
          <w:rFonts w:hint="eastAsia"/>
          <w:caps/>
        </w:rPr>
        <w:t>。</w:t>
      </w:r>
    </w:p>
    <w:p>
      <w:pPr>
        <w:pStyle w:val="14"/>
        <w:spacing w:before="0" w:beforeAutospacing="0" w:after="0" w:afterAutospacing="0" w:line="360" w:lineRule="auto"/>
        <w:ind w:firstLine="480" w:firstLineChars="200"/>
        <w:jc w:val="both"/>
        <w:rPr>
          <w:caps/>
        </w:rPr>
      </w:pPr>
      <w:r>
        <w:rPr>
          <w:rFonts w:hint="eastAsia"/>
          <w:caps/>
        </w:rPr>
        <w:t>2.在完成安装、检测后，须向用户提供检测报告、技术手册，供应商须提供中文版的技术资料（包括使用说明、维修保养手册、安装手册、产品合格证等）。验收的技术标准应达到制造(生产)厂商标明的技术指标，个别不能测试的指标另作详细的文字说明。检测的标准依据国家有关规定执行。</w:t>
      </w:r>
      <w:r>
        <w:rPr>
          <w:rFonts w:hint="eastAsia"/>
          <w:b/>
          <w:bCs/>
          <w:caps/>
        </w:rPr>
        <w:t>提醒：货物安装调试完成申请甲方验收前，中标供货商需委托具有资质的第三方检测机构对安装家具后的房间（不少于两个房间）进行甲醛检测，并提供合格的甲醛检测报告。</w:t>
      </w:r>
    </w:p>
    <w:p>
      <w:pPr>
        <w:pStyle w:val="14"/>
        <w:spacing w:before="0" w:beforeAutospacing="0" w:after="0" w:afterAutospacing="0" w:line="360" w:lineRule="auto"/>
        <w:ind w:firstLine="480" w:firstLineChars="200"/>
        <w:jc w:val="both"/>
        <w:rPr>
          <w:caps/>
        </w:rPr>
      </w:pPr>
      <w:r>
        <w:rPr>
          <w:rFonts w:hint="eastAsia"/>
          <w:caps/>
        </w:rPr>
        <w:t>3.所投货物必须是最新合格货物，且生产厂家在中国设有技术服务机构。</w:t>
      </w:r>
    </w:p>
    <w:p>
      <w:pPr>
        <w:pStyle w:val="14"/>
        <w:spacing w:before="0" w:beforeAutospacing="0" w:after="0" w:afterAutospacing="0" w:line="360" w:lineRule="auto"/>
        <w:ind w:firstLine="480" w:firstLineChars="200"/>
        <w:jc w:val="both"/>
        <w:rPr>
          <w:caps/>
        </w:rPr>
      </w:pPr>
      <w:r>
        <w:rPr>
          <w:rFonts w:hint="eastAsia"/>
          <w:caps/>
        </w:rPr>
        <w:t>4．除磋商文件要求提供的货物备件、专用工具和消耗品外，对于磋商文件中没有列出，而对货物的正常运行和维护必不可少的备件、专用工具和消耗品，供应商应列出详细清单，并报出单项价格，所有备件必须符合国家标准及行业要求。</w:t>
      </w:r>
    </w:p>
    <w:p>
      <w:pPr>
        <w:pStyle w:val="14"/>
        <w:spacing w:before="0" w:beforeAutospacing="0" w:after="0" w:afterAutospacing="0" w:line="360" w:lineRule="auto"/>
        <w:ind w:firstLine="480" w:firstLineChars="200"/>
        <w:jc w:val="both"/>
        <w:rPr>
          <w:caps/>
        </w:rPr>
      </w:pPr>
      <w:r>
        <w:rPr>
          <w:rFonts w:hint="eastAsia"/>
          <w:caps/>
        </w:rPr>
        <w:t>5.本次采购货物中如果某些技术标准与国家所要求的标准不统一或有不兼容的地方，均以国家强制性标准或最新出台的标准为准。</w:t>
      </w:r>
    </w:p>
    <w:p>
      <w:pPr>
        <w:pStyle w:val="14"/>
        <w:spacing w:before="0" w:beforeAutospacing="0" w:after="0" w:afterAutospacing="0" w:line="360" w:lineRule="auto"/>
        <w:ind w:firstLine="480" w:firstLineChars="200"/>
        <w:jc w:val="both"/>
        <w:rPr>
          <w:caps/>
        </w:rPr>
      </w:pPr>
      <w:r>
        <w:rPr>
          <w:rFonts w:hint="eastAsia"/>
          <w:caps/>
        </w:rPr>
        <w:t>6.如果未在磋商文件中要求提供其相关行业标准或国家强制性标准的，则供应商有责任给予补充说明。</w:t>
      </w:r>
    </w:p>
    <w:p>
      <w:pPr>
        <w:pStyle w:val="14"/>
        <w:spacing w:before="0" w:beforeAutospacing="0" w:after="0" w:afterAutospacing="0" w:line="360" w:lineRule="auto"/>
        <w:ind w:firstLine="480" w:firstLineChars="200"/>
        <w:jc w:val="both"/>
        <w:rPr>
          <w:caps/>
        </w:rPr>
      </w:pPr>
      <w:r>
        <w:rPr>
          <w:rFonts w:hint="eastAsia"/>
          <w:caps/>
        </w:rPr>
        <w:t>7.标准附件和工具</w:t>
      </w:r>
    </w:p>
    <w:p>
      <w:pPr>
        <w:pStyle w:val="14"/>
        <w:spacing w:before="0" w:beforeAutospacing="0" w:after="0" w:afterAutospacing="0" w:line="360" w:lineRule="auto"/>
        <w:ind w:firstLine="480" w:firstLineChars="200"/>
        <w:jc w:val="both"/>
        <w:rPr>
          <w:caps/>
        </w:rPr>
      </w:pPr>
      <w:r>
        <w:rPr>
          <w:rFonts w:hint="eastAsia"/>
          <w:caps/>
        </w:rPr>
        <w:t>7.1 供应商应提供维护货物正常运行的专用工具或必备工具。此费用应计算在基本单价中。</w:t>
      </w:r>
    </w:p>
    <w:p>
      <w:pPr>
        <w:pStyle w:val="14"/>
        <w:spacing w:before="0" w:beforeAutospacing="0" w:after="0" w:afterAutospacing="0" w:line="360" w:lineRule="auto"/>
        <w:ind w:firstLine="480" w:firstLineChars="200"/>
        <w:jc w:val="both"/>
        <w:rPr>
          <w:caps/>
        </w:rPr>
      </w:pPr>
      <w:r>
        <w:rPr>
          <w:rFonts w:hint="eastAsia"/>
          <w:caps/>
        </w:rPr>
        <w:t>7.2 供应商应提供保证货物正常运转的标准附件，单独列出品目、单价计算在基本单价中。</w:t>
      </w:r>
    </w:p>
    <w:p>
      <w:pPr>
        <w:pStyle w:val="14"/>
        <w:spacing w:before="0" w:beforeAutospacing="0" w:after="0" w:afterAutospacing="0" w:line="360" w:lineRule="auto"/>
        <w:ind w:firstLine="480" w:firstLineChars="200"/>
        <w:jc w:val="both"/>
        <w:rPr>
          <w:b/>
          <w:caps/>
        </w:rPr>
      </w:pPr>
      <w:r>
        <w:rPr>
          <w:rFonts w:hint="eastAsia"/>
          <w:caps/>
        </w:rPr>
        <w:t>8、</w:t>
      </w:r>
      <w:r>
        <w:rPr>
          <w:rFonts w:hint="eastAsia"/>
          <w:b/>
          <w:caps/>
        </w:rPr>
        <w:t>质量保证：供应商所投项目产品必须提供至少三年质保、三年上门服务（人力+配件）。必须的备品、备件的质保期，供应商须报出详细的质保期限。</w:t>
      </w:r>
    </w:p>
    <w:p>
      <w:pPr>
        <w:pStyle w:val="14"/>
        <w:spacing w:before="0" w:beforeAutospacing="0" w:after="0" w:afterAutospacing="0" w:line="360" w:lineRule="auto"/>
        <w:ind w:firstLine="480" w:firstLineChars="200"/>
        <w:jc w:val="both"/>
        <w:rPr>
          <w:caps/>
        </w:rPr>
      </w:pPr>
      <w:r>
        <w:rPr>
          <w:rFonts w:hint="eastAsia"/>
          <w:caps/>
        </w:rPr>
        <w:t>9、售后服务及保修</w:t>
      </w:r>
    </w:p>
    <w:p>
      <w:pPr>
        <w:pStyle w:val="14"/>
        <w:spacing w:before="0" w:beforeAutospacing="0" w:after="0" w:afterAutospacing="0" w:line="360" w:lineRule="auto"/>
        <w:ind w:firstLine="480" w:firstLineChars="200"/>
        <w:jc w:val="both"/>
        <w:rPr>
          <w:caps/>
        </w:rPr>
      </w:pPr>
      <w:r>
        <w:rPr>
          <w:rFonts w:hint="eastAsia"/>
          <w:caps/>
        </w:rPr>
        <w:t>9.1提供厂家售后服务(省内有维修站)，和该维修点的地址、电话、联系人。所有服务必须在接到电话通知24小时内到达用户，2小时响应。</w:t>
      </w:r>
    </w:p>
    <w:p>
      <w:pPr>
        <w:pStyle w:val="14"/>
        <w:spacing w:before="0" w:beforeAutospacing="0" w:after="0" w:afterAutospacing="0" w:line="360" w:lineRule="auto"/>
        <w:ind w:firstLine="480" w:firstLineChars="200"/>
        <w:jc w:val="both"/>
        <w:rPr>
          <w:caps/>
        </w:rPr>
      </w:pPr>
      <w:r>
        <w:rPr>
          <w:rFonts w:hint="eastAsia"/>
          <w:caps/>
        </w:rPr>
        <w:t>9.2 供应商应提供上述维修服务点与工厂签订的负责维修服务的合同、协议或隶属关系的证明复印本。</w:t>
      </w:r>
    </w:p>
    <w:p>
      <w:pPr>
        <w:pStyle w:val="14"/>
        <w:spacing w:before="0" w:beforeAutospacing="0" w:after="0" w:afterAutospacing="0" w:line="360" w:lineRule="auto"/>
        <w:ind w:firstLine="480" w:firstLineChars="200"/>
        <w:jc w:val="both"/>
        <w:rPr>
          <w:caps/>
        </w:rPr>
      </w:pPr>
      <w:r>
        <w:rPr>
          <w:rFonts w:hint="eastAsia"/>
          <w:caps/>
        </w:rPr>
        <w:t>9.3 供应商应在投标文件中明确用户提出维修后的响应时间（到达用户单位）。</w:t>
      </w:r>
    </w:p>
    <w:p>
      <w:pPr>
        <w:pStyle w:val="14"/>
        <w:spacing w:before="0" w:beforeAutospacing="0" w:after="0" w:afterAutospacing="0" w:line="360" w:lineRule="auto"/>
        <w:ind w:firstLine="480" w:firstLineChars="200"/>
        <w:jc w:val="both"/>
        <w:rPr>
          <w:caps/>
        </w:rPr>
      </w:pPr>
      <w:r>
        <w:rPr>
          <w:rFonts w:hint="eastAsia"/>
          <w:caps/>
        </w:rPr>
        <w:t>9.4 在质保期或保修期内，凡正常使用出现故障，供应商应提供免费维修，并负担维修过程中的费用。</w:t>
      </w:r>
    </w:p>
    <w:p>
      <w:pPr>
        <w:pStyle w:val="14"/>
        <w:spacing w:before="0" w:beforeAutospacing="0" w:after="0" w:afterAutospacing="0" w:line="360" w:lineRule="auto"/>
        <w:ind w:firstLine="480" w:firstLineChars="200"/>
        <w:jc w:val="both"/>
        <w:rPr>
          <w:caps/>
        </w:rPr>
      </w:pPr>
      <w:r>
        <w:rPr>
          <w:rFonts w:hint="eastAsia"/>
          <w:caps/>
        </w:rPr>
        <w:t>9.5 供应商所提供的维修点若不能提供必要的服务或未能按响应时间进行维修，将视为供应商违约。</w:t>
      </w:r>
    </w:p>
    <w:p>
      <w:pPr>
        <w:pStyle w:val="14"/>
        <w:spacing w:before="0" w:beforeAutospacing="0" w:after="0" w:afterAutospacing="0" w:line="360" w:lineRule="auto"/>
        <w:ind w:firstLine="480" w:firstLineChars="200"/>
        <w:jc w:val="both"/>
        <w:rPr>
          <w:caps/>
        </w:rPr>
      </w:pPr>
      <w:r>
        <w:rPr>
          <w:rFonts w:hint="eastAsia"/>
          <w:caps/>
        </w:rPr>
        <w:t>10.</w:t>
      </w:r>
      <w:r>
        <w:rPr>
          <w:rFonts w:hint="eastAsia"/>
          <w:b/>
          <w:caps/>
        </w:rPr>
        <w:t>本次采购项目均为交钥匙工程，所需的一切货物、材料、费用等，全部包含在投标报价之中，采购人不再追加任何费用。</w:t>
      </w:r>
    </w:p>
    <w:p>
      <w:pPr>
        <w:pStyle w:val="14"/>
        <w:spacing w:before="0" w:beforeAutospacing="0" w:after="0" w:afterAutospacing="0" w:line="360" w:lineRule="auto"/>
        <w:ind w:firstLine="480" w:firstLineChars="200"/>
        <w:jc w:val="both"/>
        <w:rPr>
          <w:caps/>
        </w:rPr>
      </w:pPr>
      <w:r>
        <w:rPr>
          <w:rFonts w:hint="eastAsia"/>
          <w:caps/>
        </w:rPr>
        <w:t>11.交货地点：（采购方指定地点）</w:t>
      </w:r>
    </w:p>
    <w:p>
      <w:pPr>
        <w:spacing w:line="360" w:lineRule="auto"/>
        <w:ind w:firstLine="480" w:firstLineChars="200"/>
      </w:pPr>
      <w:r>
        <w:rPr>
          <w:rFonts w:hint="eastAsia" w:ascii="宋体" w:hAnsi="宋体" w:cs="宋体"/>
          <w:kern w:val="0"/>
          <w:sz w:val="24"/>
        </w:rPr>
        <w:t>12.交货及安装完工期：合同签订后</w:t>
      </w:r>
      <w:r>
        <w:rPr>
          <w:rFonts w:ascii="宋体" w:hAnsi="宋体" w:cs="宋体"/>
          <w:kern w:val="0"/>
          <w:sz w:val="24"/>
        </w:rPr>
        <w:t>40</w:t>
      </w:r>
      <w:r>
        <w:rPr>
          <w:rFonts w:hint="eastAsia" w:ascii="宋体" w:hAnsi="宋体" w:cs="宋体"/>
          <w:kern w:val="0"/>
          <w:sz w:val="24"/>
        </w:rPr>
        <w:t>个工作日内交付验收。</w:t>
      </w:r>
    </w:p>
    <w:p>
      <w:pPr>
        <w:pStyle w:val="6"/>
        <w:spacing w:line="360" w:lineRule="auto"/>
        <w:ind w:firstLine="480"/>
        <w:rPr>
          <w:rFonts w:ascii="宋体" w:hAnsi="宋体"/>
          <w:sz w:val="24"/>
        </w:rPr>
      </w:pPr>
      <w:r>
        <w:rPr>
          <w:rFonts w:hint="eastAsia" w:ascii="宋体" w:hAnsi="宋体"/>
          <w:sz w:val="24"/>
        </w:rPr>
        <w:t>13.本章中各包产品的要求为满足招标人所需产品的最低要求，非唯一指定要求，如有与某产品的指标或参数描述相同，并非特指，仅为产品质量、档次、水平的参照，投标供应商可以不低于磋商文件要求的档次、技术、性能的产品参与投标。</w:t>
      </w:r>
    </w:p>
    <w:p>
      <w:pPr>
        <w:spacing w:line="460" w:lineRule="exact"/>
        <w:rPr>
          <w:rFonts w:ascii="宋体" w:hAnsi="宋体" w:cs="宋体"/>
          <w:b/>
          <w:sz w:val="24"/>
          <w:szCs w:val="24"/>
        </w:rPr>
      </w:pPr>
      <w:r>
        <w:rPr>
          <w:rFonts w:hint="eastAsia" w:ascii="宋体" w:hAnsi="宋体" w:cs="宋体"/>
          <w:b/>
          <w:sz w:val="24"/>
          <w:szCs w:val="24"/>
        </w:rPr>
        <w:t>特别提醒：</w:t>
      </w:r>
    </w:p>
    <w:p>
      <w:pPr>
        <w:spacing w:line="460" w:lineRule="exact"/>
        <w:ind w:firstLine="482" w:firstLineChars="200"/>
        <w:rPr>
          <w:rFonts w:ascii="宋体" w:hAnsi="宋体" w:cs="宋体"/>
          <w:b/>
          <w:sz w:val="24"/>
          <w:szCs w:val="24"/>
        </w:rPr>
      </w:pPr>
      <w:r>
        <w:rPr>
          <w:rFonts w:hint="eastAsia" w:ascii="宋体" w:hAnsi="宋体" w:cs="宋体"/>
          <w:b/>
          <w:sz w:val="24"/>
          <w:szCs w:val="24"/>
        </w:rPr>
        <w:t>中标方在家具搬运、安装等过程中要特别注意成品保护，如若造成损坏，由中标方承担赔偿责任。同时，安装完成后做好现场清理。</w:t>
      </w:r>
    </w:p>
    <w:p>
      <w:pPr>
        <w:pStyle w:val="6"/>
        <w:spacing w:line="360" w:lineRule="auto"/>
        <w:ind w:firstLine="480"/>
        <w:rPr>
          <w:rFonts w:ascii="宋体" w:hAnsi="宋体"/>
          <w:sz w:val="24"/>
        </w:rPr>
      </w:pPr>
    </w:p>
    <w:p>
      <w:pPr>
        <w:pStyle w:val="6"/>
        <w:spacing w:line="360" w:lineRule="auto"/>
        <w:ind w:firstLine="480"/>
        <w:rPr>
          <w:rFonts w:ascii="宋体" w:hAnsi="宋体"/>
          <w:sz w:val="24"/>
        </w:rPr>
        <w:sectPr>
          <w:pgSz w:w="11906" w:h="16838"/>
          <w:pgMar w:top="1247" w:right="1418" w:bottom="1247" w:left="1701" w:header="851" w:footer="992" w:gutter="0"/>
          <w:cols w:space="720" w:num="1"/>
          <w:titlePg/>
          <w:docGrid w:linePitch="312" w:charSpace="0"/>
        </w:sectPr>
      </w:pPr>
    </w:p>
    <w:p>
      <w:pPr>
        <w:pStyle w:val="6"/>
        <w:spacing w:line="360" w:lineRule="auto"/>
        <w:ind w:firstLine="480"/>
        <w:rPr>
          <w:rFonts w:ascii="宋体" w:hAnsi="宋体"/>
          <w:sz w:val="24"/>
        </w:rPr>
      </w:pPr>
    </w:p>
    <w:tbl>
      <w:tblPr>
        <w:tblStyle w:val="16"/>
        <w:tblW w:w="14240" w:type="dxa"/>
        <w:tblInd w:w="0" w:type="dxa"/>
        <w:tblLayout w:type="fixed"/>
        <w:tblCellMar>
          <w:top w:w="0" w:type="dxa"/>
          <w:left w:w="108" w:type="dxa"/>
          <w:bottom w:w="0" w:type="dxa"/>
          <w:right w:w="108" w:type="dxa"/>
        </w:tblCellMar>
      </w:tblPr>
      <w:tblGrid>
        <w:gridCol w:w="709"/>
        <w:gridCol w:w="842"/>
        <w:gridCol w:w="7805"/>
        <w:gridCol w:w="709"/>
        <w:gridCol w:w="779"/>
        <w:gridCol w:w="3396"/>
      </w:tblGrid>
      <w:tr>
        <w:tblPrEx>
          <w:tblCellMar>
            <w:top w:w="0" w:type="dxa"/>
            <w:left w:w="108" w:type="dxa"/>
            <w:bottom w:w="0" w:type="dxa"/>
            <w:right w:w="108" w:type="dxa"/>
          </w:tblCellMar>
        </w:tblPrEx>
        <w:trPr>
          <w:trHeight w:val="510" w:hRule="atLeast"/>
          <w:tblHeader/>
        </w:trPr>
        <w:tc>
          <w:tcPr>
            <w:tcW w:w="14240" w:type="dxa"/>
            <w:gridSpan w:val="6"/>
            <w:tcBorders>
              <w:top w:val="nil"/>
              <w:left w:val="nil"/>
              <w:bottom w:val="nil"/>
              <w:right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 w:val="32"/>
                <w:szCs w:val="32"/>
              </w:rPr>
              <w:t>学生宿舍家具购置清单</w:t>
            </w:r>
          </w:p>
        </w:tc>
      </w:tr>
      <w:tr>
        <w:tblPrEx>
          <w:tblCellMar>
            <w:top w:w="0" w:type="dxa"/>
            <w:left w:w="108" w:type="dxa"/>
            <w:bottom w:w="0" w:type="dxa"/>
            <w:right w:w="108" w:type="dxa"/>
          </w:tblCellMar>
        </w:tblPrEx>
        <w:trPr>
          <w:trHeight w:val="397" w:hRule="atLeast"/>
          <w:tblHead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名称</w:t>
            </w:r>
          </w:p>
        </w:tc>
        <w:tc>
          <w:tcPr>
            <w:tcW w:w="78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材质说明</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数量</w:t>
            </w:r>
          </w:p>
        </w:tc>
        <w:tc>
          <w:tcPr>
            <w:tcW w:w="7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单位</w:t>
            </w:r>
          </w:p>
        </w:tc>
        <w:tc>
          <w:tcPr>
            <w:tcW w:w="33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参考图片</w:t>
            </w:r>
          </w:p>
        </w:tc>
      </w:tr>
      <w:tr>
        <w:tblPrEx>
          <w:tblCellMar>
            <w:top w:w="0" w:type="dxa"/>
            <w:left w:w="108" w:type="dxa"/>
            <w:bottom w:w="0" w:type="dxa"/>
            <w:right w:w="108" w:type="dxa"/>
          </w:tblCellMar>
        </w:tblPrEx>
        <w:trPr>
          <w:trHeight w:val="5803"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Cs w:val="21"/>
              </w:rPr>
            </w:pPr>
            <w:r>
              <w:rPr>
                <w:rFonts w:hint="eastAsia" w:ascii="宋体" w:hAnsi="宋体" w:cs="宋体"/>
                <w:kern w:val="0"/>
                <w:szCs w:val="21"/>
              </w:rPr>
              <w:t>1</w:t>
            </w:r>
          </w:p>
        </w:tc>
        <w:tc>
          <w:tcPr>
            <w:tcW w:w="84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Cs w:val="21"/>
              </w:rPr>
            </w:pPr>
            <w:r>
              <w:rPr>
                <w:rFonts w:hint="eastAsia" w:ascii="宋体" w:hAnsi="宋体" w:cs="宋体"/>
                <w:kern w:val="0"/>
                <w:szCs w:val="21"/>
              </w:rPr>
              <w:t>异形管材 组合床</w:t>
            </w:r>
          </w:p>
        </w:tc>
        <w:tc>
          <w:tcPr>
            <w:tcW w:w="7805" w:type="dxa"/>
            <w:tcBorders>
              <w:top w:val="nil"/>
              <w:left w:val="nil"/>
              <w:bottom w:val="single" w:color="auto" w:sz="4" w:space="0"/>
              <w:right w:val="single" w:color="auto" w:sz="4" w:space="0"/>
            </w:tcBorders>
            <w:shd w:val="clear" w:color="auto" w:fill="auto"/>
            <w:vAlign w:val="center"/>
          </w:tcPr>
          <w:p>
            <w:pPr>
              <w:widowControl/>
              <w:rPr>
                <w:rFonts w:ascii="宋体" w:hAnsi="宋体" w:cs="宋体"/>
                <w:bCs/>
                <w:kern w:val="0"/>
                <w:szCs w:val="21"/>
              </w:rPr>
            </w:pPr>
            <w:r>
              <w:rPr>
                <w:rFonts w:hint="eastAsia" w:ascii="宋体" w:hAnsi="宋体" w:cs="宋体"/>
                <w:bCs/>
                <w:kern w:val="0"/>
                <w:szCs w:val="21"/>
              </w:rPr>
              <w:t>单床位规格尺寸1000mm*2000mm*2000mm，两个上下铺床位为一组。</w:t>
            </w:r>
            <w:r>
              <w:rPr>
                <w:rFonts w:hint="eastAsia" w:ascii="宋体" w:hAnsi="宋体" w:cs="宋体"/>
                <w:bCs/>
                <w:kern w:val="0"/>
                <w:szCs w:val="21"/>
              </w:rPr>
              <w:br w:type="textWrapping"/>
            </w:r>
            <w:r>
              <w:rPr>
                <w:rFonts w:hint="eastAsia" w:ascii="宋体" w:hAnsi="宋体" w:cs="宋体"/>
                <w:bCs/>
                <w:kern w:val="0"/>
                <w:szCs w:val="21"/>
              </w:rPr>
              <w:t>材质要求：</w:t>
            </w:r>
          </w:p>
          <w:p>
            <w:pPr>
              <w:widowControl/>
              <w:rPr>
                <w:rFonts w:ascii="宋体" w:hAnsi="宋体" w:cs="宋体"/>
                <w:b/>
                <w:bCs/>
                <w:kern w:val="0"/>
                <w:szCs w:val="21"/>
              </w:rPr>
            </w:pPr>
            <w:r>
              <w:rPr>
                <w:rFonts w:hint="eastAsia" w:ascii="宋体" w:hAnsi="宋体" w:cs="宋体"/>
                <w:bCs/>
                <w:kern w:val="0"/>
                <w:szCs w:val="21"/>
              </w:rPr>
              <w:t>1、床立柱:采用优质冷轧钢型材70mm*70</w:t>
            </w:r>
            <w:r>
              <w:rPr>
                <w:rFonts w:ascii="Arial" w:hAnsi="Arial" w:cs="Arial"/>
                <w:bCs/>
                <w:kern w:val="0"/>
                <w:szCs w:val="21"/>
              </w:rPr>
              <w:softHyphen/>
            </w:r>
            <w:r>
              <w:rPr>
                <w:rFonts w:hint="eastAsia" w:ascii="宋体" w:hAnsi="宋体" w:cs="宋体"/>
                <w:bCs/>
                <w:kern w:val="0"/>
                <w:szCs w:val="21"/>
              </w:rPr>
              <w:t>mm，壁厚1.3mm。（内角双边缘压边），床头护栏采用Ф19mm×1.2mm，优质圆钢管制作，与床头横梁连接成“目”字形，高度为270mm，颜色为灰色；</w:t>
            </w:r>
            <w:r>
              <w:rPr>
                <w:rFonts w:hint="eastAsia" w:ascii="宋体" w:hAnsi="宋体" w:cs="宋体"/>
                <w:bCs/>
                <w:kern w:val="0"/>
                <w:szCs w:val="21"/>
              </w:rPr>
              <w:br w:type="textWrapping"/>
            </w:r>
            <w:r>
              <w:rPr>
                <w:rFonts w:hint="eastAsia" w:ascii="宋体" w:hAnsi="宋体" w:cs="宋体"/>
                <w:bCs/>
                <w:kern w:val="0"/>
                <w:szCs w:val="21"/>
              </w:rPr>
              <w:t>2、床横梁：采用优质冷轧钢板经成型线轧制而成，其立面为中空异形，横梁正面有三条向外凸起加强，使横梁称重力大幅增加，下部圆弧面，立面成型后尺寸为90mm×28mm，壁厚为1.30mm，内外两面均有环氧塑脂喷涂；床体横撑5根，采用20mm×20mm×1.0mm优质钢管制作；床护栏高度要求不低于250mm，长度不低于1200mm；中间楼梯为5步楼梯，床楼梯踏板为一次冲压成型，并且每步楼梯为箱式带门加锁制作方法，带有防滑凸纹，楼梯两侧不需加挡板；</w:t>
            </w:r>
            <w:r>
              <w:rPr>
                <w:rFonts w:hint="eastAsia" w:ascii="宋体" w:hAnsi="宋体" w:cs="宋体"/>
                <w:bCs/>
                <w:kern w:val="0"/>
                <w:szCs w:val="21"/>
              </w:rPr>
              <w:br w:type="textWrapping"/>
            </w:r>
            <w:r>
              <w:rPr>
                <w:rFonts w:hint="eastAsia" w:ascii="宋体" w:hAnsi="宋体" w:cs="宋体"/>
                <w:bCs/>
                <w:kern w:val="0"/>
                <w:szCs w:val="21"/>
              </w:rPr>
              <w:t>3、连接件：采用三孔插卡式连接方式，床立柱和横梁的连接不采用任何螺栓螺丝。</w:t>
            </w:r>
            <w:r>
              <w:rPr>
                <w:rFonts w:hint="eastAsia" w:ascii="宋体" w:hAnsi="宋体" w:cs="宋体"/>
                <w:kern w:val="0"/>
                <w:szCs w:val="21"/>
              </w:rPr>
              <w:br w:type="textWrapping"/>
            </w:r>
            <w:r>
              <w:rPr>
                <w:rFonts w:hint="eastAsia" w:ascii="宋体" w:hAnsi="宋体" w:cs="宋体"/>
                <w:kern w:val="0"/>
                <w:szCs w:val="21"/>
              </w:rPr>
              <w:t>4、床板采用杉木实木条形原木板材，厚度20mm；</w:t>
            </w:r>
            <w:r>
              <w:rPr>
                <w:rFonts w:hint="eastAsia" w:ascii="宋体" w:hAnsi="宋体" w:cs="宋体"/>
                <w:kern w:val="0"/>
                <w:szCs w:val="21"/>
              </w:rPr>
              <w:br w:type="textWrapping"/>
            </w:r>
            <w:r>
              <w:rPr>
                <w:rFonts w:hint="eastAsia" w:ascii="宋体" w:hAnsi="宋体" w:cs="宋体"/>
                <w:kern w:val="0"/>
                <w:szCs w:val="21"/>
              </w:rPr>
              <w:t>5、底脚采用优质PP工程塑胶经磨具一次注塑成型，有防脱处理工艺。</w:t>
            </w:r>
            <w:r>
              <w:rPr>
                <w:rFonts w:hint="eastAsia" w:ascii="宋体" w:hAnsi="宋体" w:cs="宋体"/>
                <w:kern w:val="0"/>
                <w:szCs w:val="21"/>
              </w:rPr>
              <w:br w:type="textWrapping"/>
            </w:r>
            <w:r>
              <w:rPr>
                <w:rFonts w:hint="eastAsia" w:ascii="宋体" w:hAnsi="宋体" w:cs="宋体"/>
                <w:kern w:val="0"/>
                <w:szCs w:val="21"/>
              </w:rPr>
              <w:t>工艺要求：</w:t>
            </w:r>
            <w:r>
              <w:rPr>
                <w:rFonts w:hint="eastAsia" w:ascii="宋体" w:hAnsi="宋体" w:cs="宋体"/>
                <w:kern w:val="0"/>
                <w:szCs w:val="21"/>
              </w:rPr>
              <w:br w:type="textWrapping"/>
            </w:r>
            <w:r>
              <w:rPr>
                <w:rFonts w:hint="eastAsia" w:ascii="宋体" w:hAnsi="宋体" w:cs="宋体"/>
                <w:kern w:val="0"/>
                <w:szCs w:val="21"/>
              </w:rPr>
              <w:t>1、所有材料必须符合相关国家标准。焊接采用CO</w:t>
            </w:r>
            <w:r>
              <w:rPr>
                <w:rFonts w:hint="eastAsia" w:ascii="宋体" w:hAnsi="宋体" w:cs="宋体"/>
                <w:kern w:val="0"/>
                <w:szCs w:val="21"/>
                <w:vertAlign w:val="subscript"/>
              </w:rPr>
              <w:t>2</w:t>
            </w:r>
            <w:r>
              <w:rPr>
                <w:rFonts w:hint="eastAsia" w:ascii="宋体" w:hAnsi="宋体" w:cs="宋体"/>
                <w:kern w:val="0"/>
                <w:szCs w:val="21"/>
              </w:rPr>
              <w:t>保护焊焊接，焊接部分要满焊、焊平、焊实、平滑无毛刺；材料、工艺、金属表面处理，漆膜理化性能、力学性能、安全卫生要求，都必须达到相关国家标准；</w:t>
            </w:r>
            <w:r>
              <w:rPr>
                <w:rFonts w:hint="eastAsia" w:ascii="宋体" w:hAnsi="宋体" w:cs="宋体"/>
                <w:kern w:val="0"/>
                <w:szCs w:val="21"/>
              </w:rPr>
              <w:br w:type="textWrapping"/>
            </w:r>
            <w:r>
              <w:rPr>
                <w:rFonts w:hint="eastAsia" w:ascii="宋体" w:hAnsi="宋体" w:cs="宋体"/>
                <w:kern w:val="0"/>
                <w:szCs w:val="21"/>
              </w:rPr>
              <w:t>2、外观采用酸洗，磷化、喷塑工艺防止生锈，涂层均匀牢固，无流挂，气泡等缺陷；</w:t>
            </w:r>
            <w:r>
              <w:rPr>
                <w:rFonts w:hint="eastAsia" w:ascii="宋体" w:hAnsi="宋体" w:cs="宋体"/>
                <w:kern w:val="0"/>
                <w:szCs w:val="21"/>
              </w:rPr>
              <w:br w:type="textWrapping"/>
            </w:r>
            <w:r>
              <w:rPr>
                <w:rFonts w:hint="eastAsia" w:ascii="宋体" w:hAnsi="宋体" w:cs="宋体"/>
                <w:kern w:val="0"/>
                <w:szCs w:val="21"/>
              </w:rPr>
              <w:t>3、床架组装后应牢固，可靠，安全防挂。</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282</w:t>
            </w: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c>
          <w:tcPr>
            <w:tcW w:w="3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drawing>
                <wp:inline distT="0" distB="0" distL="0" distR="0">
                  <wp:extent cx="2012950" cy="1122045"/>
                  <wp:effectExtent l="0" t="0" r="635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013216" cy="1121869"/>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2563"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Cs w:val="21"/>
              </w:rPr>
            </w:pPr>
            <w:r>
              <w:rPr>
                <w:rFonts w:hint="eastAsia" w:ascii="宋体" w:hAnsi="宋体" w:cs="宋体"/>
                <w:kern w:val="0"/>
                <w:szCs w:val="21"/>
              </w:rPr>
              <w:t>2</w:t>
            </w:r>
          </w:p>
        </w:tc>
        <w:tc>
          <w:tcPr>
            <w:tcW w:w="84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Cs w:val="21"/>
              </w:rPr>
            </w:pPr>
            <w:r>
              <w:rPr>
                <w:rFonts w:hint="eastAsia" w:ascii="宋体" w:hAnsi="宋体" w:cs="宋体"/>
                <w:kern w:val="0"/>
                <w:szCs w:val="21"/>
              </w:rPr>
              <w:t>储物柜</w:t>
            </w:r>
          </w:p>
        </w:tc>
        <w:tc>
          <w:tcPr>
            <w:tcW w:w="780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1、规格尺寸800mm*600mm*1650mm；</w:t>
            </w:r>
          </w:p>
          <w:p>
            <w:pPr>
              <w:widowControl/>
              <w:rPr>
                <w:rFonts w:ascii="宋体" w:hAnsi="宋体" w:cs="宋体"/>
                <w:kern w:val="0"/>
                <w:szCs w:val="21"/>
              </w:rPr>
            </w:pPr>
            <w:r>
              <w:rPr>
                <w:rFonts w:hint="eastAsia" w:ascii="宋体" w:hAnsi="宋体" w:cs="宋体"/>
                <w:b/>
                <w:bCs/>
                <w:kern w:val="0"/>
                <w:szCs w:val="21"/>
              </w:rPr>
              <w:t>2、采用优质冷扎钢板制作</w:t>
            </w:r>
            <w:r>
              <w:rPr>
                <w:rFonts w:hint="eastAsia" w:ascii="宋体" w:hAnsi="宋体" w:cs="宋体"/>
                <w:kern w:val="0"/>
                <w:szCs w:val="21"/>
              </w:rPr>
              <w:t>，加工后不起毛；</w:t>
            </w:r>
          </w:p>
          <w:p>
            <w:pPr>
              <w:widowControl/>
              <w:rPr>
                <w:rFonts w:ascii="宋体" w:hAnsi="宋体" w:cs="宋体"/>
                <w:kern w:val="0"/>
                <w:szCs w:val="21"/>
              </w:rPr>
            </w:pPr>
            <w:r>
              <w:rPr>
                <w:rFonts w:hint="eastAsia" w:ascii="宋体" w:hAnsi="宋体" w:cs="宋体"/>
                <w:kern w:val="0"/>
                <w:szCs w:val="21"/>
              </w:rPr>
              <w:t>3、下层为总高度三分之一，上层总高度的三分之二；</w:t>
            </w:r>
          </w:p>
          <w:p>
            <w:pPr>
              <w:widowControl/>
              <w:rPr>
                <w:rFonts w:ascii="宋体" w:hAnsi="宋体" w:cs="宋体"/>
                <w:kern w:val="0"/>
                <w:szCs w:val="21"/>
              </w:rPr>
            </w:pPr>
            <w:r>
              <w:rPr>
                <w:rFonts w:hint="eastAsia" w:ascii="宋体" w:hAnsi="宋体" w:cs="宋体"/>
                <w:kern w:val="0"/>
                <w:szCs w:val="21"/>
              </w:rPr>
              <w:t>4、每个门需要装锁；</w:t>
            </w:r>
          </w:p>
          <w:p>
            <w:pPr>
              <w:widowControl/>
              <w:rPr>
                <w:rFonts w:ascii="宋体" w:hAnsi="宋体" w:cs="宋体"/>
                <w:kern w:val="0"/>
                <w:szCs w:val="21"/>
              </w:rPr>
            </w:pPr>
            <w:r>
              <w:rPr>
                <w:rFonts w:hint="eastAsia" w:ascii="宋体" w:hAnsi="宋体" w:cs="宋体"/>
                <w:kern w:val="0"/>
                <w:szCs w:val="21"/>
              </w:rPr>
              <w:t>5、板材用料厚度不低于0.8 mm，焊接部分采用高标准点熔接焊，表面平整，整体进行除锈、酸洗、磷化、喷粉、经过200度高温融化处理，环保无毒害，无气味，颜色做成灰色。</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510</w:t>
            </w: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c>
          <w:tcPr>
            <w:tcW w:w="3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drawing>
                <wp:inline distT="0" distB="0" distL="0" distR="0">
                  <wp:extent cx="852805" cy="1513840"/>
                  <wp:effectExtent l="0" t="0" r="4445" b="101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852927" cy="151375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2032"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Cs w:val="21"/>
              </w:rPr>
            </w:pPr>
            <w:r>
              <w:rPr>
                <w:rFonts w:hint="eastAsia" w:ascii="宋体" w:hAnsi="宋体" w:cs="宋体"/>
                <w:kern w:val="0"/>
                <w:szCs w:val="21"/>
              </w:rPr>
              <w:t>3</w:t>
            </w:r>
          </w:p>
        </w:tc>
        <w:tc>
          <w:tcPr>
            <w:tcW w:w="84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Cs w:val="21"/>
              </w:rPr>
            </w:pPr>
            <w:r>
              <w:rPr>
                <w:rFonts w:hint="eastAsia" w:ascii="宋体" w:hAnsi="宋体" w:cs="宋体"/>
                <w:kern w:val="0"/>
                <w:szCs w:val="21"/>
              </w:rPr>
              <w:t>椅子</w:t>
            </w:r>
          </w:p>
        </w:tc>
        <w:tc>
          <w:tcPr>
            <w:tcW w:w="7805" w:type="dxa"/>
            <w:tcBorders>
              <w:top w:val="nil"/>
              <w:left w:val="nil"/>
              <w:bottom w:val="single" w:color="auto" w:sz="4" w:space="0"/>
              <w:right w:val="single" w:color="auto" w:sz="4" w:space="0"/>
            </w:tcBorders>
            <w:shd w:val="clear" w:color="auto" w:fill="auto"/>
            <w:vAlign w:val="center"/>
          </w:tcPr>
          <w:p>
            <w:pPr>
              <w:pStyle w:val="22"/>
              <w:widowControl/>
              <w:numPr>
                <w:ilvl w:val="0"/>
                <w:numId w:val="6"/>
              </w:numPr>
              <w:ind w:firstLineChars="0"/>
              <w:rPr>
                <w:rFonts w:ascii="宋体" w:hAnsi="宋体"/>
                <w:kern w:val="0"/>
                <w:sz w:val="21"/>
                <w:szCs w:val="21"/>
              </w:rPr>
            </w:pPr>
            <w:r>
              <w:rPr>
                <w:rFonts w:hint="eastAsia" w:ascii="宋体" w:hAnsi="宋体"/>
                <w:kern w:val="0"/>
                <w:sz w:val="21"/>
                <w:szCs w:val="21"/>
              </w:rPr>
              <w:t>规格尺寸510mm*430mm*760mm（SH46mm)；</w:t>
            </w:r>
          </w:p>
          <w:p>
            <w:pPr>
              <w:pStyle w:val="22"/>
              <w:widowControl/>
              <w:numPr>
                <w:ilvl w:val="0"/>
                <w:numId w:val="6"/>
              </w:numPr>
              <w:ind w:firstLineChars="0"/>
              <w:rPr>
                <w:rFonts w:ascii="宋体" w:hAnsi="宋体"/>
                <w:kern w:val="0"/>
                <w:sz w:val="21"/>
                <w:szCs w:val="21"/>
              </w:rPr>
            </w:pPr>
            <w:r>
              <w:rPr>
                <w:rFonts w:hint="eastAsia" w:ascii="宋体" w:hAnsi="宋体"/>
                <w:kern w:val="0"/>
                <w:sz w:val="21"/>
                <w:szCs w:val="21"/>
              </w:rPr>
              <w:t>主腿为实木材质，椅座和椅背为新科技橡胶材料。</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564</w:t>
            </w: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把</w:t>
            </w:r>
          </w:p>
        </w:tc>
        <w:tc>
          <w:tcPr>
            <w:tcW w:w="3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drawing>
                <wp:inline distT="0" distB="0" distL="0" distR="0">
                  <wp:extent cx="837565" cy="1214120"/>
                  <wp:effectExtent l="0" t="0" r="635"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837560" cy="1214077"/>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21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Cs w:val="21"/>
              </w:rPr>
            </w:pPr>
            <w:r>
              <w:rPr>
                <w:rFonts w:hint="eastAsia" w:ascii="宋体" w:hAnsi="宋体" w:cs="宋体"/>
                <w:kern w:val="0"/>
                <w:szCs w:val="21"/>
              </w:rPr>
              <w:t>4</w:t>
            </w:r>
          </w:p>
        </w:tc>
        <w:tc>
          <w:tcPr>
            <w:tcW w:w="84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Cs w:val="21"/>
              </w:rPr>
            </w:pPr>
            <w:r>
              <w:rPr>
                <w:rFonts w:hint="eastAsia" w:ascii="宋体" w:hAnsi="宋体" w:cs="宋体"/>
                <w:kern w:val="0"/>
                <w:szCs w:val="21"/>
              </w:rPr>
              <w:t>桌子</w:t>
            </w:r>
          </w:p>
        </w:tc>
        <w:tc>
          <w:tcPr>
            <w:tcW w:w="780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1、规格尺寸1100L*600D*750H（单位：mm）；</w:t>
            </w:r>
          </w:p>
          <w:p>
            <w:pPr>
              <w:widowControl/>
              <w:rPr>
                <w:rFonts w:ascii="宋体" w:hAnsi="宋体" w:cs="宋体"/>
                <w:kern w:val="0"/>
                <w:szCs w:val="21"/>
              </w:rPr>
            </w:pPr>
            <w:r>
              <w:rPr>
                <w:rFonts w:hint="eastAsia" w:ascii="宋体" w:hAnsi="宋体" w:cs="宋体"/>
                <w:kern w:val="0"/>
                <w:szCs w:val="21"/>
              </w:rPr>
              <w:t>2、采用优质冷扎钢板制作，加工后不起毛，稳定性好；</w:t>
            </w:r>
          </w:p>
          <w:p>
            <w:pPr>
              <w:widowControl/>
              <w:rPr>
                <w:rFonts w:ascii="宋体" w:hAnsi="宋体" w:cs="宋体"/>
                <w:kern w:val="0"/>
                <w:szCs w:val="21"/>
              </w:rPr>
            </w:pPr>
            <w:r>
              <w:rPr>
                <w:rFonts w:hint="eastAsia" w:ascii="宋体" w:hAnsi="宋体" w:cs="宋体"/>
                <w:kern w:val="0"/>
                <w:szCs w:val="21"/>
              </w:rPr>
              <w:t>3、抽屉按桌子长度平均分成两个同样大小，每个抽屉需要装锁；</w:t>
            </w:r>
          </w:p>
          <w:p>
            <w:pPr>
              <w:widowControl/>
              <w:rPr>
                <w:rFonts w:ascii="宋体" w:hAnsi="宋体" w:cs="宋体"/>
                <w:kern w:val="0"/>
                <w:szCs w:val="21"/>
              </w:rPr>
            </w:pPr>
            <w:r>
              <w:rPr>
                <w:rFonts w:hint="eastAsia" w:ascii="宋体" w:hAnsi="宋体" w:cs="宋体"/>
                <w:kern w:val="0"/>
                <w:szCs w:val="21"/>
              </w:rPr>
              <w:t>4、框架用料厚度不低于1.0 mm，桌面为不锈钢桌面，焊接部分采用高标准点熔接焊，表面平整，整体进行除锈、酸洗、磷化、喷粉、经过200度高温融化处理，环保无毒害，无气味，颜色为灰色；</w:t>
            </w:r>
          </w:p>
          <w:p>
            <w:pPr>
              <w:widowControl/>
              <w:rPr>
                <w:rFonts w:ascii="宋体" w:hAnsi="宋体"/>
                <w:kern w:val="0"/>
                <w:szCs w:val="21"/>
              </w:rPr>
            </w:pPr>
            <w:r>
              <w:rPr>
                <w:rFonts w:hint="eastAsia" w:ascii="宋体" w:hAnsi="宋体" w:cs="宋体"/>
                <w:kern w:val="0"/>
                <w:szCs w:val="21"/>
              </w:rPr>
              <w:t>5、采用国内品牌五金配件(双节导轨需为阻尼缓冲导轨)</w:t>
            </w:r>
            <w:r>
              <w:rPr>
                <w:rFonts w:ascii="宋体" w:hAnsi="宋体" w:cs="宋体"/>
                <w:kern w:val="0"/>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564</w:t>
            </w: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张</w:t>
            </w:r>
          </w:p>
        </w:tc>
        <w:tc>
          <w:tcPr>
            <w:tcW w:w="3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drawing>
                <wp:inline distT="0" distB="0" distL="0" distR="0">
                  <wp:extent cx="1475105" cy="991235"/>
                  <wp:effectExtent l="0" t="0" r="10795" b="184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75335" cy="99124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560" w:hRule="atLeast"/>
        </w:trPr>
        <w:tc>
          <w:tcPr>
            <w:tcW w:w="1424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b/>
                <w:kern w:val="0"/>
                <w:szCs w:val="21"/>
              </w:rPr>
            </w:pPr>
            <w:r>
              <w:rPr>
                <w:rFonts w:hint="eastAsia" w:ascii="宋体" w:hAnsi="宋体" w:cs="宋体"/>
                <w:b/>
                <w:kern w:val="0"/>
                <w:szCs w:val="21"/>
              </w:rPr>
              <w:t>备注：图片仅供参考，实物以说明为准。投标时需提供所有货物的实物或效果图片。</w:t>
            </w:r>
          </w:p>
        </w:tc>
      </w:tr>
    </w:tbl>
    <w:p/>
    <w:bookmarkEnd w:id="39"/>
    <w:p>
      <w:pPr>
        <w:rPr>
          <w:rFonts w:eastAsia="黑体"/>
          <w:b/>
          <w:sz w:val="44"/>
          <w:szCs w:val="44"/>
        </w:rPr>
        <w:sectPr>
          <w:pgSz w:w="16838" w:h="11906" w:orient="landscape"/>
          <w:pgMar w:top="1418" w:right="1247" w:bottom="1701" w:left="1247" w:header="851" w:footer="992" w:gutter="0"/>
          <w:cols w:space="720" w:num="1"/>
          <w:titlePg/>
          <w:docGrid w:linePitch="312" w:charSpace="0"/>
        </w:sectPr>
      </w:pPr>
      <w:bookmarkStart w:id="40" w:name="_Toc536445016"/>
      <w:bookmarkStart w:id="41" w:name="_Toc44604851"/>
    </w:p>
    <w:p>
      <w:pPr>
        <w:pStyle w:val="6"/>
        <w:spacing w:line="520" w:lineRule="exact"/>
        <w:ind w:firstLine="0" w:firstLineChars="0"/>
        <w:jc w:val="center"/>
        <w:outlineLvl w:val="0"/>
        <w:rPr>
          <w:rFonts w:eastAsia="黑体"/>
          <w:b/>
          <w:kern w:val="2"/>
          <w:sz w:val="44"/>
          <w:szCs w:val="44"/>
        </w:rPr>
      </w:pPr>
      <w:r>
        <w:rPr>
          <w:rFonts w:eastAsia="黑体"/>
          <w:b/>
          <w:kern w:val="2"/>
          <w:sz w:val="44"/>
          <w:szCs w:val="44"/>
        </w:rPr>
        <w:t>第六部分磋商响应文件格式及内容</w:t>
      </w:r>
      <w:bookmarkEnd w:id="40"/>
      <w:bookmarkEnd w:id="41"/>
    </w:p>
    <w:p>
      <w:pPr>
        <w:spacing w:line="460" w:lineRule="exact"/>
        <w:jc w:val="right"/>
        <w:rPr>
          <w:b/>
          <w:sz w:val="30"/>
          <w:szCs w:val="30"/>
        </w:rPr>
      </w:pPr>
      <w:bookmarkStart w:id="42" w:name="_Toc497683382"/>
      <w:r>
        <w:rPr>
          <w:b/>
          <w:sz w:val="30"/>
          <w:szCs w:val="30"/>
        </w:rPr>
        <w:t>封面</w:t>
      </w:r>
      <w:bookmarkEnd w:id="42"/>
    </w:p>
    <w:p>
      <w:pPr>
        <w:spacing w:line="460" w:lineRule="exact"/>
        <w:jc w:val="right"/>
        <w:rPr>
          <w:rFonts w:eastAsia="黑体"/>
          <w:sz w:val="28"/>
        </w:rPr>
      </w:pPr>
    </w:p>
    <w:p>
      <w:pPr>
        <w:ind w:firstLine="1541" w:firstLineChars="300"/>
        <w:rPr>
          <w:rFonts w:eastAsia="黑体"/>
          <w:b/>
          <w:sz w:val="48"/>
          <w:szCs w:val="48"/>
          <w:u w:val="single"/>
        </w:rPr>
      </w:pPr>
      <w:r>
        <w:rPr>
          <w:rFonts w:eastAsia="黑体"/>
          <w:b/>
          <w:spacing w:val="36"/>
          <w:sz w:val="44"/>
          <w:szCs w:val="44"/>
        </w:rPr>
        <w:t>项目名称：</w:t>
      </w:r>
    </w:p>
    <w:p>
      <w:pPr>
        <w:spacing w:line="360" w:lineRule="auto"/>
        <w:jc w:val="center"/>
        <w:rPr>
          <w:rFonts w:eastAsia="黑体"/>
          <w:b/>
          <w:sz w:val="44"/>
          <w:szCs w:val="44"/>
        </w:rPr>
      </w:pPr>
    </w:p>
    <w:p>
      <w:pPr>
        <w:jc w:val="center"/>
        <w:rPr>
          <w:rFonts w:eastAsia="黑体"/>
          <w:sz w:val="36"/>
        </w:rPr>
      </w:pPr>
    </w:p>
    <w:p>
      <w:pPr>
        <w:jc w:val="center"/>
        <w:rPr>
          <w:b/>
          <w:sz w:val="96"/>
          <w:szCs w:val="96"/>
        </w:rPr>
      </w:pPr>
      <w:r>
        <w:rPr>
          <w:b/>
          <w:sz w:val="96"/>
          <w:szCs w:val="96"/>
        </w:rPr>
        <w:t>竞争性磋商响应文件</w:t>
      </w:r>
    </w:p>
    <w:p>
      <w:pPr>
        <w:jc w:val="center"/>
        <w:rPr>
          <w:b/>
          <w:sz w:val="40"/>
          <w:szCs w:val="40"/>
        </w:rPr>
      </w:pPr>
    </w:p>
    <w:p>
      <w:pPr>
        <w:ind w:firstLine="1606" w:firstLineChars="400"/>
        <w:rPr>
          <w:b/>
          <w:sz w:val="40"/>
          <w:szCs w:val="40"/>
          <w:u w:val="single"/>
        </w:rPr>
      </w:pPr>
      <w:r>
        <w:rPr>
          <w:b/>
          <w:sz w:val="40"/>
          <w:szCs w:val="40"/>
        </w:rPr>
        <w:t>项目编号：</w:t>
      </w:r>
    </w:p>
    <w:p>
      <w:pPr>
        <w:spacing w:line="480" w:lineRule="auto"/>
        <w:jc w:val="center"/>
        <w:rPr>
          <w:rFonts w:eastAsia="黑体"/>
          <w:b/>
          <w:bCs/>
          <w:sz w:val="28"/>
          <w:szCs w:val="28"/>
        </w:rPr>
      </w:pPr>
    </w:p>
    <w:p>
      <w:pPr>
        <w:spacing w:line="480" w:lineRule="auto"/>
        <w:rPr>
          <w:rFonts w:eastAsia="黑体"/>
          <w:sz w:val="20"/>
        </w:rPr>
      </w:pPr>
    </w:p>
    <w:p>
      <w:pPr>
        <w:spacing w:line="480" w:lineRule="auto"/>
        <w:rPr>
          <w:rFonts w:eastAsia="黑体"/>
          <w:sz w:val="28"/>
        </w:rPr>
      </w:pPr>
    </w:p>
    <w:p>
      <w:pPr>
        <w:spacing w:line="480" w:lineRule="auto"/>
        <w:rPr>
          <w:rFonts w:eastAsia="黑体"/>
          <w:sz w:val="28"/>
        </w:rPr>
      </w:pPr>
    </w:p>
    <w:p>
      <w:pPr>
        <w:spacing w:line="480" w:lineRule="auto"/>
        <w:rPr>
          <w:rFonts w:eastAsia="黑体"/>
          <w:sz w:val="28"/>
        </w:rPr>
      </w:pPr>
    </w:p>
    <w:p>
      <w:pPr>
        <w:spacing w:line="480" w:lineRule="auto"/>
        <w:rPr>
          <w:rFonts w:eastAsia="黑体"/>
          <w:sz w:val="28"/>
        </w:rPr>
      </w:pPr>
    </w:p>
    <w:p>
      <w:pPr>
        <w:spacing w:line="440" w:lineRule="exact"/>
        <w:jc w:val="center"/>
        <w:rPr>
          <w:b/>
          <w:sz w:val="32"/>
          <w:szCs w:val="28"/>
        </w:rPr>
      </w:pPr>
      <w:r>
        <w:rPr>
          <w:b/>
          <w:sz w:val="32"/>
          <w:szCs w:val="28"/>
        </w:rPr>
        <w:t>供应商（企业电子签章）：</w:t>
      </w:r>
    </w:p>
    <w:p>
      <w:pPr>
        <w:spacing w:line="480" w:lineRule="auto"/>
        <w:jc w:val="center"/>
        <w:rPr>
          <w:b/>
          <w:kern w:val="0"/>
          <w:sz w:val="32"/>
          <w:szCs w:val="32"/>
        </w:rPr>
      </w:pPr>
      <w:r>
        <w:br w:type="page"/>
      </w:r>
      <w:r>
        <w:rPr>
          <w:b/>
          <w:kern w:val="0"/>
          <w:sz w:val="32"/>
          <w:szCs w:val="32"/>
        </w:rPr>
        <w:t>一、法定代表人身份证明书</w:t>
      </w:r>
    </w:p>
    <w:p>
      <w:pPr>
        <w:pStyle w:val="8"/>
        <w:tabs>
          <w:tab w:val="left" w:pos="5580"/>
        </w:tabs>
        <w:spacing w:line="360" w:lineRule="auto"/>
        <w:ind w:left="1100" w:leftChars="-29" w:hanging="1161"/>
        <w:rPr>
          <w:rFonts w:ascii="Times New Roman" w:hAnsi="Times New Roman"/>
          <w:sz w:val="24"/>
        </w:rPr>
      </w:pPr>
      <w:bookmarkStart w:id="43" w:name="_Toc518923110"/>
    </w:p>
    <w:p>
      <w:pPr>
        <w:pStyle w:val="8"/>
        <w:tabs>
          <w:tab w:val="left" w:pos="5580"/>
        </w:tabs>
        <w:spacing w:line="360" w:lineRule="auto"/>
        <w:ind w:left="1100" w:leftChars="-29" w:hanging="1161"/>
        <w:rPr>
          <w:rFonts w:ascii="Times New Roman" w:hAnsi="Times New Roman"/>
          <w:sz w:val="24"/>
        </w:rPr>
      </w:pPr>
      <w:r>
        <w:rPr>
          <w:rFonts w:ascii="Times New Roman" w:hAnsi="Times New Roman"/>
          <w:sz w:val="24"/>
        </w:rPr>
        <w:t>致：</w:t>
      </w:r>
      <w:r>
        <w:rPr>
          <w:rFonts w:hint="eastAsia" w:ascii="Times New Roman" w:hAnsi="Times New Roman"/>
          <w:sz w:val="24"/>
          <w:szCs w:val="24"/>
          <w:u w:val="single"/>
        </w:rPr>
        <w:t>郑州铁路职业技术学院</w:t>
      </w:r>
    </w:p>
    <w:p>
      <w:pPr>
        <w:pStyle w:val="8"/>
        <w:tabs>
          <w:tab w:val="left" w:pos="5580"/>
        </w:tabs>
        <w:spacing w:line="360" w:lineRule="auto"/>
        <w:ind w:left="1100" w:leftChars="-29" w:hanging="1161"/>
        <w:rPr>
          <w:rFonts w:ascii="Times New Roman" w:hAnsi="Times New Roman"/>
          <w:sz w:val="24"/>
        </w:rPr>
      </w:pPr>
    </w:p>
    <w:p>
      <w:pPr>
        <w:pStyle w:val="8"/>
        <w:tabs>
          <w:tab w:val="left" w:pos="5580"/>
        </w:tabs>
        <w:spacing w:line="360" w:lineRule="auto"/>
        <w:ind w:left="-113" w:leftChars="-54" w:firstLine="480" w:firstLineChars="200"/>
        <w:rPr>
          <w:rFonts w:ascii="Times New Roman" w:hAnsi="Times New Roman"/>
          <w:sz w:val="24"/>
        </w:rPr>
      </w:pPr>
      <w:r>
        <w:rPr>
          <w:rFonts w:ascii="Times New Roman" w:hAnsi="Times New Roman"/>
          <w:sz w:val="24"/>
          <w:u w:val="single"/>
        </w:rPr>
        <w:t>（姓名、性别、年龄、身份证号码）</w:t>
      </w:r>
      <w:r>
        <w:rPr>
          <w:rFonts w:ascii="Times New Roman" w:hAnsi="Times New Roman"/>
          <w:sz w:val="24"/>
        </w:rPr>
        <w:t>在我单位任</w:t>
      </w:r>
      <w:r>
        <w:rPr>
          <w:rFonts w:ascii="Times New Roman" w:hAnsi="Times New Roman"/>
          <w:sz w:val="24"/>
          <w:u w:val="single"/>
        </w:rPr>
        <w:t>（董事长、总经理等）</w:t>
      </w:r>
      <w:r>
        <w:rPr>
          <w:rFonts w:ascii="Times New Roman" w:hAnsi="Times New Roman"/>
          <w:sz w:val="24"/>
        </w:rPr>
        <w:t>职务，是我单位的法定代表人。</w:t>
      </w:r>
    </w:p>
    <w:p>
      <w:pPr>
        <w:pStyle w:val="8"/>
        <w:tabs>
          <w:tab w:val="left" w:pos="5580"/>
        </w:tabs>
        <w:spacing w:line="360" w:lineRule="auto"/>
        <w:ind w:left="1080" w:leftChars="257" w:hanging="540"/>
        <w:rPr>
          <w:rFonts w:ascii="Times New Roman" w:hAnsi="Times New Roman"/>
          <w:sz w:val="24"/>
        </w:rPr>
      </w:pPr>
    </w:p>
    <w:p>
      <w:pPr>
        <w:pStyle w:val="8"/>
        <w:tabs>
          <w:tab w:val="left" w:pos="5580"/>
        </w:tabs>
        <w:spacing w:line="360" w:lineRule="auto"/>
        <w:ind w:left="1080" w:leftChars="257" w:hanging="540"/>
        <w:rPr>
          <w:rFonts w:ascii="Times New Roman" w:hAnsi="Times New Roman"/>
          <w:sz w:val="24"/>
        </w:rPr>
      </w:pPr>
      <w:r>
        <w:rPr>
          <w:rFonts w:ascii="Times New Roman" w:hAnsi="Times New Roman"/>
          <w:sz w:val="24"/>
        </w:rPr>
        <w:t>特此证明。</w:t>
      </w:r>
    </w:p>
    <w:p>
      <w:pPr>
        <w:spacing w:line="360" w:lineRule="auto"/>
        <w:ind w:firstLine="480"/>
        <w:rPr>
          <w:sz w:val="24"/>
        </w:rPr>
      </w:pPr>
    </w:p>
    <w:p>
      <w:pPr>
        <w:pStyle w:val="8"/>
        <w:tabs>
          <w:tab w:val="left" w:pos="5580"/>
        </w:tabs>
        <w:spacing w:line="360" w:lineRule="auto"/>
        <w:ind w:left="-540" w:leftChars="-257" w:firstLine="900" w:firstLineChars="375"/>
        <w:rPr>
          <w:rFonts w:ascii="Times New Roman" w:hAnsi="Times New Roman"/>
          <w:sz w:val="24"/>
        </w:rPr>
      </w:pPr>
      <w:r>
        <w:rPr>
          <w:rFonts w:ascii="Times New Roman" w:hAnsi="Times New Roman"/>
          <w:sz w:val="24"/>
        </w:rPr>
        <w:t>供应商（</w:t>
      </w:r>
      <w:r>
        <w:rPr>
          <w:rFonts w:ascii="Times New Roman" w:hAnsi="Times New Roman"/>
          <w:bCs/>
          <w:sz w:val="24"/>
          <w:szCs w:val="24"/>
        </w:rPr>
        <w:t>企业电子签章</w:t>
      </w:r>
      <w:r>
        <w:rPr>
          <w:rFonts w:ascii="Times New Roman" w:hAnsi="Times New Roman"/>
          <w:sz w:val="24"/>
        </w:rPr>
        <w:t>）：</w:t>
      </w:r>
    </w:p>
    <w:p>
      <w:pPr>
        <w:pStyle w:val="8"/>
        <w:tabs>
          <w:tab w:val="left" w:pos="5580"/>
        </w:tabs>
        <w:spacing w:line="360" w:lineRule="auto"/>
        <w:ind w:left="269" w:leftChars="128" w:firstLine="120" w:firstLineChars="50"/>
        <w:rPr>
          <w:rFonts w:ascii="Times New Roman" w:hAnsi="Times New Roman"/>
          <w:sz w:val="24"/>
        </w:rPr>
      </w:pPr>
      <w:r>
        <w:rPr>
          <w:rFonts w:ascii="Times New Roman" w:hAnsi="Times New Roman"/>
          <w:sz w:val="24"/>
        </w:rPr>
        <w:t>详细通讯地址：</w:t>
      </w:r>
    </w:p>
    <w:p>
      <w:pPr>
        <w:pStyle w:val="8"/>
        <w:tabs>
          <w:tab w:val="left" w:pos="5580"/>
        </w:tabs>
        <w:spacing w:line="360" w:lineRule="auto"/>
        <w:ind w:firstLine="360" w:firstLineChars="150"/>
        <w:rPr>
          <w:rFonts w:ascii="Times New Roman" w:hAnsi="Times New Roman"/>
          <w:sz w:val="24"/>
        </w:rPr>
      </w:pPr>
      <w:r>
        <w:rPr>
          <w:rFonts w:ascii="Times New Roman" w:hAnsi="Times New Roman"/>
          <w:sz w:val="24"/>
        </w:rPr>
        <w:t>邮政编码：</w:t>
      </w:r>
    </w:p>
    <w:p>
      <w:pPr>
        <w:pStyle w:val="8"/>
        <w:tabs>
          <w:tab w:val="left" w:pos="5580"/>
        </w:tabs>
        <w:spacing w:line="360" w:lineRule="auto"/>
        <w:ind w:firstLine="360" w:firstLineChars="150"/>
        <w:rPr>
          <w:rFonts w:ascii="Times New Roman" w:hAnsi="Times New Roman"/>
          <w:sz w:val="24"/>
        </w:rPr>
      </w:pPr>
      <w:r>
        <w:rPr>
          <w:rFonts w:ascii="Times New Roman" w:hAnsi="Times New Roman"/>
          <w:sz w:val="24"/>
        </w:rPr>
        <w:t>传　　　　真：</w:t>
      </w:r>
    </w:p>
    <w:p>
      <w:pPr>
        <w:pStyle w:val="8"/>
        <w:tabs>
          <w:tab w:val="left" w:pos="5580"/>
        </w:tabs>
        <w:spacing w:line="360" w:lineRule="auto"/>
        <w:ind w:firstLine="360" w:firstLineChars="150"/>
        <w:rPr>
          <w:rFonts w:ascii="Times New Roman" w:hAnsi="Times New Roman"/>
          <w:sz w:val="24"/>
          <w:u w:val="single"/>
        </w:rPr>
      </w:pPr>
      <w:r>
        <w:rPr>
          <w:rFonts w:ascii="Times New Roman" w:hAnsi="Times New Roman"/>
          <w:sz w:val="24"/>
        </w:rPr>
        <w:t>电　　　　话：</w:t>
      </w:r>
    </w:p>
    <w:p>
      <w:pPr>
        <w:pStyle w:val="8"/>
        <w:tabs>
          <w:tab w:val="left" w:pos="5580"/>
        </w:tabs>
        <w:spacing w:line="360" w:lineRule="auto"/>
        <w:ind w:firstLine="360" w:firstLineChars="150"/>
        <w:rPr>
          <w:rFonts w:ascii="Times New Roman" w:hAnsi="Times New Roman"/>
          <w:sz w:val="24"/>
        </w:rPr>
      </w:pPr>
    </w:p>
    <w:bookmarkEnd w:id="43"/>
    <w:p>
      <w:pPr>
        <w:spacing w:line="480" w:lineRule="auto"/>
        <w:ind w:firstLine="480"/>
        <w:rPr>
          <w:sz w:val="24"/>
        </w:rPr>
      </w:pPr>
      <w:r>
        <w:rPr>
          <w:sz w:val="24"/>
          <w:szCs w:val="24"/>
        </w:rPr>
        <w:t>附：法定代表人身份证正反面扫描件</w:t>
      </w:r>
    </w:p>
    <w:tbl>
      <w:tblPr>
        <w:tblStyle w:val="16"/>
        <w:tblW w:w="8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4484" w:type="dxa"/>
            <w:vAlign w:val="center"/>
          </w:tcPr>
          <w:p>
            <w:pPr>
              <w:jc w:val="center"/>
            </w:pPr>
            <w:r>
              <w:t>法定代表人身份证（人像面）</w:t>
            </w:r>
          </w:p>
        </w:tc>
        <w:tc>
          <w:tcPr>
            <w:tcW w:w="4485" w:type="dxa"/>
            <w:vAlign w:val="center"/>
          </w:tcPr>
          <w:p>
            <w:pPr>
              <w:jc w:val="center"/>
            </w:pPr>
            <w:r>
              <w:t>法定代表人身份证（国徽面）</w:t>
            </w:r>
          </w:p>
        </w:tc>
      </w:tr>
    </w:tbl>
    <w:p>
      <w:pPr>
        <w:pStyle w:val="15"/>
        <w:ind w:firstLine="240"/>
        <w:rPr>
          <w:rFonts w:ascii="Times New Roman" w:hAnsi="Times New Roman"/>
        </w:rPr>
      </w:pPr>
    </w:p>
    <w:p>
      <w:pPr>
        <w:spacing w:line="480" w:lineRule="auto"/>
        <w:jc w:val="center"/>
        <w:rPr>
          <w:b/>
          <w:kern w:val="0"/>
          <w:sz w:val="32"/>
          <w:szCs w:val="32"/>
        </w:rPr>
      </w:pPr>
      <w:r>
        <w:rPr>
          <w:b/>
          <w:kern w:val="0"/>
          <w:sz w:val="32"/>
          <w:szCs w:val="32"/>
        </w:rPr>
        <w:br w:type="page"/>
      </w:r>
      <w:r>
        <w:rPr>
          <w:b/>
          <w:kern w:val="0"/>
          <w:sz w:val="32"/>
          <w:szCs w:val="32"/>
        </w:rPr>
        <w:t>二、法定代表人授权书</w:t>
      </w:r>
    </w:p>
    <w:p>
      <w:pPr>
        <w:spacing w:line="360" w:lineRule="auto"/>
        <w:ind w:firstLine="480" w:firstLineChars="200"/>
        <w:jc w:val="center"/>
        <w:rPr>
          <w:sz w:val="24"/>
          <w:szCs w:val="24"/>
        </w:rPr>
      </w:pPr>
      <w:r>
        <w:rPr>
          <w:sz w:val="24"/>
          <w:szCs w:val="24"/>
        </w:rPr>
        <w:t>（法定代表人参加磋商的无需提供）</w:t>
      </w:r>
    </w:p>
    <w:p>
      <w:pPr>
        <w:spacing w:line="360" w:lineRule="auto"/>
        <w:ind w:firstLine="480" w:firstLineChars="200"/>
        <w:rPr>
          <w:sz w:val="24"/>
          <w:szCs w:val="24"/>
        </w:rPr>
      </w:pPr>
      <w:r>
        <w:rPr>
          <w:sz w:val="24"/>
          <w:szCs w:val="24"/>
        </w:rPr>
        <w:t>本授权书声明：注册于（</w:t>
      </w:r>
      <w:r>
        <w:rPr>
          <w:sz w:val="24"/>
          <w:szCs w:val="24"/>
          <w:u w:val="single"/>
        </w:rPr>
        <w:t>注册地址名称</w:t>
      </w:r>
      <w:r>
        <w:rPr>
          <w:sz w:val="24"/>
          <w:szCs w:val="24"/>
        </w:rPr>
        <w:t>）的(</w:t>
      </w:r>
      <w:r>
        <w:rPr>
          <w:sz w:val="24"/>
          <w:szCs w:val="24"/>
          <w:u w:val="single"/>
        </w:rPr>
        <w:t>单位名称</w:t>
      </w:r>
      <w:r>
        <w:rPr>
          <w:sz w:val="24"/>
          <w:szCs w:val="24"/>
        </w:rPr>
        <w:t>)的（</w:t>
      </w:r>
      <w:r>
        <w:rPr>
          <w:sz w:val="24"/>
          <w:szCs w:val="24"/>
          <w:u w:val="single"/>
        </w:rPr>
        <w:t>法定代表人姓名、职务</w:t>
      </w:r>
      <w:r>
        <w:rPr>
          <w:sz w:val="24"/>
          <w:szCs w:val="24"/>
        </w:rPr>
        <w:t>）代表本公司授权（</w:t>
      </w:r>
      <w:r>
        <w:rPr>
          <w:sz w:val="24"/>
          <w:szCs w:val="24"/>
          <w:u w:val="single"/>
        </w:rPr>
        <w:t>单位名称</w:t>
      </w:r>
      <w:r>
        <w:rPr>
          <w:sz w:val="24"/>
          <w:szCs w:val="24"/>
        </w:rPr>
        <w:t>）的（</w:t>
      </w:r>
      <w:r>
        <w:rPr>
          <w:sz w:val="24"/>
          <w:szCs w:val="24"/>
          <w:u w:val="single"/>
        </w:rPr>
        <w:t>委托代理人的姓名、职务</w:t>
      </w:r>
      <w:r>
        <w:rPr>
          <w:sz w:val="24"/>
          <w:szCs w:val="24"/>
        </w:rPr>
        <w:t>）为本公司的合法代理人，参加</w:t>
      </w:r>
      <w:r>
        <w:rPr>
          <w:rFonts w:hint="eastAsia"/>
          <w:sz w:val="24"/>
          <w:u w:val="single"/>
        </w:rPr>
        <w:t>豫财磋商采购-2020-481郑州铁路职业技术学院学生宿舍家具购置项目</w:t>
      </w:r>
      <w:r>
        <w:rPr>
          <w:sz w:val="24"/>
          <w:szCs w:val="24"/>
        </w:rPr>
        <w:t>的竞争性磋商活动及合同执行，以本公司名义处理一切与之有关的事务。</w:t>
      </w:r>
    </w:p>
    <w:p>
      <w:pPr>
        <w:spacing w:line="360" w:lineRule="auto"/>
        <w:ind w:firstLine="480" w:firstLineChars="200"/>
        <w:rPr>
          <w:sz w:val="24"/>
          <w:szCs w:val="24"/>
        </w:rPr>
      </w:pPr>
      <w:r>
        <w:rPr>
          <w:sz w:val="24"/>
          <w:szCs w:val="24"/>
        </w:rPr>
        <w:t>本授权书于年月日生效。</w:t>
      </w:r>
    </w:p>
    <w:p>
      <w:pPr>
        <w:spacing w:line="360" w:lineRule="auto"/>
        <w:ind w:firstLine="480" w:firstLineChars="200"/>
        <w:rPr>
          <w:bCs/>
          <w:sz w:val="24"/>
          <w:szCs w:val="24"/>
        </w:rPr>
      </w:pPr>
    </w:p>
    <w:p>
      <w:pPr>
        <w:spacing w:line="360" w:lineRule="auto"/>
        <w:ind w:firstLine="480" w:firstLineChars="200"/>
        <w:rPr>
          <w:sz w:val="24"/>
          <w:szCs w:val="24"/>
          <w:u w:val="single"/>
        </w:rPr>
      </w:pPr>
      <w:r>
        <w:rPr>
          <w:bCs/>
          <w:sz w:val="24"/>
          <w:szCs w:val="24"/>
        </w:rPr>
        <w:t>供应商（企业电子签章）：</w:t>
      </w:r>
    </w:p>
    <w:p>
      <w:pPr>
        <w:spacing w:line="360" w:lineRule="auto"/>
        <w:ind w:firstLine="480" w:firstLineChars="200"/>
        <w:rPr>
          <w:bCs/>
          <w:sz w:val="24"/>
          <w:szCs w:val="24"/>
        </w:rPr>
      </w:pPr>
    </w:p>
    <w:p>
      <w:pPr>
        <w:spacing w:line="360" w:lineRule="auto"/>
        <w:ind w:firstLine="480" w:firstLineChars="200"/>
        <w:rPr>
          <w:sz w:val="24"/>
          <w:szCs w:val="24"/>
          <w:u w:val="single"/>
        </w:rPr>
      </w:pPr>
      <w:r>
        <w:rPr>
          <w:bCs/>
          <w:sz w:val="24"/>
          <w:szCs w:val="24"/>
        </w:rPr>
        <w:t>法定代表人（个人电子签章）：</w:t>
      </w:r>
    </w:p>
    <w:p>
      <w:pPr>
        <w:spacing w:line="360" w:lineRule="auto"/>
        <w:ind w:firstLine="480" w:firstLineChars="200"/>
        <w:rPr>
          <w:sz w:val="24"/>
          <w:szCs w:val="24"/>
        </w:rPr>
      </w:pPr>
    </w:p>
    <w:p>
      <w:pPr>
        <w:spacing w:line="360" w:lineRule="auto"/>
        <w:ind w:firstLine="480" w:firstLineChars="200"/>
        <w:rPr>
          <w:sz w:val="24"/>
          <w:szCs w:val="24"/>
        </w:rPr>
      </w:pPr>
      <w:r>
        <w:rPr>
          <w:sz w:val="24"/>
          <w:szCs w:val="24"/>
        </w:rPr>
        <w:t>地址：</w:t>
      </w:r>
    </w:p>
    <w:p>
      <w:pPr>
        <w:spacing w:line="360" w:lineRule="auto"/>
        <w:ind w:firstLine="480" w:firstLineChars="200"/>
        <w:rPr>
          <w:sz w:val="24"/>
          <w:szCs w:val="24"/>
        </w:rPr>
      </w:pPr>
    </w:p>
    <w:p>
      <w:pPr>
        <w:spacing w:line="360" w:lineRule="auto"/>
        <w:ind w:left="210" w:leftChars="100" w:firstLine="480" w:firstLineChars="200"/>
        <w:rPr>
          <w:b/>
          <w:kern w:val="0"/>
          <w:sz w:val="24"/>
          <w:szCs w:val="24"/>
        </w:rPr>
      </w:pPr>
      <w:r>
        <w:rPr>
          <w:sz w:val="24"/>
          <w:szCs w:val="24"/>
        </w:rPr>
        <w:t>附：委托代理人身份证正反面扫描件</w:t>
      </w:r>
    </w:p>
    <w:p>
      <w:pPr>
        <w:jc w:val="center"/>
      </w:pPr>
    </w:p>
    <w:tbl>
      <w:tblPr>
        <w:tblStyle w:val="16"/>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1"/>
        <w:gridCol w:w="4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1" w:hRule="atLeast"/>
          <w:jc w:val="center"/>
        </w:trPr>
        <w:tc>
          <w:tcPr>
            <w:tcW w:w="4491" w:type="dxa"/>
            <w:vAlign w:val="center"/>
          </w:tcPr>
          <w:p>
            <w:pPr>
              <w:jc w:val="center"/>
            </w:pPr>
            <w:bookmarkStart w:id="44" w:name="_资格证明文件"/>
            <w:bookmarkEnd w:id="44"/>
            <w:bookmarkStart w:id="45" w:name="_Toc364329026"/>
            <w:r>
              <w:t>法定代表人授权代表身份证（人像面）</w:t>
            </w:r>
            <w:bookmarkEnd w:id="45"/>
          </w:p>
        </w:tc>
        <w:tc>
          <w:tcPr>
            <w:tcW w:w="4492" w:type="dxa"/>
            <w:vAlign w:val="center"/>
          </w:tcPr>
          <w:p>
            <w:pPr>
              <w:jc w:val="center"/>
            </w:pPr>
            <w:bookmarkStart w:id="46" w:name="_Toc364329027"/>
            <w:r>
              <w:t>法定代表人授权代表身份证（国徽面）</w:t>
            </w:r>
            <w:bookmarkEnd w:id="46"/>
          </w:p>
        </w:tc>
      </w:tr>
    </w:tbl>
    <w:p>
      <w:pPr>
        <w:spacing w:line="480" w:lineRule="auto"/>
        <w:jc w:val="center"/>
        <w:rPr>
          <w:b/>
          <w:kern w:val="0"/>
          <w:sz w:val="32"/>
          <w:szCs w:val="32"/>
        </w:rPr>
      </w:pPr>
    </w:p>
    <w:p>
      <w:pPr>
        <w:spacing w:line="460" w:lineRule="exact"/>
        <w:jc w:val="center"/>
        <w:rPr>
          <w:b/>
          <w:sz w:val="30"/>
          <w:szCs w:val="30"/>
        </w:rPr>
      </w:pPr>
      <w:r>
        <w:br w:type="page"/>
      </w:r>
      <w:r>
        <w:rPr>
          <w:b/>
          <w:sz w:val="30"/>
          <w:szCs w:val="30"/>
        </w:rPr>
        <w:t>三、磋商响应函</w:t>
      </w:r>
    </w:p>
    <w:p>
      <w:pPr>
        <w:spacing w:line="300" w:lineRule="auto"/>
        <w:rPr>
          <w:sz w:val="24"/>
          <w:u w:val="single"/>
        </w:rPr>
      </w:pPr>
      <w:r>
        <w:rPr>
          <w:sz w:val="24"/>
        </w:rPr>
        <w:t>致：</w:t>
      </w:r>
      <w:r>
        <w:rPr>
          <w:rFonts w:hint="eastAsia"/>
          <w:sz w:val="24"/>
          <w:u w:val="single"/>
        </w:rPr>
        <w:t>郑州铁路职业技术学院</w:t>
      </w:r>
    </w:p>
    <w:p>
      <w:pPr>
        <w:spacing w:line="300" w:lineRule="auto"/>
        <w:ind w:firstLine="480" w:firstLineChars="200"/>
        <w:rPr>
          <w:sz w:val="24"/>
        </w:rPr>
      </w:pPr>
      <w:r>
        <w:rPr>
          <w:sz w:val="24"/>
        </w:rPr>
        <w:t>我们收到了</w:t>
      </w:r>
      <w:r>
        <w:rPr>
          <w:rFonts w:hint="eastAsia"/>
          <w:sz w:val="24"/>
          <w:u w:val="single"/>
        </w:rPr>
        <w:t>豫财磋商采购-2020-481郑州铁路职业技术学院学生宿舍家具购置项目</w:t>
      </w:r>
      <w:r>
        <w:rPr>
          <w:sz w:val="24"/>
        </w:rPr>
        <w:t>采购文件，经详细研究，我们决定参加该项目的磋商活动并按要求提交磋商响应文件。我们郑重声明以下诸点并负法律责任:</w:t>
      </w:r>
    </w:p>
    <w:p>
      <w:pPr>
        <w:spacing w:line="300" w:lineRule="auto"/>
        <w:ind w:firstLine="480" w:firstLineChars="200"/>
        <w:rPr>
          <w:sz w:val="24"/>
        </w:rPr>
      </w:pPr>
      <w:r>
        <w:rPr>
          <w:sz w:val="24"/>
        </w:rPr>
        <w:t>1、愿按照采购文件中规定的条款和要求，提供采购文件规定的全部货物和服务，首次总报价为：（大写）元。</w:t>
      </w:r>
    </w:p>
    <w:p>
      <w:pPr>
        <w:spacing w:line="300" w:lineRule="auto"/>
        <w:ind w:firstLine="480" w:firstLineChars="200"/>
        <w:rPr>
          <w:sz w:val="24"/>
        </w:rPr>
      </w:pPr>
      <w:r>
        <w:rPr>
          <w:sz w:val="24"/>
        </w:rPr>
        <w:t>2、磋商响应文件有效期：60日，如果被确定为成交供应商，有效期延长至合同终止日止。</w:t>
      </w:r>
    </w:p>
    <w:p>
      <w:pPr>
        <w:spacing w:line="300" w:lineRule="auto"/>
        <w:ind w:firstLine="480" w:firstLineChars="200"/>
        <w:rPr>
          <w:sz w:val="24"/>
        </w:rPr>
      </w:pPr>
      <w:r>
        <w:rPr>
          <w:sz w:val="24"/>
        </w:rPr>
        <w:t>3、一旦我方成交，我方将严格履行合同规定的责任和义务，保证按竞争性磋商文件要求完成该项目。</w:t>
      </w:r>
    </w:p>
    <w:p>
      <w:pPr>
        <w:spacing w:line="300" w:lineRule="auto"/>
        <w:ind w:firstLine="480" w:firstLineChars="200"/>
        <w:rPr>
          <w:sz w:val="24"/>
        </w:rPr>
      </w:pPr>
      <w:r>
        <w:rPr>
          <w:sz w:val="24"/>
        </w:rPr>
        <w:t>4、我们已经详细审查了全部竞争性磋商文件，包括竞争性文件的澄清、修改和补充通知等文件（如果有的话），完全理解并同意放弃对这方面有不明、误解和质疑的权利。</w:t>
      </w:r>
    </w:p>
    <w:p>
      <w:pPr>
        <w:spacing w:line="300" w:lineRule="auto"/>
        <w:ind w:firstLine="480" w:firstLineChars="200"/>
        <w:rPr>
          <w:sz w:val="24"/>
        </w:rPr>
      </w:pPr>
      <w:r>
        <w:rPr>
          <w:sz w:val="24"/>
        </w:rPr>
        <w:t>5、我方同意按照竞争性磋商文件的要求，向贵单位递交承诺函。</w:t>
      </w:r>
    </w:p>
    <w:p>
      <w:pPr>
        <w:spacing w:line="300" w:lineRule="auto"/>
        <w:ind w:firstLine="480" w:firstLineChars="200"/>
        <w:rPr>
          <w:sz w:val="24"/>
        </w:rPr>
      </w:pPr>
      <w:r>
        <w:rPr>
          <w:sz w:val="24"/>
        </w:rPr>
        <w:t>6、我公司完全理解采购人不一定接受最低价的磋商响应或收到的任何磋商响应。</w:t>
      </w:r>
    </w:p>
    <w:p>
      <w:pPr>
        <w:spacing w:line="300" w:lineRule="auto"/>
        <w:ind w:firstLine="480" w:firstLineChars="200"/>
        <w:rPr>
          <w:sz w:val="24"/>
        </w:rPr>
      </w:pPr>
      <w:r>
        <w:rPr>
          <w:sz w:val="24"/>
        </w:rPr>
        <w:t>7、我们愿提供竞争性磋商文件中要求的所有文件资料，我公司同意提供按照采购人可能要求的与其竞争性磋商采购响应有关的一切数据或资料。并保证所有资料真实、合法、有效。</w:t>
      </w:r>
    </w:p>
    <w:p>
      <w:pPr>
        <w:spacing w:line="300" w:lineRule="auto"/>
        <w:ind w:firstLine="480" w:firstLineChars="200"/>
        <w:rPr>
          <w:sz w:val="24"/>
        </w:rPr>
      </w:pPr>
      <w:r>
        <w:rPr>
          <w:sz w:val="24"/>
        </w:rPr>
        <w:t>8、与采购人、采购人就本次采购的项目委托的咨询机构、集中采购机构、以及上述机构的附属机构没有行政或经济关联。</w:t>
      </w:r>
    </w:p>
    <w:p>
      <w:pPr>
        <w:spacing w:line="300" w:lineRule="auto"/>
        <w:ind w:firstLine="480" w:firstLineChars="200"/>
        <w:rPr>
          <w:sz w:val="24"/>
        </w:rPr>
      </w:pPr>
      <w:r>
        <w:rPr>
          <w:sz w:val="24"/>
        </w:rPr>
        <w:t>9、我们愿按《中华人民共和国政府采购法》《中华人民共和国合同法》履行自己的全部责任。</w:t>
      </w:r>
    </w:p>
    <w:p>
      <w:pPr>
        <w:spacing w:line="300" w:lineRule="auto"/>
        <w:rPr>
          <w:sz w:val="24"/>
        </w:rPr>
      </w:pPr>
    </w:p>
    <w:p>
      <w:pPr>
        <w:spacing w:line="300" w:lineRule="auto"/>
        <w:rPr>
          <w:sz w:val="24"/>
        </w:rPr>
      </w:pPr>
      <w:r>
        <w:rPr>
          <w:sz w:val="24"/>
        </w:rPr>
        <w:t>地址：</w:t>
      </w:r>
    </w:p>
    <w:p>
      <w:pPr>
        <w:spacing w:line="300" w:lineRule="auto"/>
        <w:rPr>
          <w:sz w:val="24"/>
        </w:rPr>
      </w:pPr>
    </w:p>
    <w:p>
      <w:pPr>
        <w:spacing w:line="300" w:lineRule="auto"/>
        <w:rPr>
          <w:sz w:val="24"/>
        </w:rPr>
      </w:pPr>
      <w:r>
        <w:rPr>
          <w:sz w:val="24"/>
        </w:rPr>
        <w:t>联系人：联系方式：</w:t>
      </w:r>
    </w:p>
    <w:p>
      <w:pPr>
        <w:spacing w:line="300" w:lineRule="auto"/>
        <w:ind w:firstLine="465"/>
        <w:rPr>
          <w:sz w:val="24"/>
        </w:rPr>
      </w:pPr>
    </w:p>
    <w:p>
      <w:pPr>
        <w:spacing w:line="300" w:lineRule="auto"/>
        <w:rPr>
          <w:sz w:val="24"/>
        </w:rPr>
      </w:pPr>
      <w:r>
        <w:rPr>
          <w:sz w:val="24"/>
        </w:rPr>
        <w:t>供应商（企业电子签章）：</w:t>
      </w:r>
    </w:p>
    <w:p>
      <w:pPr>
        <w:spacing w:line="300" w:lineRule="auto"/>
        <w:rPr>
          <w:sz w:val="24"/>
        </w:rPr>
      </w:pPr>
    </w:p>
    <w:p>
      <w:pPr>
        <w:spacing w:line="300" w:lineRule="auto"/>
        <w:rPr>
          <w:sz w:val="24"/>
        </w:rPr>
      </w:pPr>
      <w:r>
        <w:rPr>
          <w:sz w:val="24"/>
        </w:rPr>
        <w:t>法定代表人（个人电子签章）：</w:t>
      </w:r>
    </w:p>
    <w:p>
      <w:pPr>
        <w:spacing w:line="300" w:lineRule="auto"/>
        <w:ind w:firstLine="720"/>
        <w:rPr>
          <w:sz w:val="24"/>
        </w:rPr>
      </w:pPr>
    </w:p>
    <w:p>
      <w:pPr>
        <w:spacing w:line="300" w:lineRule="auto"/>
        <w:jc w:val="left"/>
      </w:pPr>
      <w:r>
        <w:rPr>
          <w:sz w:val="24"/>
        </w:rPr>
        <w:t>日期：年月日</w:t>
      </w:r>
    </w:p>
    <w:p>
      <w:pPr>
        <w:pStyle w:val="15"/>
        <w:ind w:firstLine="240"/>
        <w:rPr>
          <w:rFonts w:ascii="Times New Roman" w:hAnsi="Times New Roman"/>
        </w:rPr>
      </w:pPr>
    </w:p>
    <w:p>
      <w:pPr>
        <w:spacing w:line="360" w:lineRule="auto"/>
        <w:jc w:val="center"/>
        <w:rPr>
          <w:b/>
          <w:sz w:val="30"/>
          <w:szCs w:val="30"/>
        </w:rPr>
      </w:pPr>
      <w:bookmarkStart w:id="47" w:name="_Toc90712554"/>
      <w:bookmarkStart w:id="48" w:name="_Toc90713373"/>
      <w:bookmarkStart w:id="49" w:name="_Toc437077350"/>
      <w:bookmarkStart w:id="50" w:name="_Toc428523703"/>
      <w:bookmarkStart w:id="51" w:name="_Toc497683385"/>
      <w:r>
        <w:rPr>
          <w:b/>
          <w:sz w:val="30"/>
          <w:szCs w:val="30"/>
        </w:rPr>
        <w:br w:type="page"/>
      </w:r>
      <w:r>
        <w:rPr>
          <w:b/>
          <w:sz w:val="30"/>
          <w:szCs w:val="30"/>
        </w:rPr>
        <w:t>四、</w:t>
      </w:r>
      <w:bookmarkEnd w:id="47"/>
      <w:bookmarkEnd w:id="48"/>
      <w:bookmarkEnd w:id="49"/>
      <w:bookmarkEnd w:id="50"/>
      <w:r>
        <w:rPr>
          <w:b/>
          <w:kern w:val="0"/>
          <w:sz w:val="32"/>
          <w:szCs w:val="32"/>
        </w:rPr>
        <w:t>磋商报价表格</w:t>
      </w:r>
      <w:bookmarkEnd w:id="51"/>
    </w:p>
    <w:p>
      <w:pPr>
        <w:spacing w:line="360" w:lineRule="auto"/>
        <w:jc w:val="center"/>
        <w:rPr>
          <w:b/>
          <w:sz w:val="32"/>
          <w:szCs w:val="20"/>
        </w:rPr>
      </w:pPr>
      <w:r>
        <w:rPr>
          <w:b/>
          <w:sz w:val="32"/>
          <w:szCs w:val="20"/>
        </w:rPr>
        <w:t>1、磋商响应文件主要内容汇总表</w:t>
      </w:r>
    </w:p>
    <w:tbl>
      <w:tblPr>
        <w:tblStyle w:val="16"/>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1983" w:type="dxa"/>
            <w:vAlign w:val="center"/>
          </w:tcPr>
          <w:p>
            <w:pPr>
              <w:jc w:val="center"/>
              <w:rPr>
                <w:bCs/>
                <w:szCs w:val="21"/>
              </w:rPr>
            </w:pPr>
            <w:r>
              <w:rPr>
                <w:szCs w:val="21"/>
              </w:rPr>
              <w:t>项目名称</w:t>
            </w:r>
          </w:p>
        </w:tc>
        <w:tc>
          <w:tcPr>
            <w:tcW w:w="6937" w:type="dxa"/>
            <w:vAlign w:val="center"/>
          </w:tcPr>
          <w:p>
            <w:pPr>
              <w:rPr>
                <w:szCs w:val="21"/>
              </w:rPr>
            </w:pPr>
            <w:r>
              <w:rPr>
                <w:rFonts w:hint="eastAsia"/>
                <w:color w:val="000000"/>
                <w:szCs w:val="21"/>
              </w:rPr>
              <w:t>郑州铁路职业技术学院学生宿舍家具购置项目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1983" w:type="dxa"/>
            <w:vAlign w:val="center"/>
          </w:tcPr>
          <w:p>
            <w:pPr>
              <w:jc w:val="center"/>
              <w:rPr>
                <w:szCs w:val="21"/>
              </w:rPr>
            </w:pPr>
            <w:r>
              <w:rPr>
                <w:szCs w:val="21"/>
              </w:rPr>
              <w:t>项目编号</w:t>
            </w:r>
          </w:p>
        </w:tc>
        <w:tc>
          <w:tcPr>
            <w:tcW w:w="6937" w:type="dxa"/>
            <w:vAlign w:val="center"/>
          </w:tcPr>
          <w:p>
            <w:pPr>
              <w:rPr>
                <w:color w:val="000000"/>
                <w:szCs w:val="21"/>
              </w:rPr>
            </w:pPr>
            <w:r>
              <w:rPr>
                <w:rFonts w:hint="eastAsia"/>
                <w:color w:val="000000"/>
                <w:szCs w:val="21"/>
              </w:rPr>
              <w:t>豫财磋商采购-2020-481</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1983" w:type="dxa"/>
            <w:vAlign w:val="center"/>
          </w:tcPr>
          <w:p>
            <w:pPr>
              <w:jc w:val="center"/>
              <w:rPr>
                <w:szCs w:val="21"/>
              </w:rPr>
            </w:pPr>
            <w:r>
              <w:rPr>
                <w:szCs w:val="21"/>
              </w:rPr>
              <w:t>供应商名称</w:t>
            </w:r>
          </w:p>
        </w:tc>
        <w:tc>
          <w:tcPr>
            <w:tcW w:w="6937" w:type="dxa"/>
            <w:vAlign w:val="center"/>
          </w:tcPr>
          <w:p>
            <w:pPr>
              <w:pStyle w:val="9"/>
              <w:ind w:left="0" w:leftChars="0"/>
              <w:jc w:val="left"/>
              <w:rPr>
                <w:rFonts w:ascii="Times New Roman" w:hAnsi="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1983" w:type="dxa"/>
            <w:vAlign w:val="center"/>
          </w:tcPr>
          <w:p>
            <w:pPr>
              <w:jc w:val="center"/>
              <w:rPr>
                <w:bCs/>
                <w:szCs w:val="21"/>
              </w:rPr>
            </w:pPr>
            <w:r>
              <w:rPr>
                <w:szCs w:val="21"/>
              </w:rPr>
              <w:t>采购范围</w:t>
            </w:r>
          </w:p>
        </w:tc>
        <w:tc>
          <w:tcPr>
            <w:tcW w:w="6937" w:type="dxa"/>
            <w:vAlign w:val="center"/>
          </w:tcPr>
          <w:p>
            <w:pPr>
              <w:rPr>
                <w:szCs w:val="21"/>
              </w:rPr>
            </w:pPr>
            <w:r>
              <w:rPr>
                <w:rFonts w:hint="eastAsia"/>
                <w:bCs/>
                <w:sz w:val="24"/>
                <w:szCs w:val="24"/>
              </w:rPr>
              <w:t>郑州铁路职业技术学院学生宿舍家具购置项目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1983" w:type="dxa"/>
            <w:vAlign w:val="center"/>
          </w:tcPr>
          <w:p>
            <w:pPr>
              <w:jc w:val="center"/>
              <w:rPr>
                <w:bCs/>
                <w:szCs w:val="21"/>
              </w:rPr>
            </w:pPr>
            <w:r>
              <w:rPr>
                <w:bCs/>
                <w:szCs w:val="21"/>
              </w:rPr>
              <w:t>首次报价</w:t>
            </w:r>
          </w:p>
        </w:tc>
        <w:tc>
          <w:tcPr>
            <w:tcW w:w="6937" w:type="dxa"/>
            <w:vAlign w:val="center"/>
          </w:tcPr>
          <w:p>
            <w:pPr>
              <w:pStyle w:val="9"/>
              <w:ind w:left="0" w:leftChars="0"/>
              <w:rPr>
                <w:rFonts w:ascii="Times New Roman" w:hAnsi="Times New Roman"/>
                <w:kern w:val="2"/>
                <w:sz w:val="21"/>
                <w:szCs w:val="21"/>
              </w:rPr>
            </w:pPr>
            <w:r>
              <w:rPr>
                <w:rFonts w:ascii="Times New Roman" w:hAnsi="Times New Roman"/>
                <w:b/>
                <w:kern w:val="2"/>
                <w:sz w:val="21"/>
                <w:szCs w:val="21"/>
              </w:rPr>
              <w:t>总报价¥：</w:t>
            </w:r>
            <w:r>
              <w:rPr>
                <w:rFonts w:ascii="Times New Roman" w:hAnsi="Times New Roman"/>
                <w:kern w:val="2"/>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983" w:type="dxa"/>
            <w:vAlign w:val="center"/>
          </w:tcPr>
          <w:p>
            <w:pPr>
              <w:spacing w:line="360" w:lineRule="auto"/>
              <w:jc w:val="center"/>
              <w:rPr>
                <w:szCs w:val="21"/>
              </w:rPr>
            </w:pPr>
            <w:r>
              <w:rPr>
                <w:szCs w:val="21"/>
              </w:rPr>
              <w:t>交货期</w:t>
            </w:r>
          </w:p>
        </w:tc>
        <w:tc>
          <w:tcPr>
            <w:tcW w:w="6937" w:type="dxa"/>
            <w:vAlign w:val="center"/>
          </w:tcPr>
          <w:p>
            <w:pPr>
              <w:spacing w:line="360" w:lineRule="auto"/>
              <w:rPr>
                <w:szCs w:val="21"/>
              </w:rPr>
            </w:pPr>
            <w:r>
              <w:rPr>
                <w:szCs w:val="21"/>
              </w:rPr>
              <w:t>合同签订后</w:t>
            </w:r>
            <w:r>
              <w:rPr>
                <w:rFonts w:hint="eastAsia"/>
                <w:szCs w:val="21"/>
                <w:lang w:val="en-US" w:eastAsia="zh-CN"/>
              </w:rPr>
              <w:t>40</w:t>
            </w:r>
            <w:r>
              <w:rPr>
                <w:szCs w:val="21"/>
              </w:rPr>
              <w:t>个日历天内交货、安装、调试完成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983" w:type="dxa"/>
            <w:vAlign w:val="center"/>
          </w:tcPr>
          <w:p>
            <w:pPr>
              <w:spacing w:line="360" w:lineRule="auto"/>
              <w:jc w:val="center"/>
              <w:rPr>
                <w:szCs w:val="21"/>
              </w:rPr>
            </w:pPr>
            <w:r>
              <w:rPr>
                <w:bCs/>
                <w:iCs/>
                <w:szCs w:val="21"/>
              </w:rPr>
              <w:t>交货地点</w:t>
            </w:r>
          </w:p>
        </w:tc>
        <w:tc>
          <w:tcPr>
            <w:tcW w:w="6937" w:type="dxa"/>
            <w:vAlign w:val="center"/>
          </w:tcPr>
          <w:p>
            <w:pPr>
              <w:spacing w:line="360" w:lineRule="auto"/>
              <w:rPr>
                <w:szCs w:val="21"/>
              </w:rPr>
            </w:pPr>
            <w:r>
              <w:rPr>
                <w:szCs w:val="21"/>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983" w:type="dxa"/>
            <w:vAlign w:val="center"/>
          </w:tcPr>
          <w:p>
            <w:pPr>
              <w:spacing w:line="360" w:lineRule="auto"/>
              <w:jc w:val="center"/>
              <w:rPr>
                <w:szCs w:val="21"/>
              </w:rPr>
            </w:pPr>
            <w:r>
              <w:rPr>
                <w:szCs w:val="21"/>
              </w:rPr>
              <w:t>质量保证期</w:t>
            </w:r>
          </w:p>
        </w:tc>
        <w:tc>
          <w:tcPr>
            <w:tcW w:w="6937" w:type="dxa"/>
            <w:vAlign w:val="center"/>
          </w:tcPr>
          <w:p>
            <w:pPr>
              <w:spacing w:line="360" w:lineRule="auto"/>
              <w:rPr>
                <w:szCs w:val="21"/>
              </w:rPr>
            </w:pPr>
            <w:r>
              <w:rPr>
                <w:rFonts w:hint="eastAsia"/>
                <w:szCs w:val="21"/>
                <w:lang w:val="en-US" w:eastAsia="zh-CN"/>
              </w:rPr>
              <w:t>3</w:t>
            </w:r>
            <w:r>
              <w:rPr>
                <w:szCs w:val="21"/>
              </w:rPr>
              <w:t>年，从验收合格之日起开始计算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983" w:type="dxa"/>
            <w:vAlign w:val="center"/>
          </w:tcPr>
          <w:p>
            <w:pPr>
              <w:spacing w:line="360" w:lineRule="auto"/>
              <w:jc w:val="center"/>
              <w:rPr>
                <w:szCs w:val="21"/>
              </w:rPr>
            </w:pPr>
            <w:r>
              <w:rPr>
                <w:szCs w:val="21"/>
              </w:rPr>
              <w:t>响应文件有效期</w:t>
            </w:r>
          </w:p>
        </w:tc>
        <w:tc>
          <w:tcPr>
            <w:tcW w:w="6937" w:type="dxa"/>
            <w:vAlign w:val="center"/>
          </w:tcPr>
          <w:p>
            <w:pPr>
              <w:spacing w:line="360" w:lineRule="auto"/>
              <w:rPr>
                <w:szCs w:val="21"/>
              </w:rPr>
            </w:pPr>
            <w:r>
              <w:rPr>
                <w:szCs w:val="21"/>
              </w:rPr>
              <w:t>60日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983" w:type="dxa"/>
            <w:vAlign w:val="center"/>
          </w:tcPr>
          <w:p>
            <w:pPr>
              <w:spacing w:line="360" w:lineRule="auto"/>
              <w:jc w:val="center"/>
              <w:rPr>
                <w:szCs w:val="21"/>
              </w:rPr>
            </w:pPr>
            <w:r>
              <w:rPr>
                <w:szCs w:val="21"/>
              </w:rPr>
              <w:t>付款方式</w:t>
            </w:r>
          </w:p>
        </w:tc>
        <w:tc>
          <w:tcPr>
            <w:tcW w:w="6937" w:type="dxa"/>
            <w:vAlign w:val="center"/>
          </w:tcPr>
          <w:p>
            <w:pPr>
              <w:spacing w:line="360" w:lineRule="auto"/>
              <w:rPr>
                <w:szCs w:val="21"/>
              </w:rPr>
            </w:pPr>
            <w:r>
              <w:rPr>
                <w:rFonts w:hint="eastAsia"/>
                <w:szCs w:val="21"/>
              </w:rPr>
              <w:t>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983" w:type="dxa"/>
            <w:vAlign w:val="center"/>
          </w:tcPr>
          <w:p>
            <w:pPr>
              <w:spacing w:line="360" w:lineRule="auto"/>
              <w:jc w:val="center"/>
              <w:rPr>
                <w:bCs/>
                <w:szCs w:val="21"/>
              </w:rPr>
            </w:pPr>
            <w:r>
              <w:rPr>
                <w:bCs/>
                <w:szCs w:val="21"/>
              </w:rPr>
              <w:t>合同条款</w:t>
            </w:r>
          </w:p>
        </w:tc>
        <w:tc>
          <w:tcPr>
            <w:tcW w:w="6937" w:type="dxa"/>
            <w:vAlign w:val="center"/>
          </w:tcPr>
          <w:p>
            <w:pPr>
              <w:spacing w:line="360" w:lineRule="auto"/>
              <w:rPr>
                <w:bCs/>
                <w:szCs w:val="21"/>
              </w:rPr>
            </w:pPr>
            <w:r>
              <w:rPr>
                <w:rFonts w:hint="eastAsia"/>
                <w:szCs w:val="21"/>
              </w:rPr>
              <w:t>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83" w:type="dxa"/>
            <w:vAlign w:val="center"/>
          </w:tcPr>
          <w:p>
            <w:pPr>
              <w:jc w:val="center"/>
              <w:rPr>
                <w:bCs/>
                <w:szCs w:val="21"/>
              </w:rPr>
            </w:pPr>
            <w:r>
              <w:rPr>
                <w:bCs/>
                <w:szCs w:val="21"/>
              </w:rPr>
              <w:t>备注</w:t>
            </w:r>
          </w:p>
        </w:tc>
        <w:tc>
          <w:tcPr>
            <w:tcW w:w="6937" w:type="dxa"/>
            <w:vAlign w:val="center"/>
          </w:tcPr>
          <w:p>
            <w:pPr>
              <w:pStyle w:val="9"/>
              <w:ind w:left="0" w:leftChars="0"/>
              <w:rPr>
                <w:rFonts w:ascii="Times New Roman" w:hAnsi="Times New Roman"/>
                <w:kern w:val="2"/>
                <w:sz w:val="21"/>
                <w:szCs w:val="21"/>
              </w:rPr>
            </w:pPr>
          </w:p>
        </w:tc>
      </w:tr>
    </w:tbl>
    <w:p>
      <w:pPr>
        <w:ind w:firstLine="5360"/>
        <w:rPr>
          <w:sz w:val="24"/>
        </w:rPr>
      </w:pPr>
    </w:p>
    <w:p>
      <w:pPr>
        <w:spacing w:line="400" w:lineRule="exact"/>
        <w:rPr>
          <w:sz w:val="24"/>
        </w:rPr>
      </w:pPr>
      <w:r>
        <w:rPr>
          <w:sz w:val="24"/>
        </w:rPr>
        <w:t>供应商（企业电子签章）：</w:t>
      </w:r>
    </w:p>
    <w:p>
      <w:pPr>
        <w:spacing w:line="400" w:lineRule="exact"/>
        <w:rPr>
          <w:sz w:val="24"/>
        </w:rPr>
      </w:pPr>
    </w:p>
    <w:p>
      <w:pPr>
        <w:spacing w:line="400" w:lineRule="exact"/>
        <w:rPr>
          <w:sz w:val="24"/>
        </w:rPr>
      </w:pPr>
      <w:r>
        <w:rPr>
          <w:sz w:val="24"/>
        </w:rPr>
        <w:t>法定代表人（个人电子签章）：</w:t>
      </w:r>
    </w:p>
    <w:p>
      <w:pPr>
        <w:spacing w:line="400" w:lineRule="exact"/>
        <w:ind w:firstLine="720"/>
        <w:rPr>
          <w:sz w:val="24"/>
        </w:rPr>
      </w:pPr>
    </w:p>
    <w:p>
      <w:pPr>
        <w:spacing w:line="360" w:lineRule="auto"/>
        <w:jc w:val="center"/>
        <w:rPr>
          <w:b/>
          <w:bCs/>
          <w:sz w:val="32"/>
          <w:szCs w:val="20"/>
        </w:rPr>
      </w:pPr>
      <w:r>
        <w:rPr>
          <w:b/>
          <w:sz w:val="32"/>
          <w:szCs w:val="20"/>
        </w:rPr>
        <w:br w:type="page"/>
      </w:r>
      <w:r>
        <w:rPr>
          <w:b/>
          <w:sz w:val="32"/>
          <w:szCs w:val="20"/>
        </w:rPr>
        <w:t>2、</w:t>
      </w:r>
      <w:r>
        <w:rPr>
          <w:b/>
          <w:bCs/>
          <w:sz w:val="32"/>
          <w:szCs w:val="20"/>
        </w:rPr>
        <w:t>分项报价一览表</w:t>
      </w:r>
    </w:p>
    <w:p>
      <w:pPr>
        <w:spacing w:line="360" w:lineRule="auto"/>
        <w:jc w:val="center"/>
        <w:rPr>
          <w:b/>
          <w:bCs/>
          <w:sz w:val="24"/>
          <w:szCs w:val="28"/>
        </w:rPr>
      </w:pPr>
      <w:r>
        <w:rPr>
          <w:b/>
          <w:bCs/>
          <w:sz w:val="24"/>
          <w:szCs w:val="28"/>
        </w:rPr>
        <w:t>(格式仅供参考)</w:t>
      </w:r>
    </w:p>
    <w:p>
      <w:pPr>
        <w:spacing w:line="520" w:lineRule="exact"/>
        <w:jc w:val="right"/>
        <w:rPr>
          <w:b/>
          <w:sz w:val="24"/>
          <w:szCs w:val="24"/>
        </w:rPr>
      </w:pPr>
      <w:r>
        <w:rPr>
          <w:b/>
          <w:sz w:val="24"/>
          <w:szCs w:val="24"/>
        </w:rPr>
        <w:t>金额单位：元人民币</w:t>
      </w:r>
    </w:p>
    <w:tbl>
      <w:tblPr>
        <w:tblStyle w:val="16"/>
        <w:tblW w:w="9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5112"/>
        <w:gridCol w:w="1846"/>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18" w:type="dxa"/>
            <w:vAlign w:val="center"/>
          </w:tcPr>
          <w:p>
            <w:pPr>
              <w:jc w:val="center"/>
              <w:rPr>
                <w:b/>
                <w:kern w:val="0"/>
                <w:sz w:val="24"/>
                <w:szCs w:val="24"/>
              </w:rPr>
            </w:pPr>
            <w:r>
              <w:rPr>
                <w:b/>
                <w:kern w:val="0"/>
                <w:sz w:val="24"/>
                <w:szCs w:val="24"/>
              </w:rPr>
              <w:t>序号</w:t>
            </w:r>
          </w:p>
        </w:tc>
        <w:tc>
          <w:tcPr>
            <w:tcW w:w="5112" w:type="dxa"/>
            <w:vAlign w:val="center"/>
          </w:tcPr>
          <w:p>
            <w:pPr>
              <w:jc w:val="center"/>
              <w:rPr>
                <w:b/>
                <w:kern w:val="0"/>
                <w:sz w:val="24"/>
                <w:szCs w:val="24"/>
              </w:rPr>
            </w:pPr>
            <w:r>
              <w:rPr>
                <w:b/>
                <w:kern w:val="0"/>
                <w:sz w:val="24"/>
                <w:szCs w:val="24"/>
              </w:rPr>
              <w:t>项目</w:t>
            </w:r>
          </w:p>
        </w:tc>
        <w:tc>
          <w:tcPr>
            <w:tcW w:w="1846" w:type="dxa"/>
          </w:tcPr>
          <w:p>
            <w:pPr>
              <w:jc w:val="center"/>
              <w:rPr>
                <w:b/>
                <w:kern w:val="0"/>
                <w:sz w:val="24"/>
                <w:szCs w:val="24"/>
              </w:rPr>
            </w:pPr>
            <w:r>
              <w:rPr>
                <w:b/>
                <w:kern w:val="0"/>
                <w:sz w:val="24"/>
                <w:szCs w:val="24"/>
              </w:rPr>
              <w:t>报价</w:t>
            </w:r>
          </w:p>
        </w:tc>
        <w:tc>
          <w:tcPr>
            <w:tcW w:w="1527" w:type="dxa"/>
          </w:tcPr>
          <w:p>
            <w:pPr>
              <w:jc w:val="center"/>
              <w:rPr>
                <w:b/>
                <w:kern w:val="0"/>
                <w:sz w:val="24"/>
                <w:szCs w:val="24"/>
              </w:rPr>
            </w:pPr>
            <w:r>
              <w:rPr>
                <w:b/>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18" w:type="dxa"/>
            <w:vAlign w:val="center"/>
          </w:tcPr>
          <w:p>
            <w:pPr>
              <w:jc w:val="center"/>
              <w:rPr>
                <w:kern w:val="0"/>
              </w:rPr>
            </w:pPr>
            <w:r>
              <w:rPr>
                <w:kern w:val="0"/>
              </w:rPr>
              <w:t>1</w:t>
            </w:r>
          </w:p>
        </w:tc>
        <w:tc>
          <w:tcPr>
            <w:tcW w:w="5112" w:type="dxa"/>
            <w:vAlign w:val="center"/>
          </w:tcPr>
          <w:p>
            <w:pPr>
              <w:rPr>
                <w:kern w:val="0"/>
              </w:rPr>
            </w:pPr>
            <w:r>
              <w:rPr>
                <w:kern w:val="0"/>
              </w:rPr>
              <w:t>产品</w:t>
            </w:r>
          </w:p>
        </w:tc>
        <w:tc>
          <w:tcPr>
            <w:tcW w:w="1846" w:type="dxa"/>
          </w:tcPr>
          <w:p>
            <w:pPr>
              <w:jc w:val="center"/>
              <w:rPr>
                <w:b/>
                <w:kern w:val="0"/>
                <w:sz w:val="24"/>
                <w:szCs w:val="24"/>
              </w:rPr>
            </w:pPr>
          </w:p>
        </w:tc>
        <w:tc>
          <w:tcPr>
            <w:tcW w:w="1527" w:type="dxa"/>
          </w:tcPr>
          <w:p>
            <w:pPr>
              <w:jc w:val="center"/>
              <w:rPr>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18" w:type="dxa"/>
            <w:vAlign w:val="center"/>
          </w:tcPr>
          <w:p>
            <w:pPr>
              <w:jc w:val="center"/>
              <w:rPr>
                <w:kern w:val="0"/>
              </w:rPr>
            </w:pPr>
            <w:r>
              <w:rPr>
                <w:kern w:val="0"/>
              </w:rPr>
              <w:t>2</w:t>
            </w:r>
          </w:p>
        </w:tc>
        <w:tc>
          <w:tcPr>
            <w:tcW w:w="5112" w:type="dxa"/>
            <w:vAlign w:val="center"/>
          </w:tcPr>
          <w:p>
            <w:pPr>
              <w:rPr>
                <w:kern w:val="0"/>
              </w:rPr>
            </w:pPr>
            <w:r>
              <w:rPr>
                <w:kern w:val="0"/>
              </w:rPr>
              <w:t>备件、专用工具和消耗品</w:t>
            </w:r>
          </w:p>
        </w:tc>
        <w:tc>
          <w:tcPr>
            <w:tcW w:w="1846" w:type="dxa"/>
            <w:vAlign w:val="center"/>
          </w:tcPr>
          <w:p>
            <w:pPr>
              <w:spacing w:before="100" w:beforeAutospacing="1" w:after="100" w:afterAutospacing="1" w:line="400" w:lineRule="exact"/>
              <w:jc w:val="center"/>
              <w:rPr>
                <w:kern w:val="0"/>
                <w:sz w:val="20"/>
                <w:szCs w:val="24"/>
              </w:rPr>
            </w:pPr>
          </w:p>
        </w:tc>
        <w:tc>
          <w:tcPr>
            <w:tcW w:w="1527" w:type="dxa"/>
            <w:vAlign w:val="center"/>
          </w:tcPr>
          <w:p>
            <w:pPr>
              <w:jc w:val="center"/>
              <w:rPr>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18" w:type="dxa"/>
            <w:vAlign w:val="center"/>
          </w:tcPr>
          <w:p>
            <w:pPr>
              <w:jc w:val="center"/>
              <w:rPr>
                <w:kern w:val="0"/>
              </w:rPr>
            </w:pPr>
            <w:r>
              <w:rPr>
                <w:kern w:val="0"/>
              </w:rPr>
              <w:t>3</w:t>
            </w:r>
          </w:p>
        </w:tc>
        <w:tc>
          <w:tcPr>
            <w:tcW w:w="5112" w:type="dxa"/>
            <w:vAlign w:val="center"/>
          </w:tcPr>
          <w:p>
            <w:pPr>
              <w:rPr>
                <w:kern w:val="0"/>
              </w:rPr>
            </w:pPr>
            <w:r>
              <w:rPr>
                <w:kern w:val="0"/>
              </w:rPr>
              <w:t>卖方技术服务（安装、调试、运行）</w:t>
            </w:r>
          </w:p>
        </w:tc>
        <w:tc>
          <w:tcPr>
            <w:tcW w:w="1846" w:type="dxa"/>
            <w:vAlign w:val="center"/>
          </w:tcPr>
          <w:p>
            <w:pPr>
              <w:spacing w:before="100" w:beforeAutospacing="1" w:after="100" w:afterAutospacing="1" w:line="400" w:lineRule="exact"/>
              <w:jc w:val="center"/>
              <w:rPr>
                <w:kern w:val="0"/>
                <w:sz w:val="20"/>
                <w:szCs w:val="24"/>
              </w:rPr>
            </w:pPr>
          </w:p>
        </w:tc>
        <w:tc>
          <w:tcPr>
            <w:tcW w:w="1527" w:type="dxa"/>
            <w:vAlign w:val="center"/>
          </w:tcPr>
          <w:p>
            <w:pPr>
              <w:jc w:val="center"/>
              <w:rPr>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18" w:type="dxa"/>
            <w:vAlign w:val="center"/>
          </w:tcPr>
          <w:p>
            <w:pPr>
              <w:jc w:val="center"/>
              <w:rPr>
                <w:kern w:val="0"/>
              </w:rPr>
            </w:pPr>
            <w:r>
              <w:rPr>
                <w:kern w:val="0"/>
              </w:rPr>
              <w:t>4</w:t>
            </w:r>
          </w:p>
        </w:tc>
        <w:tc>
          <w:tcPr>
            <w:tcW w:w="5112" w:type="dxa"/>
            <w:vAlign w:val="center"/>
          </w:tcPr>
          <w:p>
            <w:pPr>
              <w:rPr>
                <w:kern w:val="0"/>
              </w:rPr>
            </w:pPr>
            <w:r>
              <w:rPr>
                <w:kern w:val="0"/>
              </w:rPr>
              <w:t>买方参与技术联络和监造、检验等费</w:t>
            </w:r>
          </w:p>
        </w:tc>
        <w:tc>
          <w:tcPr>
            <w:tcW w:w="1846" w:type="dxa"/>
            <w:vAlign w:val="center"/>
          </w:tcPr>
          <w:p>
            <w:pPr>
              <w:spacing w:before="100" w:beforeAutospacing="1" w:after="100" w:afterAutospacing="1" w:line="400" w:lineRule="exact"/>
              <w:jc w:val="center"/>
              <w:rPr>
                <w:kern w:val="0"/>
                <w:sz w:val="20"/>
                <w:szCs w:val="24"/>
              </w:rPr>
            </w:pPr>
          </w:p>
        </w:tc>
        <w:tc>
          <w:tcPr>
            <w:tcW w:w="1527" w:type="dxa"/>
            <w:vAlign w:val="center"/>
          </w:tcPr>
          <w:p>
            <w:pPr>
              <w:jc w:val="center"/>
              <w:rPr>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18" w:type="dxa"/>
            <w:vAlign w:val="center"/>
          </w:tcPr>
          <w:p>
            <w:pPr>
              <w:jc w:val="center"/>
              <w:rPr>
                <w:kern w:val="0"/>
              </w:rPr>
            </w:pPr>
            <w:r>
              <w:rPr>
                <w:kern w:val="0"/>
              </w:rPr>
              <w:t>5</w:t>
            </w:r>
          </w:p>
        </w:tc>
        <w:tc>
          <w:tcPr>
            <w:tcW w:w="5112" w:type="dxa"/>
            <w:vAlign w:val="center"/>
          </w:tcPr>
          <w:p>
            <w:pPr>
              <w:rPr>
                <w:kern w:val="0"/>
              </w:rPr>
            </w:pPr>
            <w:r>
              <w:rPr>
                <w:kern w:val="0"/>
              </w:rPr>
              <w:t>技术支持</w:t>
            </w:r>
          </w:p>
        </w:tc>
        <w:tc>
          <w:tcPr>
            <w:tcW w:w="1846" w:type="dxa"/>
            <w:vAlign w:val="center"/>
          </w:tcPr>
          <w:p>
            <w:pPr>
              <w:spacing w:before="100" w:beforeAutospacing="1" w:after="100" w:afterAutospacing="1" w:line="400" w:lineRule="exact"/>
              <w:jc w:val="center"/>
              <w:rPr>
                <w:kern w:val="0"/>
                <w:sz w:val="20"/>
                <w:szCs w:val="24"/>
              </w:rPr>
            </w:pPr>
          </w:p>
        </w:tc>
        <w:tc>
          <w:tcPr>
            <w:tcW w:w="1527" w:type="dxa"/>
            <w:vAlign w:val="center"/>
          </w:tcPr>
          <w:p>
            <w:pPr>
              <w:jc w:val="center"/>
              <w:rPr>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18" w:type="dxa"/>
            <w:vAlign w:val="center"/>
          </w:tcPr>
          <w:p>
            <w:pPr>
              <w:jc w:val="center"/>
              <w:rPr>
                <w:kern w:val="0"/>
              </w:rPr>
            </w:pPr>
            <w:r>
              <w:rPr>
                <w:kern w:val="0"/>
              </w:rPr>
              <w:t>6</w:t>
            </w:r>
          </w:p>
        </w:tc>
        <w:tc>
          <w:tcPr>
            <w:tcW w:w="5112" w:type="dxa"/>
            <w:vAlign w:val="center"/>
          </w:tcPr>
          <w:p>
            <w:pPr>
              <w:rPr>
                <w:kern w:val="0"/>
              </w:rPr>
            </w:pPr>
            <w:r>
              <w:rPr>
                <w:kern w:val="0"/>
              </w:rPr>
              <w:t>运费和保险费</w:t>
            </w:r>
          </w:p>
        </w:tc>
        <w:tc>
          <w:tcPr>
            <w:tcW w:w="1846" w:type="dxa"/>
            <w:vAlign w:val="center"/>
          </w:tcPr>
          <w:p>
            <w:pPr>
              <w:spacing w:before="100" w:beforeAutospacing="1" w:after="100" w:afterAutospacing="1" w:line="400" w:lineRule="exact"/>
              <w:jc w:val="center"/>
              <w:rPr>
                <w:kern w:val="0"/>
                <w:sz w:val="20"/>
                <w:szCs w:val="24"/>
              </w:rPr>
            </w:pPr>
          </w:p>
        </w:tc>
        <w:tc>
          <w:tcPr>
            <w:tcW w:w="1527" w:type="dxa"/>
            <w:vAlign w:val="center"/>
          </w:tcPr>
          <w:p>
            <w:pPr>
              <w:jc w:val="center"/>
              <w:rPr>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18" w:type="dxa"/>
            <w:vAlign w:val="center"/>
          </w:tcPr>
          <w:p>
            <w:pPr>
              <w:jc w:val="center"/>
              <w:rPr>
                <w:kern w:val="0"/>
              </w:rPr>
            </w:pPr>
            <w:r>
              <w:rPr>
                <w:kern w:val="0"/>
              </w:rPr>
              <w:t>7</w:t>
            </w:r>
          </w:p>
        </w:tc>
        <w:tc>
          <w:tcPr>
            <w:tcW w:w="5112" w:type="dxa"/>
            <w:vAlign w:val="center"/>
          </w:tcPr>
          <w:p>
            <w:pPr>
              <w:rPr>
                <w:kern w:val="0"/>
              </w:rPr>
            </w:pPr>
            <w:r>
              <w:rPr>
                <w:kern w:val="0"/>
              </w:rPr>
              <w:t>税费</w:t>
            </w:r>
          </w:p>
        </w:tc>
        <w:tc>
          <w:tcPr>
            <w:tcW w:w="1846" w:type="dxa"/>
            <w:vAlign w:val="center"/>
          </w:tcPr>
          <w:p>
            <w:pPr>
              <w:spacing w:before="100" w:beforeAutospacing="1" w:after="100" w:afterAutospacing="1" w:line="400" w:lineRule="exact"/>
              <w:jc w:val="center"/>
              <w:rPr>
                <w:kern w:val="0"/>
                <w:sz w:val="20"/>
                <w:szCs w:val="24"/>
              </w:rPr>
            </w:pPr>
          </w:p>
        </w:tc>
        <w:tc>
          <w:tcPr>
            <w:tcW w:w="1527" w:type="dxa"/>
            <w:vAlign w:val="center"/>
          </w:tcPr>
          <w:p>
            <w:pPr>
              <w:jc w:val="center"/>
              <w:rPr>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18" w:type="dxa"/>
            <w:vAlign w:val="center"/>
          </w:tcPr>
          <w:p>
            <w:pPr>
              <w:jc w:val="center"/>
              <w:rPr>
                <w:kern w:val="0"/>
              </w:rPr>
            </w:pPr>
            <w:r>
              <w:rPr>
                <w:kern w:val="0"/>
              </w:rPr>
              <w:t>8</w:t>
            </w:r>
          </w:p>
        </w:tc>
        <w:tc>
          <w:tcPr>
            <w:tcW w:w="5112" w:type="dxa"/>
            <w:vAlign w:val="center"/>
          </w:tcPr>
          <w:p>
            <w:pPr>
              <w:rPr>
                <w:kern w:val="0"/>
              </w:rPr>
            </w:pPr>
            <w:r>
              <w:rPr>
                <w:kern w:val="0"/>
              </w:rPr>
              <w:t>其他</w:t>
            </w:r>
          </w:p>
        </w:tc>
        <w:tc>
          <w:tcPr>
            <w:tcW w:w="1846" w:type="dxa"/>
            <w:vAlign w:val="center"/>
          </w:tcPr>
          <w:p>
            <w:pPr>
              <w:spacing w:before="100" w:beforeAutospacing="1" w:after="100" w:afterAutospacing="1" w:line="400" w:lineRule="exact"/>
              <w:jc w:val="center"/>
              <w:rPr>
                <w:kern w:val="0"/>
                <w:sz w:val="20"/>
                <w:szCs w:val="24"/>
              </w:rPr>
            </w:pPr>
          </w:p>
        </w:tc>
        <w:tc>
          <w:tcPr>
            <w:tcW w:w="1527" w:type="dxa"/>
            <w:vAlign w:val="center"/>
          </w:tcPr>
          <w:p>
            <w:pPr>
              <w:jc w:val="center"/>
              <w:rPr>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30" w:type="dxa"/>
            <w:gridSpan w:val="2"/>
          </w:tcPr>
          <w:p>
            <w:pPr>
              <w:rPr>
                <w:kern w:val="0"/>
                <w:sz w:val="22"/>
                <w:szCs w:val="24"/>
              </w:rPr>
            </w:pPr>
            <w:r>
              <w:rPr>
                <w:kern w:val="0"/>
                <w:sz w:val="22"/>
                <w:szCs w:val="24"/>
              </w:rPr>
              <w:t>总计（1+2+3+4+5+6+7+8）</w:t>
            </w:r>
          </w:p>
        </w:tc>
        <w:tc>
          <w:tcPr>
            <w:tcW w:w="1846" w:type="dxa"/>
          </w:tcPr>
          <w:p>
            <w:pPr>
              <w:rPr>
                <w:kern w:val="0"/>
                <w:sz w:val="20"/>
                <w:szCs w:val="24"/>
              </w:rPr>
            </w:pPr>
          </w:p>
        </w:tc>
        <w:tc>
          <w:tcPr>
            <w:tcW w:w="1527" w:type="dxa"/>
          </w:tcPr>
          <w:p>
            <w:pPr>
              <w:rPr>
                <w:kern w:val="0"/>
                <w:sz w:val="20"/>
                <w:szCs w:val="24"/>
              </w:rPr>
            </w:pPr>
          </w:p>
        </w:tc>
      </w:tr>
    </w:tbl>
    <w:p>
      <w:pPr>
        <w:rPr>
          <w:szCs w:val="24"/>
        </w:rPr>
      </w:pPr>
    </w:p>
    <w:p>
      <w:pPr>
        <w:rPr>
          <w:szCs w:val="24"/>
        </w:rPr>
      </w:pPr>
      <w:r>
        <w:rPr>
          <w:szCs w:val="24"/>
        </w:rPr>
        <w:t>注：</w:t>
      </w:r>
    </w:p>
    <w:p>
      <w:pPr>
        <w:numPr>
          <w:ilvl w:val="0"/>
          <w:numId w:val="7"/>
        </w:numPr>
        <w:rPr>
          <w:szCs w:val="24"/>
        </w:rPr>
      </w:pPr>
      <w:r>
        <w:rPr>
          <w:szCs w:val="24"/>
        </w:rPr>
        <w:t>如不提供详细分类报价将视为非实质性响应磋商文件。</w:t>
      </w:r>
    </w:p>
    <w:p>
      <w:pPr>
        <w:numPr>
          <w:ilvl w:val="0"/>
          <w:numId w:val="7"/>
        </w:numPr>
        <w:rPr>
          <w:szCs w:val="24"/>
        </w:rPr>
      </w:pPr>
      <w:r>
        <w:rPr>
          <w:szCs w:val="24"/>
        </w:rPr>
        <w:t>序号2、3、4、5、6、7、8如果没有特殊要求可包含在总报价中。</w:t>
      </w:r>
    </w:p>
    <w:p>
      <w:pPr>
        <w:rPr>
          <w:szCs w:val="24"/>
        </w:rPr>
      </w:pPr>
    </w:p>
    <w:p>
      <w:pPr>
        <w:rPr>
          <w:szCs w:val="24"/>
        </w:rPr>
      </w:pPr>
    </w:p>
    <w:p>
      <w:pPr>
        <w:spacing w:line="440" w:lineRule="exact"/>
        <w:rPr>
          <w:b/>
          <w:sz w:val="24"/>
          <w:szCs w:val="24"/>
        </w:rPr>
      </w:pPr>
      <w:r>
        <w:rPr>
          <w:b/>
          <w:sz w:val="24"/>
          <w:szCs w:val="24"/>
        </w:rPr>
        <w:t>供应商（企业电子签章）：</w:t>
      </w:r>
    </w:p>
    <w:p>
      <w:pPr>
        <w:rPr>
          <w:b/>
          <w:szCs w:val="24"/>
        </w:rPr>
      </w:pPr>
    </w:p>
    <w:p>
      <w:pPr>
        <w:rPr>
          <w:b/>
          <w:szCs w:val="24"/>
        </w:rPr>
      </w:pPr>
    </w:p>
    <w:p>
      <w:pPr>
        <w:spacing w:line="440" w:lineRule="exact"/>
        <w:rPr>
          <w:b/>
          <w:sz w:val="24"/>
          <w:szCs w:val="24"/>
        </w:rPr>
      </w:pPr>
      <w:r>
        <w:rPr>
          <w:b/>
          <w:sz w:val="24"/>
          <w:szCs w:val="24"/>
        </w:rPr>
        <w:t>法定代表人（个人电子签章）：</w:t>
      </w:r>
    </w:p>
    <w:p>
      <w:pPr>
        <w:spacing w:line="360" w:lineRule="auto"/>
        <w:jc w:val="center"/>
        <w:rPr>
          <w:b/>
          <w:sz w:val="32"/>
          <w:szCs w:val="20"/>
        </w:rPr>
      </w:pPr>
      <w:r>
        <w:rPr>
          <w:b/>
          <w:bCs/>
          <w:sz w:val="32"/>
          <w:szCs w:val="32"/>
        </w:rPr>
        <w:br w:type="page"/>
      </w:r>
      <w:r>
        <w:rPr>
          <w:b/>
          <w:sz w:val="32"/>
          <w:szCs w:val="20"/>
        </w:rPr>
        <w:t>3、报价明细表</w:t>
      </w:r>
    </w:p>
    <w:p>
      <w:pPr>
        <w:spacing w:line="360" w:lineRule="auto"/>
        <w:jc w:val="center"/>
        <w:rPr>
          <w:b/>
          <w:bCs/>
          <w:sz w:val="24"/>
          <w:szCs w:val="28"/>
        </w:rPr>
      </w:pPr>
      <w:r>
        <w:rPr>
          <w:b/>
          <w:bCs/>
          <w:sz w:val="24"/>
          <w:szCs w:val="28"/>
        </w:rPr>
        <w:t>（格式仅供参考）</w:t>
      </w:r>
    </w:p>
    <w:p>
      <w:pPr>
        <w:spacing w:line="520" w:lineRule="exact"/>
        <w:jc w:val="right"/>
        <w:rPr>
          <w:b/>
          <w:sz w:val="24"/>
          <w:szCs w:val="24"/>
        </w:rPr>
      </w:pPr>
      <w:r>
        <w:rPr>
          <w:b/>
          <w:sz w:val="24"/>
          <w:szCs w:val="24"/>
        </w:rPr>
        <w:t>金额单位：元人民币</w:t>
      </w:r>
    </w:p>
    <w:tbl>
      <w:tblPr>
        <w:tblStyle w:val="16"/>
        <w:tblpPr w:leftFromText="180" w:rightFromText="180" w:vertAnchor="text" w:horzAnchor="margin" w:tblpXSpec="center" w:tblpY="74"/>
        <w:tblOverlap w:val="never"/>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2"/>
        <w:gridCol w:w="1704"/>
        <w:gridCol w:w="1276"/>
        <w:gridCol w:w="851"/>
        <w:gridCol w:w="992"/>
        <w:gridCol w:w="1134"/>
        <w:gridCol w:w="1134"/>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trPr>
        <w:tc>
          <w:tcPr>
            <w:tcW w:w="672" w:type="dxa"/>
            <w:tcBorders>
              <w:top w:val="single" w:color="auto" w:sz="4" w:space="0"/>
              <w:left w:val="single" w:color="auto" w:sz="4" w:space="0"/>
              <w:bottom w:val="single" w:color="auto" w:sz="4" w:space="0"/>
              <w:right w:val="single" w:color="auto" w:sz="4" w:space="0"/>
            </w:tcBorders>
            <w:vAlign w:val="center"/>
          </w:tcPr>
          <w:p>
            <w:pPr>
              <w:jc w:val="center"/>
              <w:rPr>
                <w:b/>
                <w:sz w:val="20"/>
              </w:rPr>
            </w:pPr>
            <w:r>
              <w:rPr>
                <w:b/>
                <w:sz w:val="20"/>
              </w:rPr>
              <w:t>序号</w:t>
            </w:r>
          </w:p>
        </w:tc>
        <w:tc>
          <w:tcPr>
            <w:tcW w:w="1704" w:type="dxa"/>
            <w:tcBorders>
              <w:top w:val="single" w:color="auto" w:sz="4" w:space="0"/>
              <w:left w:val="single" w:color="auto" w:sz="4" w:space="0"/>
              <w:bottom w:val="single" w:color="auto" w:sz="4" w:space="0"/>
              <w:right w:val="single" w:color="auto" w:sz="4" w:space="0"/>
            </w:tcBorders>
            <w:vAlign w:val="center"/>
          </w:tcPr>
          <w:p>
            <w:pPr>
              <w:jc w:val="center"/>
              <w:rPr>
                <w:b/>
                <w:sz w:val="20"/>
              </w:rPr>
            </w:pPr>
            <w:r>
              <w:rPr>
                <w:b/>
                <w:sz w:val="20"/>
              </w:rPr>
              <w:t>品牌型号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b/>
                <w:sz w:val="20"/>
              </w:rPr>
            </w:pPr>
            <w:r>
              <w:rPr>
                <w:b/>
                <w:sz w:val="20"/>
              </w:rPr>
              <w:t>规格</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b/>
                <w:sz w:val="20"/>
              </w:rPr>
            </w:pPr>
            <w:r>
              <w:rPr>
                <w:b/>
                <w:sz w:val="20"/>
              </w:rPr>
              <w:t>数量</w:t>
            </w:r>
          </w:p>
          <w:p>
            <w:pPr>
              <w:jc w:val="center"/>
              <w:rPr>
                <w:b/>
                <w:sz w:val="20"/>
              </w:rPr>
            </w:pPr>
            <w:r>
              <w:rPr>
                <w:b/>
                <w:sz w:val="20"/>
              </w:rPr>
              <w:t>（套）</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
                <w:sz w:val="20"/>
              </w:rPr>
            </w:pPr>
            <w:r>
              <w:rPr>
                <w:b/>
                <w:sz w:val="20"/>
              </w:rPr>
              <w:t>质保期</w:t>
            </w:r>
          </w:p>
          <w:p>
            <w:pPr>
              <w:jc w:val="center"/>
              <w:rPr>
                <w:b/>
                <w:sz w:val="20"/>
              </w:rPr>
            </w:pPr>
            <w:r>
              <w:rPr>
                <w:b/>
                <w:sz w:val="20"/>
              </w:rPr>
              <w:t>（年）</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b/>
                <w:sz w:val="20"/>
              </w:rPr>
            </w:pPr>
            <w:r>
              <w:rPr>
                <w:b/>
                <w:sz w:val="20"/>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b/>
                <w:sz w:val="20"/>
              </w:rPr>
            </w:pPr>
            <w:r>
              <w:rPr>
                <w:b/>
                <w:sz w:val="20"/>
              </w:rPr>
              <w:t>总价</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b/>
                <w:sz w:val="20"/>
              </w:rPr>
            </w:pPr>
            <w:r>
              <w:rPr>
                <w:b/>
                <w:sz w:val="20"/>
              </w:rPr>
              <w:t>生产厂家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trPr>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22"/>
                <w:szCs w:val="24"/>
              </w:rPr>
            </w:pPr>
          </w:p>
        </w:tc>
        <w:tc>
          <w:tcPr>
            <w:tcW w:w="17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kern w:val="0"/>
                <w:sz w:val="18"/>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kern w:val="0"/>
                <w:sz w:val="18"/>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b/>
                <w:sz w:val="20"/>
              </w:rPr>
            </w:pPr>
          </w:p>
        </w:tc>
        <w:tc>
          <w:tcPr>
            <w:tcW w:w="992" w:type="dxa"/>
            <w:tcBorders>
              <w:top w:val="single" w:color="auto" w:sz="4" w:space="0"/>
              <w:left w:val="single" w:color="auto" w:sz="4" w:space="0"/>
              <w:bottom w:val="single" w:color="auto" w:sz="4" w:space="0"/>
              <w:right w:val="single" w:color="auto" w:sz="4" w:space="0"/>
            </w:tcBorders>
          </w:tcPr>
          <w:p>
            <w:pPr>
              <w:jc w:val="center"/>
              <w:rPr>
                <w:sz w:val="20"/>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b/>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b/>
                <w:sz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b/>
                <w:sz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trPr>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22"/>
                <w:szCs w:val="24"/>
              </w:rPr>
            </w:pPr>
          </w:p>
        </w:tc>
        <w:tc>
          <w:tcPr>
            <w:tcW w:w="17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kern w:val="0"/>
                <w:sz w:val="18"/>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kern w:val="0"/>
                <w:sz w:val="18"/>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b/>
                <w:sz w:val="20"/>
              </w:rPr>
            </w:pPr>
          </w:p>
        </w:tc>
        <w:tc>
          <w:tcPr>
            <w:tcW w:w="992" w:type="dxa"/>
            <w:tcBorders>
              <w:top w:val="single" w:color="auto" w:sz="4" w:space="0"/>
              <w:left w:val="single" w:color="auto" w:sz="4" w:space="0"/>
              <w:bottom w:val="single" w:color="auto" w:sz="4" w:space="0"/>
              <w:right w:val="single" w:color="auto" w:sz="4" w:space="0"/>
            </w:tcBorders>
          </w:tcPr>
          <w:p>
            <w:pPr>
              <w:jc w:val="center"/>
              <w:rPr>
                <w:sz w:val="20"/>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b/>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b/>
                <w:sz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b/>
                <w:sz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trPr>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22"/>
                <w:szCs w:val="24"/>
              </w:rPr>
            </w:pPr>
          </w:p>
        </w:tc>
        <w:tc>
          <w:tcPr>
            <w:tcW w:w="17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kern w:val="0"/>
                <w:sz w:val="18"/>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kern w:val="0"/>
                <w:sz w:val="18"/>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b/>
                <w:sz w:val="20"/>
              </w:rPr>
            </w:pPr>
          </w:p>
        </w:tc>
        <w:tc>
          <w:tcPr>
            <w:tcW w:w="992" w:type="dxa"/>
            <w:tcBorders>
              <w:top w:val="single" w:color="auto" w:sz="4" w:space="0"/>
              <w:left w:val="single" w:color="auto" w:sz="4" w:space="0"/>
              <w:bottom w:val="single" w:color="auto" w:sz="4" w:space="0"/>
              <w:right w:val="single" w:color="auto" w:sz="4" w:space="0"/>
            </w:tcBorders>
          </w:tcPr>
          <w:p>
            <w:pPr>
              <w:jc w:val="center"/>
              <w:rPr>
                <w:sz w:val="20"/>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b/>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b/>
                <w:sz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b/>
                <w:sz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trPr>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22"/>
                <w:szCs w:val="24"/>
              </w:rPr>
            </w:pPr>
          </w:p>
        </w:tc>
        <w:tc>
          <w:tcPr>
            <w:tcW w:w="17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kern w:val="0"/>
                <w:sz w:val="18"/>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kern w:val="0"/>
                <w:sz w:val="18"/>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b/>
                <w:sz w:val="20"/>
              </w:rPr>
            </w:pPr>
          </w:p>
        </w:tc>
        <w:tc>
          <w:tcPr>
            <w:tcW w:w="992" w:type="dxa"/>
            <w:tcBorders>
              <w:top w:val="single" w:color="auto" w:sz="4" w:space="0"/>
              <w:left w:val="single" w:color="auto" w:sz="4" w:space="0"/>
              <w:bottom w:val="single" w:color="auto" w:sz="4" w:space="0"/>
              <w:right w:val="single" w:color="auto" w:sz="4" w:space="0"/>
            </w:tcBorders>
          </w:tcPr>
          <w:p>
            <w:pPr>
              <w:jc w:val="center"/>
              <w:rPr>
                <w:sz w:val="20"/>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b/>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b/>
                <w:sz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b/>
                <w:sz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trPr>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22"/>
                <w:szCs w:val="24"/>
              </w:rPr>
            </w:pPr>
          </w:p>
        </w:tc>
        <w:tc>
          <w:tcPr>
            <w:tcW w:w="17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kern w:val="0"/>
                <w:sz w:val="18"/>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18"/>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b/>
                <w:sz w:val="20"/>
              </w:rPr>
            </w:pPr>
          </w:p>
        </w:tc>
        <w:tc>
          <w:tcPr>
            <w:tcW w:w="992" w:type="dxa"/>
            <w:tcBorders>
              <w:top w:val="single" w:color="auto" w:sz="4" w:space="0"/>
              <w:left w:val="single" w:color="auto" w:sz="4" w:space="0"/>
              <w:bottom w:val="single" w:color="auto" w:sz="4" w:space="0"/>
              <w:right w:val="single" w:color="auto" w:sz="4" w:space="0"/>
            </w:tcBorders>
          </w:tcPr>
          <w:p>
            <w:pPr>
              <w:jc w:val="center"/>
              <w:rPr>
                <w:sz w:val="20"/>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b/>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b/>
                <w:sz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b/>
                <w:sz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trPr>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22"/>
                <w:szCs w:val="24"/>
              </w:rPr>
            </w:pPr>
          </w:p>
        </w:tc>
        <w:tc>
          <w:tcPr>
            <w:tcW w:w="17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kern w:val="0"/>
                <w:sz w:val="18"/>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kern w:val="0"/>
                <w:sz w:val="18"/>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b/>
                <w:sz w:val="20"/>
              </w:rPr>
            </w:pPr>
          </w:p>
        </w:tc>
        <w:tc>
          <w:tcPr>
            <w:tcW w:w="992" w:type="dxa"/>
            <w:tcBorders>
              <w:top w:val="single" w:color="auto" w:sz="4" w:space="0"/>
              <w:left w:val="single" w:color="auto" w:sz="4" w:space="0"/>
              <w:bottom w:val="single" w:color="auto" w:sz="4" w:space="0"/>
              <w:right w:val="single" w:color="auto" w:sz="4" w:space="0"/>
            </w:tcBorders>
          </w:tcPr>
          <w:p>
            <w:pPr>
              <w:jc w:val="center"/>
              <w:rPr>
                <w:sz w:val="20"/>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b/>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b/>
                <w:sz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b/>
                <w:sz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trPr>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22"/>
                <w:szCs w:val="24"/>
              </w:rPr>
            </w:pPr>
          </w:p>
        </w:tc>
        <w:tc>
          <w:tcPr>
            <w:tcW w:w="17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kern w:val="0"/>
                <w:sz w:val="18"/>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kern w:val="0"/>
                <w:sz w:val="18"/>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b/>
                <w:sz w:val="20"/>
              </w:rPr>
            </w:pPr>
          </w:p>
        </w:tc>
        <w:tc>
          <w:tcPr>
            <w:tcW w:w="992" w:type="dxa"/>
            <w:tcBorders>
              <w:top w:val="single" w:color="auto" w:sz="4" w:space="0"/>
              <w:left w:val="single" w:color="auto" w:sz="4" w:space="0"/>
              <w:bottom w:val="single" w:color="auto" w:sz="4" w:space="0"/>
              <w:right w:val="single" w:color="auto" w:sz="4" w:space="0"/>
            </w:tcBorders>
          </w:tcPr>
          <w:p>
            <w:pPr>
              <w:jc w:val="center"/>
              <w:rPr>
                <w:sz w:val="20"/>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b/>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b/>
                <w:sz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b/>
                <w:sz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trPr>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22"/>
                <w:szCs w:val="24"/>
              </w:rPr>
            </w:pPr>
          </w:p>
        </w:tc>
        <w:tc>
          <w:tcPr>
            <w:tcW w:w="17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kern w:val="0"/>
                <w:sz w:val="18"/>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kern w:val="0"/>
                <w:sz w:val="18"/>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b/>
                <w:sz w:val="20"/>
              </w:rPr>
            </w:pPr>
          </w:p>
        </w:tc>
        <w:tc>
          <w:tcPr>
            <w:tcW w:w="992" w:type="dxa"/>
            <w:tcBorders>
              <w:top w:val="single" w:color="auto" w:sz="4" w:space="0"/>
              <w:left w:val="single" w:color="auto" w:sz="4" w:space="0"/>
              <w:bottom w:val="single" w:color="auto" w:sz="4" w:space="0"/>
              <w:right w:val="single" w:color="auto" w:sz="4" w:space="0"/>
            </w:tcBorders>
          </w:tcPr>
          <w:p>
            <w:pPr>
              <w:jc w:val="center"/>
              <w:rPr>
                <w:sz w:val="20"/>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b/>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b/>
                <w:sz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b/>
                <w:sz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trPr>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22"/>
                <w:szCs w:val="24"/>
              </w:rPr>
            </w:pPr>
          </w:p>
        </w:tc>
        <w:tc>
          <w:tcPr>
            <w:tcW w:w="17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kern w:val="0"/>
                <w:sz w:val="16"/>
                <w:szCs w:val="18"/>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kern w:val="0"/>
                <w:sz w:val="16"/>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b/>
                <w:sz w:val="20"/>
              </w:rPr>
            </w:pPr>
          </w:p>
        </w:tc>
        <w:tc>
          <w:tcPr>
            <w:tcW w:w="992" w:type="dxa"/>
            <w:tcBorders>
              <w:top w:val="single" w:color="auto" w:sz="4" w:space="0"/>
              <w:left w:val="single" w:color="auto" w:sz="4" w:space="0"/>
              <w:bottom w:val="single" w:color="auto" w:sz="4" w:space="0"/>
              <w:right w:val="single" w:color="auto" w:sz="4" w:space="0"/>
            </w:tcBorders>
          </w:tcPr>
          <w:p>
            <w:pPr>
              <w:jc w:val="center"/>
              <w:rPr>
                <w:sz w:val="20"/>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b/>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b/>
                <w:sz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b/>
                <w:sz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trPr>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22"/>
                <w:szCs w:val="24"/>
              </w:rPr>
            </w:pPr>
          </w:p>
        </w:tc>
        <w:tc>
          <w:tcPr>
            <w:tcW w:w="17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kern w:val="0"/>
                <w:sz w:val="18"/>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kern w:val="0"/>
                <w:sz w:val="18"/>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b/>
                <w:sz w:val="20"/>
              </w:rPr>
            </w:pPr>
          </w:p>
        </w:tc>
        <w:tc>
          <w:tcPr>
            <w:tcW w:w="992" w:type="dxa"/>
            <w:tcBorders>
              <w:top w:val="single" w:color="auto" w:sz="4" w:space="0"/>
              <w:left w:val="single" w:color="auto" w:sz="4" w:space="0"/>
              <w:bottom w:val="single" w:color="auto" w:sz="4" w:space="0"/>
              <w:right w:val="single" w:color="auto" w:sz="4" w:space="0"/>
            </w:tcBorders>
          </w:tcPr>
          <w:p>
            <w:pPr>
              <w:jc w:val="center"/>
              <w:rPr>
                <w:sz w:val="20"/>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b/>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b/>
                <w:sz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b/>
                <w:sz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7" w:hRule="atLeast"/>
        </w:trPr>
        <w:tc>
          <w:tcPr>
            <w:tcW w:w="7763"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楷体_GB2312"/>
                <w:sz w:val="20"/>
              </w:rPr>
            </w:pPr>
            <w:r>
              <w:rPr>
                <w:rFonts w:eastAsia="楷体_GB2312"/>
                <w:sz w:val="24"/>
                <w:szCs w:val="28"/>
              </w:rPr>
              <w:t>合计人民币：（大写）；￥：（小写）</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sz w:val="20"/>
              </w:rPr>
            </w:pPr>
          </w:p>
        </w:tc>
      </w:tr>
    </w:tbl>
    <w:p>
      <w:pPr>
        <w:rPr>
          <w:szCs w:val="24"/>
        </w:rPr>
      </w:pPr>
    </w:p>
    <w:p>
      <w:pPr>
        <w:rPr>
          <w:szCs w:val="24"/>
        </w:rPr>
      </w:pPr>
      <w:r>
        <w:rPr>
          <w:szCs w:val="24"/>
        </w:rPr>
        <w:t>说明：1、此表为提供货物清单，供应商应提供所响应报价范围；</w:t>
      </w:r>
    </w:p>
    <w:p>
      <w:pPr>
        <w:rPr>
          <w:szCs w:val="24"/>
        </w:rPr>
      </w:pPr>
    </w:p>
    <w:p>
      <w:pPr>
        <w:ind w:firstLine="420" w:firstLineChars="200"/>
        <w:rPr>
          <w:szCs w:val="24"/>
        </w:rPr>
      </w:pPr>
      <w:r>
        <w:rPr>
          <w:szCs w:val="24"/>
        </w:rPr>
        <w:t xml:space="preserve"> 2．各项设备详细描述设备功能、特点，达到的效果，可另页描述。</w:t>
      </w:r>
    </w:p>
    <w:p>
      <w:pPr>
        <w:rPr>
          <w:szCs w:val="24"/>
        </w:rPr>
      </w:pPr>
    </w:p>
    <w:p>
      <w:pPr>
        <w:rPr>
          <w:szCs w:val="24"/>
        </w:rPr>
      </w:pPr>
    </w:p>
    <w:p>
      <w:pPr>
        <w:spacing w:line="440" w:lineRule="exact"/>
        <w:ind w:right="960"/>
        <w:rPr>
          <w:b/>
          <w:sz w:val="24"/>
          <w:szCs w:val="24"/>
        </w:rPr>
      </w:pPr>
      <w:r>
        <w:rPr>
          <w:b/>
          <w:sz w:val="24"/>
          <w:szCs w:val="24"/>
        </w:rPr>
        <w:t>供应商（企业电子签章）：</w:t>
      </w:r>
    </w:p>
    <w:p>
      <w:pPr>
        <w:rPr>
          <w:b/>
          <w:szCs w:val="24"/>
        </w:rPr>
      </w:pPr>
    </w:p>
    <w:p>
      <w:pPr>
        <w:rPr>
          <w:b/>
          <w:szCs w:val="24"/>
        </w:rPr>
      </w:pPr>
    </w:p>
    <w:p>
      <w:pPr>
        <w:spacing w:line="440" w:lineRule="exact"/>
        <w:rPr>
          <w:b/>
          <w:sz w:val="24"/>
          <w:szCs w:val="24"/>
        </w:rPr>
      </w:pPr>
      <w:r>
        <w:rPr>
          <w:b/>
          <w:sz w:val="24"/>
          <w:szCs w:val="24"/>
        </w:rPr>
        <w:t>法定代表人（个人电子签章）：</w:t>
      </w:r>
    </w:p>
    <w:p>
      <w:pPr>
        <w:spacing w:line="360" w:lineRule="auto"/>
        <w:jc w:val="center"/>
        <w:rPr>
          <w:b/>
          <w:sz w:val="30"/>
          <w:szCs w:val="30"/>
        </w:rPr>
      </w:pPr>
      <w:r>
        <w:rPr>
          <w:b/>
          <w:sz w:val="24"/>
          <w:szCs w:val="24"/>
        </w:rPr>
        <w:br w:type="page"/>
      </w:r>
      <w:bookmarkStart w:id="52" w:name="_Toc497683389"/>
      <w:bookmarkStart w:id="53" w:name="_Toc428523704"/>
      <w:bookmarkStart w:id="54" w:name="_Toc437077351"/>
      <w:r>
        <w:rPr>
          <w:b/>
          <w:sz w:val="30"/>
          <w:szCs w:val="30"/>
        </w:rPr>
        <w:t>五、资格证明文件</w:t>
      </w:r>
      <w:bookmarkEnd w:id="52"/>
      <w:bookmarkEnd w:id="53"/>
      <w:bookmarkEnd w:id="54"/>
    </w:p>
    <w:p>
      <w:pPr>
        <w:pStyle w:val="23"/>
        <w:numPr>
          <w:ilvl w:val="0"/>
          <w:numId w:val="8"/>
        </w:numPr>
        <w:spacing w:line="360" w:lineRule="auto"/>
        <w:jc w:val="center"/>
        <w:outlineLvl w:val="9"/>
      </w:pPr>
      <w:bookmarkStart w:id="55" w:name="_Toc301714382"/>
      <w:bookmarkEnd w:id="55"/>
      <w:bookmarkStart w:id="56" w:name="_Toc301713793"/>
      <w:bookmarkEnd w:id="56"/>
      <w:r>
        <w:t>营业执照</w:t>
      </w:r>
    </w:p>
    <w:p>
      <w:pPr>
        <w:spacing w:line="360" w:lineRule="auto"/>
        <w:rPr>
          <w:rFonts w:eastAsia="黑体"/>
          <w:sz w:val="20"/>
        </w:rPr>
      </w:pPr>
    </w:p>
    <w:p>
      <w:pPr>
        <w:spacing w:line="360" w:lineRule="auto"/>
        <w:rPr>
          <w:rFonts w:eastAsia="黑体"/>
          <w:sz w:val="20"/>
        </w:rPr>
      </w:pPr>
    </w:p>
    <w:p>
      <w:pPr>
        <w:pStyle w:val="23"/>
        <w:numPr>
          <w:ilvl w:val="0"/>
          <w:numId w:val="8"/>
        </w:numPr>
        <w:spacing w:line="360" w:lineRule="auto"/>
        <w:jc w:val="center"/>
        <w:outlineLvl w:val="9"/>
      </w:pPr>
      <w:r>
        <w:t>供应商财务审计报告</w:t>
      </w:r>
    </w:p>
    <w:p>
      <w:pPr>
        <w:snapToGrid w:val="0"/>
        <w:spacing w:line="360" w:lineRule="auto"/>
        <w:jc w:val="left"/>
        <w:rPr>
          <w:b/>
          <w:sz w:val="24"/>
          <w:szCs w:val="24"/>
        </w:rPr>
      </w:pPr>
      <w:r>
        <w:rPr>
          <w:sz w:val="24"/>
          <w:szCs w:val="24"/>
        </w:rPr>
        <w:t>供应商财务审计报告扫描件，要求注册会计师签字并加盖会计师印章（截止到响应文件开启时间，供应商成立时间不足要求时限的，可提供银行资信证明材料）</w:t>
      </w:r>
    </w:p>
    <w:p>
      <w:pPr>
        <w:pStyle w:val="23"/>
        <w:spacing w:line="360" w:lineRule="auto"/>
        <w:outlineLvl w:val="9"/>
      </w:pPr>
    </w:p>
    <w:p>
      <w:pPr>
        <w:pStyle w:val="23"/>
        <w:spacing w:line="360" w:lineRule="auto"/>
        <w:outlineLvl w:val="9"/>
      </w:pPr>
    </w:p>
    <w:p>
      <w:pPr>
        <w:pStyle w:val="23"/>
        <w:numPr>
          <w:ilvl w:val="0"/>
          <w:numId w:val="8"/>
        </w:numPr>
        <w:spacing w:line="360" w:lineRule="auto"/>
        <w:jc w:val="center"/>
        <w:outlineLvl w:val="9"/>
      </w:pPr>
      <w:r>
        <w:t>履行合同所必须的专业技术能力说明</w:t>
      </w:r>
    </w:p>
    <w:p>
      <w:pPr>
        <w:pStyle w:val="23"/>
        <w:spacing w:line="360" w:lineRule="auto"/>
        <w:jc w:val="center"/>
        <w:outlineLvl w:val="9"/>
      </w:pPr>
      <w:r>
        <w:t>（格式自拟，以下格式仅供参考）</w:t>
      </w:r>
    </w:p>
    <w:p>
      <w:pPr>
        <w:spacing w:line="360" w:lineRule="auto"/>
        <w:ind w:firstLine="420"/>
        <w:rPr>
          <w:szCs w:val="21"/>
        </w:rPr>
      </w:pPr>
      <w:r>
        <w:rPr>
          <w:szCs w:val="21"/>
        </w:rPr>
        <w:t>1、履行合同所必须的</w:t>
      </w:r>
      <w:r>
        <w:rPr>
          <w:bCs/>
          <w:szCs w:val="21"/>
        </w:rPr>
        <w:t>安装及调试</w:t>
      </w:r>
      <w:r>
        <w:rPr>
          <w:szCs w:val="21"/>
        </w:rPr>
        <w:t>设备、工具</w:t>
      </w:r>
    </w:p>
    <w:tbl>
      <w:tblPr>
        <w:tblStyle w:val="16"/>
        <w:tblW w:w="92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2145"/>
        <w:gridCol w:w="2145"/>
        <w:gridCol w:w="2145"/>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pacing w:line="360" w:lineRule="auto"/>
              <w:jc w:val="center"/>
              <w:rPr>
                <w:szCs w:val="21"/>
              </w:rPr>
            </w:pPr>
            <w:r>
              <w:rPr>
                <w:szCs w:val="21"/>
              </w:rPr>
              <w:t>序号</w:t>
            </w:r>
          </w:p>
        </w:tc>
        <w:tc>
          <w:tcPr>
            <w:tcW w:w="2145" w:type="dxa"/>
            <w:vAlign w:val="center"/>
          </w:tcPr>
          <w:p>
            <w:pPr>
              <w:spacing w:line="360" w:lineRule="auto"/>
              <w:jc w:val="center"/>
              <w:rPr>
                <w:szCs w:val="21"/>
              </w:rPr>
            </w:pPr>
            <w:r>
              <w:rPr>
                <w:szCs w:val="21"/>
              </w:rPr>
              <w:t>名称</w:t>
            </w:r>
          </w:p>
        </w:tc>
        <w:tc>
          <w:tcPr>
            <w:tcW w:w="2145" w:type="dxa"/>
            <w:vAlign w:val="center"/>
          </w:tcPr>
          <w:p>
            <w:pPr>
              <w:spacing w:line="360" w:lineRule="auto"/>
              <w:jc w:val="center"/>
              <w:rPr>
                <w:szCs w:val="21"/>
              </w:rPr>
            </w:pPr>
            <w:r>
              <w:rPr>
                <w:szCs w:val="21"/>
              </w:rPr>
              <w:t>数量</w:t>
            </w:r>
          </w:p>
        </w:tc>
        <w:tc>
          <w:tcPr>
            <w:tcW w:w="2145" w:type="dxa"/>
            <w:vAlign w:val="center"/>
          </w:tcPr>
          <w:p>
            <w:pPr>
              <w:spacing w:line="360" w:lineRule="auto"/>
              <w:jc w:val="center"/>
              <w:rPr>
                <w:szCs w:val="21"/>
              </w:rPr>
            </w:pPr>
            <w:r>
              <w:rPr>
                <w:szCs w:val="21"/>
              </w:rPr>
              <w:t>用途</w:t>
            </w:r>
          </w:p>
        </w:tc>
        <w:tc>
          <w:tcPr>
            <w:tcW w:w="2146" w:type="dxa"/>
            <w:vAlign w:val="center"/>
          </w:tcPr>
          <w:p>
            <w:pPr>
              <w:spacing w:line="360" w:lineRule="auto"/>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pacing w:line="360" w:lineRule="auto"/>
              <w:jc w:val="center"/>
              <w:rPr>
                <w:szCs w:val="21"/>
              </w:rPr>
            </w:pPr>
            <w:r>
              <w:rPr>
                <w:szCs w:val="21"/>
              </w:rPr>
              <w:t>1</w:t>
            </w:r>
          </w:p>
        </w:tc>
        <w:tc>
          <w:tcPr>
            <w:tcW w:w="2145" w:type="dxa"/>
            <w:vAlign w:val="center"/>
          </w:tcPr>
          <w:p>
            <w:pPr>
              <w:spacing w:line="360" w:lineRule="auto"/>
              <w:jc w:val="center"/>
              <w:rPr>
                <w:szCs w:val="21"/>
              </w:rPr>
            </w:pPr>
          </w:p>
        </w:tc>
        <w:tc>
          <w:tcPr>
            <w:tcW w:w="2145" w:type="dxa"/>
            <w:vAlign w:val="center"/>
          </w:tcPr>
          <w:p>
            <w:pPr>
              <w:spacing w:line="360" w:lineRule="auto"/>
              <w:jc w:val="center"/>
              <w:rPr>
                <w:szCs w:val="21"/>
              </w:rPr>
            </w:pPr>
          </w:p>
        </w:tc>
        <w:tc>
          <w:tcPr>
            <w:tcW w:w="2145" w:type="dxa"/>
            <w:vAlign w:val="center"/>
          </w:tcPr>
          <w:p>
            <w:pPr>
              <w:spacing w:line="360" w:lineRule="auto"/>
              <w:jc w:val="center"/>
              <w:rPr>
                <w:szCs w:val="21"/>
              </w:rPr>
            </w:pPr>
          </w:p>
        </w:tc>
        <w:tc>
          <w:tcPr>
            <w:tcW w:w="2146"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pacing w:line="360" w:lineRule="auto"/>
              <w:jc w:val="center"/>
              <w:rPr>
                <w:szCs w:val="21"/>
              </w:rPr>
            </w:pPr>
            <w:r>
              <w:rPr>
                <w:szCs w:val="21"/>
              </w:rPr>
              <w:t>2</w:t>
            </w:r>
          </w:p>
        </w:tc>
        <w:tc>
          <w:tcPr>
            <w:tcW w:w="2145" w:type="dxa"/>
            <w:vAlign w:val="center"/>
          </w:tcPr>
          <w:p>
            <w:pPr>
              <w:spacing w:line="360" w:lineRule="auto"/>
              <w:jc w:val="center"/>
              <w:rPr>
                <w:szCs w:val="21"/>
              </w:rPr>
            </w:pPr>
          </w:p>
        </w:tc>
        <w:tc>
          <w:tcPr>
            <w:tcW w:w="2145" w:type="dxa"/>
            <w:vAlign w:val="center"/>
          </w:tcPr>
          <w:p>
            <w:pPr>
              <w:spacing w:line="360" w:lineRule="auto"/>
              <w:jc w:val="center"/>
              <w:rPr>
                <w:szCs w:val="21"/>
              </w:rPr>
            </w:pPr>
          </w:p>
        </w:tc>
        <w:tc>
          <w:tcPr>
            <w:tcW w:w="2145" w:type="dxa"/>
            <w:vAlign w:val="center"/>
          </w:tcPr>
          <w:p>
            <w:pPr>
              <w:spacing w:line="360" w:lineRule="auto"/>
              <w:jc w:val="center"/>
              <w:rPr>
                <w:szCs w:val="21"/>
              </w:rPr>
            </w:pPr>
          </w:p>
        </w:tc>
        <w:tc>
          <w:tcPr>
            <w:tcW w:w="2146"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360" w:lineRule="auto"/>
              <w:jc w:val="center"/>
              <w:rPr>
                <w:szCs w:val="21"/>
              </w:rPr>
            </w:pPr>
            <w:r>
              <w:rPr>
                <w:szCs w:val="21"/>
              </w:rPr>
              <w:t>3</w:t>
            </w:r>
          </w:p>
        </w:tc>
        <w:tc>
          <w:tcPr>
            <w:tcW w:w="2145" w:type="dxa"/>
            <w:vAlign w:val="center"/>
          </w:tcPr>
          <w:p>
            <w:pPr>
              <w:spacing w:line="360" w:lineRule="auto"/>
              <w:jc w:val="center"/>
              <w:rPr>
                <w:szCs w:val="21"/>
              </w:rPr>
            </w:pPr>
          </w:p>
        </w:tc>
        <w:tc>
          <w:tcPr>
            <w:tcW w:w="2145" w:type="dxa"/>
          </w:tcPr>
          <w:p>
            <w:pPr>
              <w:spacing w:line="360" w:lineRule="auto"/>
              <w:jc w:val="center"/>
              <w:rPr>
                <w:szCs w:val="21"/>
              </w:rPr>
            </w:pPr>
          </w:p>
        </w:tc>
        <w:tc>
          <w:tcPr>
            <w:tcW w:w="2145" w:type="dxa"/>
          </w:tcPr>
          <w:p>
            <w:pPr>
              <w:spacing w:line="360" w:lineRule="auto"/>
              <w:jc w:val="center"/>
              <w:rPr>
                <w:szCs w:val="21"/>
              </w:rPr>
            </w:pPr>
          </w:p>
        </w:tc>
        <w:tc>
          <w:tcPr>
            <w:tcW w:w="2146"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360" w:lineRule="auto"/>
              <w:jc w:val="center"/>
              <w:rPr>
                <w:szCs w:val="21"/>
              </w:rPr>
            </w:pPr>
          </w:p>
        </w:tc>
        <w:tc>
          <w:tcPr>
            <w:tcW w:w="2145" w:type="dxa"/>
            <w:vAlign w:val="center"/>
          </w:tcPr>
          <w:p>
            <w:pPr>
              <w:spacing w:line="360" w:lineRule="auto"/>
              <w:jc w:val="center"/>
              <w:rPr>
                <w:szCs w:val="21"/>
              </w:rPr>
            </w:pPr>
          </w:p>
        </w:tc>
        <w:tc>
          <w:tcPr>
            <w:tcW w:w="2145" w:type="dxa"/>
          </w:tcPr>
          <w:p>
            <w:pPr>
              <w:spacing w:line="360" w:lineRule="auto"/>
              <w:jc w:val="center"/>
              <w:rPr>
                <w:szCs w:val="21"/>
              </w:rPr>
            </w:pPr>
          </w:p>
        </w:tc>
        <w:tc>
          <w:tcPr>
            <w:tcW w:w="2145" w:type="dxa"/>
          </w:tcPr>
          <w:p>
            <w:pPr>
              <w:spacing w:line="360" w:lineRule="auto"/>
              <w:jc w:val="center"/>
              <w:rPr>
                <w:szCs w:val="21"/>
              </w:rPr>
            </w:pPr>
          </w:p>
        </w:tc>
        <w:tc>
          <w:tcPr>
            <w:tcW w:w="2146"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360" w:lineRule="auto"/>
              <w:jc w:val="center"/>
              <w:rPr>
                <w:szCs w:val="21"/>
              </w:rPr>
            </w:pPr>
          </w:p>
        </w:tc>
        <w:tc>
          <w:tcPr>
            <w:tcW w:w="2145" w:type="dxa"/>
            <w:vAlign w:val="center"/>
          </w:tcPr>
          <w:p>
            <w:pPr>
              <w:spacing w:line="360" w:lineRule="auto"/>
              <w:jc w:val="center"/>
              <w:rPr>
                <w:szCs w:val="21"/>
              </w:rPr>
            </w:pPr>
          </w:p>
        </w:tc>
        <w:tc>
          <w:tcPr>
            <w:tcW w:w="2145" w:type="dxa"/>
          </w:tcPr>
          <w:p>
            <w:pPr>
              <w:spacing w:line="360" w:lineRule="auto"/>
              <w:jc w:val="center"/>
              <w:rPr>
                <w:szCs w:val="21"/>
              </w:rPr>
            </w:pPr>
          </w:p>
        </w:tc>
        <w:tc>
          <w:tcPr>
            <w:tcW w:w="2145" w:type="dxa"/>
          </w:tcPr>
          <w:p>
            <w:pPr>
              <w:spacing w:line="360" w:lineRule="auto"/>
              <w:jc w:val="center"/>
              <w:rPr>
                <w:szCs w:val="21"/>
              </w:rPr>
            </w:pPr>
          </w:p>
        </w:tc>
        <w:tc>
          <w:tcPr>
            <w:tcW w:w="2146" w:type="dxa"/>
          </w:tcPr>
          <w:p>
            <w:pPr>
              <w:spacing w:line="360" w:lineRule="auto"/>
              <w:jc w:val="center"/>
              <w:rPr>
                <w:szCs w:val="21"/>
              </w:rPr>
            </w:pPr>
          </w:p>
        </w:tc>
      </w:tr>
    </w:tbl>
    <w:p>
      <w:pPr>
        <w:spacing w:line="360" w:lineRule="auto"/>
        <w:ind w:firstLine="420"/>
        <w:rPr>
          <w:b/>
          <w:szCs w:val="21"/>
        </w:rPr>
      </w:pPr>
      <w:r>
        <w:rPr>
          <w:szCs w:val="21"/>
        </w:rPr>
        <w:t>2、履行合同所必须的</w:t>
      </w:r>
      <w:r>
        <w:rPr>
          <w:bCs/>
          <w:szCs w:val="21"/>
        </w:rPr>
        <w:t>安装及调试</w:t>
      </w:r>
      <w:r>
        <w:rPr>
          <w:szCs w:val="21"/>
        </w:rPr>
        <w:t>技术人员</w:t>
      </w:r>
      <w:r>
        <w:rPr>
          <w:b/>
          <w:szCs w:val="21"/>
        </w:rPr>
        <w:t>[本表后附相关职称或职业资格证书扫描件</w:t>
      </w:r>
      <w:r>
        <w:rPr>
          <w:szCs w:val="21"/>
        </w:rPr>
        <w:t>（如有）</w:t>
      </w:r>
      <w:r>
        <w:rPr>
          <w:b/>
          <w:szCs w:val="21"/>
        </w:rPr>
        <w:t>]</w:t>
      </w:r>
    </w:p>
    <w:tbl>
      <w:tblPr>
        <w:tblStyle w:val="16"/>
        <w:tblW w:w="92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2145"/>
        <w:gridCol w:w="2145"/>
        <w:gridCol w:w="2145"/>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pacing w:line="360" w:lineRule="auto"/>
              <w:jc w:val="center"/>
              <w:rPr>
                <w:szCs w:val="21"/>
              </w:rPr>
            </w:pPr>
            <w:r>
              <w:rPr>
                <w:szCs w:val="21"/>
              </w:rPr>
              <w:t>序号</w:t>
            </w:r>
          </w:p>
        </w:tc>
        <w:tc>
          <w:tcPr>
            <w:tcW w:w="2145" w:type="dxa"/>
            <w:vAlign w:val="center"/>
          </w:tcPr>
          <w:p>
            <w:pPr>
              <w:spacing w:line="360" w:lineRule="auto"/>
              <w:jc w:val="center"/>
              <w:rPr>
                <w:szCs w:val="21"/>
              </w:rPr>
            </w:pPr>
            <w:r>
              <w:rPr>
                <w:szCs w:val="21"/>
              </w:rPr>
              <w:t>姓名</w:t>
            </w:r>
          </w:p>
        </w:tc>
        <w:tc>
          <w:tcPr>
            <w:tcW w:w="2145" w:type="dxa"/>
            <w:vAlign w:val="center"/>
          </w:tcPr>
          <w:p>
            <w:pPr>
              <w:spacing w:line="360" w:lineRule="auto"/>
              <w:jc w:val="center"/>
              <w:rPr>
                <w:szCs w:val="21"/>
              </w:rPr>
            </w:pPr>
            <w:r>
              <w:rPr>
                <w:szCs w:val="21"/>
              </w:rPr>
              <w:t>职称或职业资格</w:t>
            </w:r>
          </w:p>
          <w:p>
            <w:pPr>
              <w:spacing w:line="360" w:lineRule="auto"/>
              <w:jc w:val="center"/>
              <w:rPr>
                <w:szCs w:val="21"/>
              </w:rPr>
            </w:pPr>
            <w:r>
              <w:rPr>
                <w:szCs w:val="21"/>
              </w:rPr>
              <w:t>（如有）</w:t>
            </w:r>
          </w:p>
        </w:tc>
        <w:tc>
          <w:tcPr>
            <w:tcW w:w="2145" w:type="dxa"/>
            <w:vAlign w:val="center"/>
          </w:tcPr>
          <w:p>
            <w:pPr>
              <w:spacing w:line="360" w:lineRule="auto"/>
              <w:jc w:val="center"/>
              <w:rPr>
                <w:szCs w:val="21"/>
              </w:rPr>
            </w:pPr>
            <w:r>
              <w:rPr>
                <w:szCs w:val="21"/>
              </w:rPr>
              <w:t>工作职责</w:t>
            </w:r>
          </w:p>
        </w:tc>
        <w:tc>
          <w:tcPr>
            <w:tcW w:w="2146" w:type="dxa"/>
            <w:vAlign w:val="center"/>
          </w:tcPr>
          <w:p>
            <w:pPr>
              <w:spacing w:line="360" w:lineRule="auto"/>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pacing w:line="360" w:lineRule="auto"/>
              <w:jc w:val="center"/>
              <w:rPr>
                <w:szCs w:val="21"/>
              </w:rPr>
            </w:pPr>
            <w:r>
              <w:rPr>
                <w:szCs w:val="21"/>
              </w:rPr>
              <w:t>1</w:t>
            </w:r>
          </w:p>
        </w:tc>
        <w:tc>
          <w:tcPr>
            <w:tcW w:w="2145" w:type="dxa"/>
            <w:vAlign w:val="center"/>
          </w:tcPr>
          <w:p>
            <w:pPr>
              <w:spacing w:line="360" w:lineRule="auto"/>
              <w:jc w:val="center"/>
              <w:rPr>
                <w:szCs w:val="21"/>
              </w:rPr>
            </w:pPr>
          </w:p>
        </w:tc>
        <w:tc>
          <w:tcPr>
            <w:tcW w:w="2145" w:type="dxa"/>
            <w:vAlign w:val="center"/>
          </w:tcPr>
          <w:p>
            <w:pPr>
              <w:spacing w:line="360" w:lineRule="auto"/>
              <w:jc w:val="center"/>
              <w:rPr>
                <w:szCs w:val="21"/>
              </w:rPr>
            </w:pPr>
          </w:p>
        </w:tc>
        <w:tc>
          <w:tcPr>
            <w:tcW w:w="2145" w:type="dxa"/>
            <w:vAlign w:val="center"/>
          </w:tcPr>
          <w:p>
            <w:pPr>
              <w:spacing w:line="360" w:lineRule="auto"/>
              <w:jc w:val="center"/>
              <w:rPr>
                <w:szCs w:val="21"/>
              </w:rPr>
            </w:pPr>
          </w:p>
        </w:tc>
        <w:tc>
          <w:tcPr>
            <w:tcW w:w="2146"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pacing w:line="360" w:lineRule="auto"/>
              <w:jc w:val="center"/>
              <w:rPr>
                <w:szCs w:val="21"/>
              </w:rPr>
            </w:pPr>
            <w:r>
              <w:rPr>
                <w:szCs w:val="21"/>
              </w:rPr>
              <w:t>2</w:t>
            </w:r>
          </w:p>
        </w:tc>
        <w:tc>
          <w:tcPr>
            <w:tcW w:w="2145" w:type="dxa"/>
            <w:vAlign w:val="center"/>
          </w:tcPr>
          <w:p>
            <w:pPr>
              <w:spacing w:line="360" w:lineRule="auto"/>
              <w:jc w:val="center"/>
              <w:rPr>
                <w:szCs w:val="21"/>
              </w:rPr>
            </w:pPr>
          </w:p>
        </w:tc>
        <w:tc>
          <w:tcPr>
            <w:tcW w:w="2145" w:type="dxa"/>
            <w:vAlign w:val="center"/>
          </w:tcPr>
          <w:p>
            <w:pPr>
              <w:spacing w:line="360" w:lineRule="auto"/>
              <w:jc w:val="center"/>
              <w:rPr>
                <w:szCs w:val="21"/>
              </w:rPr>
            </w:pPr>
          </w:p>
        </w:tc>
        <w:tc>
          <w:tcPr>
            <w:tcW w:w="2145" w:type="dxa"/>
            <w:vAlign w:val="center"/>
          </w:tcPr>
          <w:p>
            <w:pPr>
              <w:spacing w:line="360" w:lineRule="auto"/>
              <w:jc w:val="center"/>
              <w:rPr>
                <w:szCs w:val="21"/>
              </w:rPr>
            </w:pPr>
          </w:p>
        </w:tc>
        <w:tc>
          <w:tcPr>
            <w:tcW w:w="2146"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360" w:lineRule="auto"/>
              <w:jc w:val="center"/>
              <w:rPr>
                <w:szCs w:val="21"/>
              </w:rPr>
            </w:pPr>
            <w:r>
              <w:rPr>
                <w:szCs w:val="21"/>
              </w:rPr>
              <w:t>3</w:t>
            </w:r>
          </w:p>
        </w:tc>
        <w:tc>
          <w:tcPr>
            <w:tcW w:w="2145" w:type="dxa"/>
          </w:tcPr>
          <w:p>
            <w:pPr>
              <w:spacing w:line="360" w:lineRule="auto"/>
              <w:jc w:val="center"/>
              <w:rPr>
                <w:szCs w:val="21"/>
              </w:rPr>
            </w:pPr>
          </w:p>
        </w:tc>
        <w:tc>
          <w:tcPr>
            <w:tcW w:w="2145" w:type="dxa"/>
          </w:tcPr>
          <w:p>
            <w:pPr>
              <w:spacing w:line="360" w:lineRule="auto"/>
              <w:jc w:val="center"/>
              <w:rPr>
                <w:szCs w:val="21"/>
              </w:rPr>
            </w:pPr>
          </w:p>
        </w:tc>
        <w:tc>
          <w:tcPr>
            <w:tcW w:w="2145" w:type="dxa"/>
          </w:tcPr>
          <w:p>
            <w:pPr>
              <w:spacing w:line="360" w:lineRule="auto"/>
              <w:jc w:val="center"/>
              <w:rPr>
                <w:szCs w:val="21"/>
              </w:rPr>
            </w:pPr>
          </w:p>
        </w:tc>
        <w:tc>
          <w:tcPr>
            <w:tcW w:w="2146"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360" w:lineRule="auto"/>
              <w:jc w:val="center"/>
              <w:rPr>
                <w:szCs w:val="21"/>
              </w:rPr>
            </w:pPr>
          </w:p>
        </w:tc>
        <w:tc>
          <w:tcPr>
            <w:tcW w:w="2145" w:type="dxa"/>
          </w:tcPr>
          <w:p>
            <w:pPr>
              <w:spacing w:line="360" w:lineRule="auto"/>
              <w:jc w:val="center"/>
              <w:rPr>
                <w:szCs w:val="21"/>
              </w:rPr>
            </w:pPr>
          </w:p>
        </w:tc>
        <w:tc>
          <w:tcPr>
            <w:tcW w:w="2145" w:type="dxa"/>
          </w:tcPr>
          <w:p>
            <w:pPr>
              <w:spacing w:line="360" w:lineRule="auto"/>
              <w:jc w:val="center"/>
              <w:rPr>
                <w:szCs w:val="21"/>
              </w:rPr>
            </w:pPr>
          </w:p>
        </w:tc>
        <w:tc>
          <w:tcPr>
            <w:tcW w:w="2145" w:type="dxa"/>
          </w:tcPr>
          <w:p>
            <w:pPr>
              <w:spacing w:line="360" w:lineRule="auto"/>
              <w:jc w:val="center"/>
              <w:rPr>
                <w:szCs w:val="21"/>
              </w:rPr>
            </w:pPr>
          </w:p>
        </w:tc>
        <w:tc>
          <w:tcPr>
            <w:tcW w:w="2146"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360" w:lineRule="auto"/>
              <w:jc w:val="center"/>
              <w:rPr>
                <w:szCs w:val="21"/>
              </w:rPr>
            </w:pPr>
          </w:p>
        </w:tc>
        <w:tc>
          <w:tcPr>
            <w:tcW w:w="2145" w:type="dxa"/>
          </w:tcPr>
          <w:p>
            <w:pPr>
              <w:spacing w:line="360" w:lineRule="auto"/>
              <w:jc w:val="center"/>
              <w:rPr>
                <w:szCs w:val="21"/>
              </w:rPr>
            </w:pPr>
          </w:p>
        </w:tc>
        <w:tc>
          <w:tcPr>
            <w:tcW w:w="2145" w:type="dxa"/>
          </w:tcPr>
          <w:p>
            <w:pPr>
              <w:spacing w:line="360" w:lineRule="auto"/>
              <w:jc w:val="center"/>
              <w:rPr>
                <w:szCs w:val="21"/>
              </w:rPr>
            </w:pPr>
          </w:p>
        </w:tc>
        <w:tc>
          <w:tcPr>
            <w:tcW w:w="2145" w:type="dxa"/>
          </w:tcPr>
          <w:p>
            <w:pPr>
              <w:spacing w:line="360" w:lineRule="auto"/>
              <w:jc w:val="center"/>
              <w:rPr>
                <w:szCs w:val="21"/>
              </w:rPr>
            </w:pPr>
          </w:p>
        </w:tc>
        <w:tc>
          <w:tcPr>
            <w:tcW w:w="2146" w:type="dxa"/>
          </w:tcPr>
          <w:p>
            <w:pPr>
              <w:spacing w:line="360" w:lineRule="auto"/>
              <w:jc w:val="center"/>
              <w:rPr>
                <w:szCs w:val="21"/>
              </w:rPr>
            </w:pPr>
          </w:p>
        </w:tc>
      </w:tr>
    </w:tbl>
    <w:p>
      <w:pPr>
        <w:pStyle w:val="23"/>
        <w:spacing w:line="360" w:lineRule="auto"/>
        <w:jc w:val="center"/>
        <w:outlineLvl w:val="9"/>
      </w:pPr>
    </w:p>
    <w:p>
      <w:pPr>
        <w:pStyle w:val="23"/>
        <w:spacing w:line="360" w:lineRule="auto"/>
        <w:jc w:val="center"/>
        <w:outlineLvl w:val="9"/>
      </w:pPr>
    </w:p>
    <w:p>
      <w:pPr>
        <w:pStyle w:val="23"/>
        <w:spacing w:line="360" w:lineRule="auto"/>
        <w:jc w:val="center"/>
        <w:outlineLvl w:val="9"/>
      </w:pPr>
    </w:p>
    <w:p>
      <w:pPr>
        <w:pStyle w:val="23"/>
        <w:numPr>
          <w:ilvl w:val="0"/>
          <w:numId w:val="8"/>
        </w:numPr>
        <w:spacing w:line="360" w:lineRule="auto"/>
        <w:jc w:val="center"/>
        <w:outlineLvl w:val="9"/>
      </w:pPr>
      <w:bookmarkStart w:id="57" w:name="_Toc435796357"/>
      <w:r>
        <w:t>依法缴纳税收和社会保障资金记录</w:t>
      </w:r>
      <w:bookmarkEnd w:id="57"/>
    </w:p>
    <w:p>
      <w:pPr>
        <w:spacing w:line="400" w:lineRule="exact"/>
        <w:rPr>
          <w:sz w:val="24"/>
          <w:szCs w:val="24"/>
        </w:rPr>
      </w:pPr>
      <w:r>
        <w:rPr>
          <w:sz w:val="24"/>
          <w:szCs w:val="24"/>
        </w:rPr>
        <w:t>1、供应商依法缴纳税收的证明材料扫描件</w:t>
      </w:r>
    </w:p>
    <w:p>
      <w:pPr>
        <w:spacing w:line="400" w:lineRule="exact"/>
        <w:rPr>
          <w:sz w:val="24"/>
          <w:szCs w:val="24"/>
        </w:rPr>
      </w:pPr>
    </w:p>
    <w:p>
      <w:pPr>
        <w:spacing w:line="400" w:lineRule="exact"/>
        <w:rPr>
          <w:sz w:val="24"/>
          <w:szCs w:val="24"/>
        </w:rPr>
      </w:pPr>
      <w:r>
        <w:rPr>
          <w:sz w:val="24"/>
          <w:szCs w:val="24"/>
        </w:rPr>
        <w:t>2、供应商依法缴纳社会保障资金的证明材料扫描件</w:t>
      </w:r>
    </w:p>
    <w:p>
      <w:pPr>
        <w:spacing w:line="400" w:lineRule="exact"/>
        <w:rPr>
          <w:sz w:val="24"/>
          <w:szCs w:val="24"/>
        </w:rPr>
      </w:pPr>
    </w:p>
    <w:p>
      <w:pPr>
        <w:pStyle w:val="23"/>
        <w:numPr>
          <w:ilvl w:val="0"/>
          <w:numId w:val="8"/>
        </w:numPr>
        <w:spacing w:line="360" w:lineRule="auto"/>
        <w:jc w:val="center"/>
        <w:outlineLvl w:val="9"/>
      </w:pPr>
      <w:bookmarkStart w:id="58" w:name="_Toc426526150"/>
      <w:r>
        <w:t>信用声明函</w:t>
      </w:r>
      <w:bookmarkEnd w:id="58"/>
    </w:p>
    <w:p>
      <w:pPr>
        <w:spacing w:line="480" w:lineRule="auto"/>
        <w:ind w:firstLine="480" w:firstLineChars="200"/>
        <w:jc w:val="center"/>
        <w:rPr>
          <w:rFonts w:eastAsia="黑体"/>
          <w:bCs/>
          <w:sz w:val="24"/>
          <w:szCs w:val="20"/>
        </w:rPr>
      </w:pPr>
      <w:r>
        <w:rPr>
          <w:rFonts w:eastAsia="黑体"/>
          <w:bCs/>
          <w:sz w:val="24"/>
          <w:szCs w:val="20"/>
        </w:rPr>
        <w:t>信用声明函</w:t>
      </w:r>
    </w:p>
    <w:p>
      <w:pPr>
        <w:spacing w:line="360" w:lineRule="auto"/>
        <w:rPr>
          <w:sz w:val="24"/>
          <w:szCs w:val="24"/>
        </w:rPr>
      </w:pPr>
      <w:r>
        <w:rPr>
          <w:sz w:val="24"/>
          <w:szCs w:val="24"/>
        </w:rPr>
        <w:t>致：</w:t>
      </w:r>
      <w:r>
        <w:rPr>
          <w:rFonts w:hint="eastAsia"/>
          <w:sz w:val="24"/>
          <w:szCs w:val="24"/>
          <w:u w:val="single"/>
        </w:rPr>
        <w:t>郑州铁路职业技术学院</w:t>
      </w:r>
    </w:p>
    <w:p>
      <w:pPr>
        <w:spacing w:line="360" w:lineRule="auto"/>
        <w:ind w:firstLine="480" w:firstLineChars="200"/>
        <w:rPr>
          <w:sz w:val="24"/>
          <w:szCs w:val="24"/>
        </w:rPr>
      </w:pPr>
      <w:r>
        <w:rPr>
          <w:sz w:val="24"/>
          <w:szCs w:val="24"/>
        </w:rPr>
        <w:t>我（单位/本人，以下统称我单位）自愿参加</w:t>
      </w:r>
      <w:r>
        <w:rPr>
          <w:rFonts w:hint="eastAsia"/>
          <w:sz w:val="24"/>
          <w:szCs w:val="24"/>
          <w:u w:val="single"/>
        </w:rPr>
        <w:t>豫财磋商采购-2020-481郑州铁路职业技术学院学生宿舍家具购置项目</w:t>
      </w:r>
      <w:r>
        <w:rPr>
          <w:sz w:val="24"/>
          <w:szCs w:val="24"/>
        </w:rPr>
        <w:t>的磋商,并做出如下承诺：</w:t>
      </w:r>
    </w:p>
    <w:p>
      <w:pPr>
        <w:spacing w:line="360" w:lineRule="auto"/>
        <w:ind w:firstLine="480" w:firstLineChars="200"/>
        <w:rPr>
          <w:sz w:val="24"/>
          <w:szCs w:val="24"/>
        </w:rPr>
      </w:pPr>
      <w:r>
        <w:rPr>
          <w:sz w:val="24"/>
          <w:szCs w:val="24"/>
        </w:rPr>
        <w:t>我公司信誉良好，参加政府采购活动前三年内，在经营活动中没有重大违法记录。在“信用中国网站”（www.creditchina.gov.cn）未被列入失信被执行人、重大税收违法案件当事人名单；在 “中国政府采购网”（www.ccgp.gov.cn）未被列入政府采购严重违法失信行为记录名单。</w:t>
      </w:r>
    </w:p>
    <w:p>
      <w:pPr>
        <w:spacing w:line="360" w:lineRule="auto"/>
        <w:ind w:firstLine="480" w:firstLineChars="200"/>
        <w:rPr>
          <w:sz w:val="24"/>
          <w:szCs w:val="24"/>
        </w:rPr>
      </w:pPr>
      <w:r>
        <w:rPr>
          <w:sz w:val="24"/>
          <w:szCs w:val="24"/>
        </w:rPr>
        <w:t>我方保证上述信息的真实和准确，并愿意承担因我方就此弄虚作假所引起的一切法律后果。</w:t>
      </w:r>
    </w:p>
    <w:p>
      <w:pPr>
        <w:spacing w:line="360" w:lineRule="auto"/>
        <w:ind w:firstLine="480" w:firstLineChars="200"/>
        <w:rPr>
          <w:sz w:val="24"/>
          <w:szCs w:val="24"/>
        </w:rPr>
      </w:pPr>
      <w:r>
        <w:rPr>
          <w:sz w:val="24"/>
          <w:szCs w:val="24"/>
        </w:rPr>
        <w:t>特此声明！</w:t>
      </w:r>
    </w:p>
    <w:p>
      <w:pPr>
        <w:spacing w:line="360" w:lineRule="auto"/>
        <w:ind w:firstLine="480" w:firstLineChars="200"/>
        <w:rPr>
          <w:sz w:val="24"/>
          <w:szCs w:val="28"/>
        </w:rPr>
      </w:pPr>
    </w:p>
    <w:p>
      <w:pPr>
        <w:spacing w:line="480" w:lineRule="auto"/>
        <w:ind w:left="2940" w:leftChars="1400"/>
        <w:jc w:val="left"/>
        <w:rPr>
          <w:bCs/>
          <w:sz w:val="24"/>
          <w:szCs w:val="24"/>
        </w:rPr>
      </w:pPr>
      <w:r>
        <w:rPr>
          <w:bCs/>
          <w:sz w:val="24"/>
          <w:szCs w:val="24"/>
        </w:rPr>
        <w:t>供应商（企业电子签章）：</w:t>
      </w:r>
    </w:p>
    <w:p>
      <w:pPr>
        <w:spacing w:line="360" w:lineRule="auto"/>
        <w:ind w:left="2940" w:leftChars="1400" w:right="420"/>
        <w:jc w:val="left"/>
        <w:rPr>
          <w:sz w:val="24"/>
          <w:szCs w:val="24"/>
        </w:rPr>
      </w:pPr>
    </w:p>
    <w:p>
      <w:pPr>
        <w:spacing w:line="360" w:lineRule="auto"/>
        <w:ind w:left="2940" w:leftChars="1400" w:right="1110"/>
        <w:jc w:val="left"/>
        <w:rPr>
          <w:sz w:val="24"/>
          <w:szCs w:val="24"/>
        </w:rPr>
      </w:pPr>
      <w:r>
        <w:rPr>
          <w:sz w:val="24"/>
          <w:szCs w:val="24"/>
        </w:rPr>
        <w:t>日期：年月日</w:t>
      </w:r>
    </w:p>
    <w:p>
      <w:pPr>
        <w:spacing w:line="360" w:lineRule="auto"/>
        <w:ind w:left="2940" w:leftChars="1400" w:right="1110"/>
        <w:jc w:val="left"/>
        <w:rPr>
          <w:sz w:val="24"/>
          <w:szCs w:val="24"/>
        </w:rPr>
      </w:pPr>
    </w:p>
    <w:p>
      <w:pPr>
        <w:pStyle w:val="23"/>
        <w:numPr>
          <w:ilvl w:val="0"/>
          <w:numId w:val="8"/>
        </w:numPr>
        <w:spacing w:line="360" w:lineRule="auto"/>
        <w:jc w:val="center"/>
        <w:outlineLvl w:val="9"/>
      </w:pPr>
      <w:r>
        <w:t>特别声明函</w:t>
      </w:r>
    </w:p>
    <w:p>
      <w:pPr>
        <w:spacing w:line="360" w:lineRule="auto"/>
        <w:jc w:val="center"/>
        <w:rPr>
          <w:b/>
          <w:sz w:val="24"/>
        </w:rPr>
      </w:pPr>
      <w:r>
        <w:rPr>
          <w:b/>
          <w:sz w:val="24"/>
        </w:rPr>
        <w:t>特别声明函</w:t>
      </w:r>
    </w:p>
    <w:p>
      <w:pPr>
        <w:spacing w:line="360" w:lineRule="auto"/>
        <w:rPr>
          <w:sz w:val="24"/>
          <w:szCs w:val="24"/>
        </w:rPr>
      </w:pPr>
      <w:r>
        <w:rPr>
          <w:sz w:val="24"/>
          <w:szCs w:val="24"/>
        </w:rPr>
        <w:t>致：</w:t>
      </w:r>
      <w:r>
        <w:rPr>
          <w:rFonts w:hint="eastAsia"/>
          <w:sz w:val="24"/>
          <w:szCs w:val="24"/>
          <w:u w:val="single"/>
        </w:rPr>
        <w:t>郑州铁路职业技术学院</w:t>
      </w:r>
    </w:p>
    <w:p>
      <w:pPr>
        <w:spacing w:line="360" w:lineRule="auto"/>
        <w:ind w:firstLine="480" w:firstLineChars="200"/>
        <w:rPr>
          <w:bCs/>
          <w:spacing w:val="10"/>
          <w:kern w:val="0"/>
          <w:sz w:val="24"/>
          <w:szCs w:val="24"/>
        </w:rPr>
      </w:pPr>
      <w:r>
        <w:rPr>
          <w:sz w:val="24"/>
          <w:szCs w:val="24"/>
        </w:rPr>
        <w:t>我（单位/本人，以下统称我单位）自愿参加</w:t>
      </w:r>
      <w:r>
        <w:rPr>
          <w:rFonts w:hint="eastAsia"/>
          <w:sz w:val="24"/>
          <w:szCs w:val="24"/>
          <w:u w:val="single"/>
        </w:rPr>
        <w:t>豫财磋商采购-2020-481郑州铁路职业技术学院学生宿舍家具购置项目</w:t>
      </w:r>
      <w:r>
        <w:rPr>
          <w:sz w:val="24"/>
          <w:szCs w:val="24"/>
        </w:rPr>
        <w:t>的磋商,并做出如下承诺：</w:t>
      </w:r>
    </w:p>
    <w:p>
      <w:pPr>
        <w:spacing w:line="360" w:lineRule="auto"/>
        <w:ind w:firstLine="480" w:firstLineChars="200"/>
        <w:rPr>
          <w:sz w:val="24"/>
          <w:szCs w:val="28"/>
        </w:rPr>
      </w:pPr>
      <w:r>
        <w:rPr>
          <w:sz w:val="24"/>
          <w:szCs w:val="24"/>
        </w:rPr>
        <w:t>与采购人、采购人就本次采购的项目委托的咨询机构、集中采购机构、以及上述机构的附属机构没有行政或经济关联</w:t>
      </w:r>
      <w:r>
        <w:rPr>
          <w:sz w:val="24"/>
          <w:szCs w:val="28"/>
        </w:rPr>
        <w:t>；我公司独立参加磋商，未组成联合体参加磋商。</w:t>
      </w:r>
    </w:p>
    <w:p>
      <w:pPr>
        <w:spacing w:line="360" w:lineRule="auto"/>
        <w:ind w:firstLine="480" w:firstLineChars="200"/>
        <w:rPr>
          <w:sz w:val="24"/>
          <w:szCs w:val="28"/>
        </w:rPr>
      </w:pPr>
      <w:r>
        <w:rPr>
          <w:sz w:val="24"/>
          <w:szCs w:val="28"/>
        </w:rPr>
        <w:t>我方保证上述信息的真实和准确，并愿意承担因我方就此弄虚作假所引起的一切法律后果。</w:t>
      </w:r>
    </w:p>
    <w:p>
      <w:pPr>
        <w:spacing w:line="360" w:lineRule="auto"/>
        <w:ind w:firstLine="480" w:firstLineChars="200"/>
        <w:rPr>
          <w:sz w:val="24"/>
          <w:szCs w:val="28"/>
        </w:rPr>
      </w:pPr>
      <w:r>
        <w:rPr>
          <w:sz w:val="24"/>
          <w:szCs w:val="28"/>
        </w:rPr>
        <w:t>特此声明！</w:t>
      </w:r>
    </w:p>
    <w:p>
      <w:pPr>
        <w:spacing w:line="480" w:lineRule="auto"/>
        <w:ind w:left="2940" w:leftChars="1400" w:firstLine="720" w:firstLineChars="300"/>
        <w:jc w:val="left"/>
        <w:rPr>
          <w:bCs/>
          <w:sz w:val="24"/>
          <w:szCs w:val="24"/>
        </w:rPr>
      </w:pPr>
      <w:r>
        <w:rPr>
          <w:bCs/>
          <w:sz w:val="24"/>
          <w:szCs w:val="24"/>
        </w:rPr>
        <w:t>供应商（企业电子签章）：</w:t>
      </w:r>
    </w:p>
    <w:p>
      <w:pPr>
        <w:spacing w:line="360" w:lineRule="auto"/>
        <w:ind w:left="2940" w:leftChars="1400" w:right="1110" w:firstLine="720" w:firstLineChars="300"/>
        <w:jc w:val="left"/>
        <w:rPr>
          <w:sz w:val="24"/>
          <w:szCs w:val="24"/>
        </w:rPr>
      </w:pPr>
      <w:r>
        <w:rPr>
          <w:sz w:val="24"/>
          <w:szCs w:val="24"/>
        </w:rPr>
        <w:t>日期：年月日</w:t>
      </w:r>
    </w:p>
    <w:p>
      <w:pPr>
        <w:tabs>
          <w:tab w:val="left" w:pos="6300"/>
        </w:tabs>
        <w:snapToGrid w:val="0"/>
        <w:spacing w:line="480" w:lineRule="auto"/>
        <w:ind w:firstLine="207" w:firstLineChars="99"/>
        <w:rPr>
          <w:szCs w:val="21"/>
        </w:rPr>
      </w:pPr>
    </w:p>
    <w:p>
      <w:pPr>
        <w:pStyle w:val="23"/>
        <w:spacing w:line="360" w:lineRule="auto"/>
        <w:outlineLvl w:val="9"/>
      </w:pPr>
    </w:p>
    <w:p>
      <w:pPr>
        <w:pStyle w:val="23"/>
        <w:numPr>
          <w:ilvl w:val="0"/>
          <w:numId w:val="8"/>
        </w:numPr>
        <w:spacing w:line="360" w:lineRule="auto"/>
        <w:jc w:val="center"/>
        <w:outlineLvl w:val="9"/>
      </w:pPr>
      <w:r>
        <w:t>反商业贿赂承诺书</w:t>
      </w:r>
      <w:bookmarkStart w:id="59" w:name="_Toc87621077"/>
      <w:bookmarkStart w:id="60" w:name="_Toc90713376"/>
      <w:bookmarkStart w:id="61" w:name="_Toc90712557"/>
    </w:p>
    <w:p>
      <w:pPr>
        <w:autoSpaceDE w:val="0"/>
        <w:autoSpaceDN w:val="0"/>
        <w:adjustRightInd w:val="0"/>
        <w:spacing w:line="360" w:lineRule="auto"/>
        <w:jc w:val="center"/>
        <w:rPr>
          <w:rFonts w:eastAsia="黑体"/>
          <w:sz w:val="24"/>
          <w:szCs w:val="20"/>
        </w:rPr>
      </w:pPr>
      <w:r>
        <w:rPr>
          <w:rFonts w:eastAsia="黑体"/>
          <w:sz w:val="24"/>
          <w:szCs w:val="20"/>
        </w:rPr>
        <w:t>反商业贿赂承诺书</w:t>
      </w:r>
    </w:p>
    <w:p>
      <w:pPr>
        <w:spacing w:line="360" w:lineRule="auto"/>
        <w:rPr>
          <w:sz w:val="24"/>
          <w:szCs w:val="24"/>
        </w:rPr>
      </w:pPr>
      <w:r>
        <w:rPr>
          <w:sz w:val="24"/>
          <w:szCs w:val="24"/>
        </w:rPr>
        <w:t>致：</w:t>
      </w:r>
      <w:r>
        <w:rPr>
          <w:rFonts w:hint="eastAsia"/>
          <w:sz w:val="24"/>
          <w:szCs w:val="24"/>
          <w:u w:val="single"/>
        </w:rPr>
        <w:t>郑州铁路职业技术学院</w:t>
      </w:r>
    </w:p>
    <w:p>
      <w:pPr>
        <w:spacing w:line="360" w:lineRule="auto"/>
        <w:ind w:firstLine="480" w:firstLineChars="200"/>
        <w:rPr>
          <w:bCs/>
          <w:spacing w:val="10"/>
          <w:kern w:val="0"/>
          <w:sz w:val="24"/>
          <w:szCs w:val="24"/>
        </w:rPr>
      </w:pPr>
      <w:r>
        <w:rPr>
          <w:sz w:val="24"/>
          <w:szCs w:val="24"/>
        </w:rPr>
        <w:t>我（单位/本人，以下统称我单位）自愿参加</w:t>
      </w:r>
      <w:r>
        <w:rPr>
          <w:rFonts w:hint="eastAsia"/>
          <w:sz w:val="24"/>
          <w:szCs w:val="24"/>
          <w:u w:val="single"/>
        </w:rPr>
        <w:t>豫财磋商采购-2020-481郑州铁路职业技术学院学生宿舍家具购置项目</w:t>
      </w:r>
      <w:r>
        <w:rPr>
          <w:sz w:val="24"/>
          <w:szCs w:val="24"/>
        </w:rPr>
        <w:t>的磋商,并做出如下承诺：</w:t>
      </w:r>
    </w:p>
    <w:p>
      <w:pPr>
        <w:autoSpaceDE w:val="0"/>
        <w:autoSpaceDN w:val="0"/>
        <w:adjustRightInd w:val="0"/>
        <w:spacing w:line="360" w:lineRule="auto"/>
        <w:ind w:firstLine="520" w:firstLineChars="200"/>
        <w:rPr>
          <w:bCs/>
          <w:spacing w:val="10"/>
          <w:kern w:val="0"/>
          <w:sz w:val="24"/>
          <w:szCs w:val="24"/>
        </w:rPr>
      </w:pPr>
      <w:r>
        <w:rPr>
          <w:bCs/>
          <w:spacing w:val="10"/>
          <w:kern w:val="0"/>
          <w:sz w:val="24"/>
          <w:szCs w:val="24"/>
        </w:rPr>
        <w:t>一、公平竞争参加本次竞争性磋商采购活动。</w:t>
      </w:r>
    </w:p>
    <w:p>
      <w:pPr>
        <w:autoSpaceDE w:val="0"/>
        <w:autoSpaceDN w:val="0"/>
        <w:adjustRightInd w:val="0"/>
        <w:spacing w:line="360" w:lineRule="auto"/>
        <w:ind w:firstLine="520" w:firstLineChars="200"/>
        <w:rPr>
          <w:bCs/>
          <w:spacing w:val="10"/>
          <w:kern w:val="0"/>
          <w:sz w:val="24"/>
          <w:szCs w:val="24"/>
        </w:rPr>
      </w:pPr>
      <w:r>
        <w:rPr>
          <w:bCs/>
          <w:spacing w:val="10"/>
          <w:kern w:val="0"/>
          <w:sz w:val="24"/>
          <w:szCs w:val="24"/>
        </w:rPr>
        <w:t>二、杜绝任何形式的商业贿赂行为。不向国家工作人员、集中采购机构工作人员、评审专家及其亲属提供礼品礼金、有价证券、购物券、回扣、佣金、咨询费、劳务费、赞助费、宣传费、宴请；不为其报销各种消费凭证，不支付其旅游、娱乐等费用。</w:t>
      </w:r>
    </w:p>
    <w:p>
      <w:pPr>
        <w:autoSpaceDE w:val="0"/>
        <w:autoSpaceDN w:val="0"/>
        <w:adjustRightInd w:val="0"/>
        <w:spacing w:line="360" w:lineRule="auto"/>
        <w:ind w:firstLine="520" w:firstLineChars="200"/>
        <w:rPr>
          <w:bCs/>
          <w:spacing w:val="10"/>
          <w:kern w:val="0"/>
          <w:sz w:val="24"/>
          <w:szCs w:val="24"/>
        </w:rPr>
      </w:pPr>
      <w:r>
        <w:rPr>
          <w:bCs/>
          <w:spacing w:val="10"/>
          <w:kern w:val="0"/>
          <w:sz w:val="24"/>
          <w:szCs w:val="24"/>
        </w:rPr>
        <w:t>三、若出现上述行为，我公司及参与磋商的工作人员愿意接受按照国家法律法规等有关规定给予的处罚。</w:t>
      </w:r>
    </w:p>
    <w:p>
      <w:pPr>
        <w:autoSpaceDE w:val="0"/>
        <w:autoSpaceDN w:val="0"/>
        <w:adjustRightInd w:val="0"/>
        <w:spacing w:line="360" w:lineRule="auto"/>
        <w:ind w:firstLine="520" w:firstLineChars="200"/>
        <w:rPr>
          <w:bCs/>
          <w:spacing w:val="10"/>
          <w:kern w:val="0"/>
          <w:sz w:val="24"/>
          <w:szCs w:val="24"/>
        </w:rPr>
      </w:pPr>
    </w:p>
    <w:p>
      <w:pPr>
        <w:spacing w:line="480" w:lineRule="auto"/>
        <w:ind w:left="2940" w:leftChars="1400"/>
        <w:jc w:val="left"/>
        <w:rPr>
          <w:bCs/>
          <w:sz w:val="24"/>
          <w:szCs w:val="24"/>
        </w:rPr>
      </w:pPr>
      <w:bookmarkStart w:id="62" w:name="_Toc437077354"/>
      <w:bookmarkStart w:id="63" w:name="_Toc428523707"/>
      <w:bookmarkStart w:id="64" w:name="_Toc497683390"/>
      <w:r>
        <w:rPr>
          <w:bCs/>
          <w:sz w:val="24"/>
          <w:szCs w:val="24"/>
        </w:rPr>
        <w:t>供应商（企业电子签章）：</w:t>
      </w:r>
    </w:p>
    <w:p>
      <w:pPr>
        <w:spacing w:line="360" w:lineRule="auto"/>
        <w:ind w:left="2940" w:leftChars="1400" w:right="420"/>
        <w:jc w:val="left"/>
        <w:rPr>
          <w:sz w:val="24"/>
          <w:szCs w:val="24"/>
        </w:rPr>
      </w:pPr>
    </w:p>
    <w:p>
      <w:pPr>
        <w:spacing w:line="360" w:lineRule="auto"/>
        <w:ind w:left="2940" w:leftChars="1400" w:right="1110"/>
        <w:jc w:val="left"/>
        <w:rPr>
          <w:sz w:val="24"/>
          <w:szCs w:val="24"/>
        </w:rPr>
      </w:pPr>
      <w:r>
        <w:rPr>
          <w:sz w:val="24"/>
          <w:szCs w:val="24"/>
        </w:rPr>
        <w:t>日期：年月日</w:t>
      </w:r>
    </w:p>
    <w:p>
      <w:pPr>
        <w:spacing w:line="360" w:lineRule="auto"/>
        <w:ind w:left="2940" w:leftChars="1400" w:right="1110"/>
        <w:jc w:val="left"/>
        <w:rPr>
          <w:sz w:val="24"/>
          <w:szCs w:val="24"/>
        </w:rPr>
      </w:pPr>
    </w:p>
    <w:p>
      <w:pPr>
        <w:spacing w:line="360" w:lineRule="auto"/>
        <w:ind w:left="2940" w:leftChars="1400" w:right="1110"/>
        <w:jc w:val="left"/>
        <w:rPr>
          <w:sz w:val="24"/>
          <w:szCs w:val="24"/>
        </w:rPr>
      </w:pPr>
    </w:p>
    <w:p>
      <w:pPr>
        <w:pStyle w:val="23"/>
        <w:numPr>
          <w:ilvl w:val="0"/>
          <w:numId w:val="8"/>
        </w:numPr>
        <w:spacing w:line="360" w:lineRule="auto"/>
        <w:jc w:val="center"/>
        <w:outlineLvl w:val="9"/>
      </w:pPr>
      <w:r>
        <w:t>磋商响应承诺函</w:t>
      </w:r>
    </w:p>
    <w:p>
      <w:pPr>
        <w:tabs>
          <w:tab w:val="left" w:pos="945"/>
          <w:tab w:val="left" w:pos="1155"/>
        </w:tabs>
        <w:spacing w:line="360" w:lineRule="auto"/>
        <w:jc w:val="center"/>
        <w:rPr>
          <w:spacing w:val="19"/>
          <w:sz w:val="28"/>
          <w:szCs w:val="28"/>
        </w:rPr>
      </w:pPr>
      <w:r>
        <w:rPr>
          <w:spacing w:val="19"/>
          <w:sz w:val="28"/>
          <w:szCs w:val="28"/>
        </w:rPr>
        <w:tab/>
      </w:r>
      <w:r>
        <w:rPr>
          <w:spacing w:val="19"/>
          <w:sz w:val="28"/>
          <w:szCs w:val="28"/>
        </w:rPr>
        <w:t>磋商响应承诺函</w:t>
      </w:r>
    </w:p>
    <w:p>
      <w:pPr>
        <w:spacing w:line="360" w:lineRule="auto"/>
        <w:rPr>
          <w:sz w:val="24"/>
          <w:szCs w:val="24"/>
        </w:rPr>
      </w:pPr>
      <w:bookmarkStart w:id="65" w:name="_Hlk44492056"/>
      <w:r>
        <w:rPr>
          <w:sz w:val="24"/>
          <w:szCs w:val="24"/>
        </w:rPr>
        <w:t>致：</w:t>
      </w:r>
      <w:r>
        <w:rPr>
          <w:rFonts w:hint="eastAsia"/>
          <w:sz w:val="24"/>
          <w:szCs w:val="24"/>
          <w:u w:val="single"/>
        </w:rPr>
        <w:t>郑州铁路职业技术学院</w:t>
      </w:r>
    </w:p>
    <w:p>
      <w:pPr>
        <w:spacing w:line="360" w:lineRule="auto"/>
        <w:ind w:firstLine="480" w:firstLineChars="200"/>
        <w:rPr>
          <w:sz w:val="24"/>
          <w:szCs w:val="24"/>
        </w:rPr>
      </w:pPr>
      <w:r>
        <w:rPr>
          <w:sz w:val="24"/>
          <w:szCs w:val="24"/>
        </w:rPr>
        <w:t>我（单位/本人，以下统称我单位）自愿参加</w:t>
      </w:r>
      <w:r>
        <w:rPr>
          <w:rFonts w:hint="eastAsia"/>
          <w:sz w:val="24"/>
          <w:szCs w:val="24"/>
          <w:u w:val="single"/>
        </w:rPr>
        <w:t>豫财磋商采购-2020-481郑州铁路职业技术学院学生宿舍家具购置项目</w:t>
      </w:r>
      <w:r>
        <w:rPr>
          <w:sz w:val="24"/>
          <w:szCs w:val="24"/>
        </w:rPr>
        <w:t>的磋商,并做出如下承诺：</w:t>
      </w:r>
    </w:p>
    <w:bookmarkEnd w:id="65"/>
    <w:p>
      <w:pPr>
        <w:adjustRightInd w:val="0"/>
        <w:spacing w:line="360" w:lineRule="auto"/>
        <w:ind w:firstLine="480" w:firstLineChars="200"/>
        <w:jc w:val="left"/>
        <w:textAlignment w:val="baseline"/>
        <w:rPr>
          <w:kern w:val="0"/>
          <w:sz w:val="24"/>
          <w:szCs w:val="24"/>
        </w:rPr>
      </w:pPr>
      <w:r>
        <w:rPr>
          <w:kern w:val="0"/>
          <w:sz w:val="24"/>
          <w:szCs w:val="24"/>
        </w:rPr>
        <w:t>一、除不可抗力外，我单位如果发生以下行为，将在行为发生的10个工作日内，向贵方支付本采购文件公布的最高限价的2%作为违约赔偿金。</w:t>
      </w:r>
    </w:p>
    <w:p>
      <w:pPr>
        <w:adjustRightInd w:val="0"/>
        <w:spacing w:line="360" w:lineRule="auto"/>
        <w:ind w:firstLine="480" w:firstLineChars="200"/>
        <w:jc w:val="left"/>
        <w:textAlignment w:val="baseline"/>
        <w:rPr>
          <w:kern w:val="0"/>
          <w:sz w:val="24"/>
          <w:szCs w:val="24"/>
        </w:rPr>
      </w:pPr>
      <w:r>
        <w:rPr>
          <w:kern w:val="0"/>
          <w:sz w:val="24"/>
          <w:szCs w:val="24"/>
        </w:rPr>
        <w:t>1、供应商在提交响应文件截止时间后撤回响应文件的；</w:t>
      </w:r>
    </w:p>
    <w:p>
      <w:pPr>
        <w:adjustRightInd w:val="0"/>
        <w:spacing w:line="360" w:lineRule="auto"/>
        <w:ind w:firstLine="480" w:firstLineChars="200"/>
        <w:jc w:val="left"/>
        <w:textAlignment w:val="baseline"/>
        <w:rPr>
          <w:kern w:val="0"/>
          <w:sz w:val="24"/>
          <w:szCs w:val="24"/>
        </w:rPr>
      </w:pPr>
      <w:r>
        <w:rPr>
          <w:kern w:val="0"/>
          <w:sz w:val="24"/>
          <w:szCs w:val="24"/>
        </w:rPr>
        <w:t>2、供应商在响应文件中提供虚假材料的；</w:t>
      </w:r>
    </w:p>
    <w:p>
      <w:pPr>
        <w:adjustRightInd w:val="0"/>
        <w:spacing w:line="360" w:lineRule="auto"/>
        <w:ind w:firstLine="480" w:firstLineChars="200"/>
        <w:jc w:val="left"/>
        <w:textAlignment w:val="baseline"/>
        <w:rPr>
          <w:kern w:val="0"/>
          <w:sz w:val="24"/>
          <w:szCs w:val="24"/>
        </w:rPr>
      </w:pPr>
      <w:r>
        <w:rPr>
          <w:kern w:val="0"/>
          <w:sz w:val="24"/>
          <w:szCs w:val="24"/>
        </w:rPr>
        <w:t>3、除因不可抗力或磋商文件认可的情形以外，成交供应商不与采购人签订合同的；</w:t>
      </w:r>
    </w:p>
    <w:p>
      <w:pPr>
        <w:adjustRightInd w:val="0"/>
        <w:spacing w:line="360" w:lineRule="auto"/>
        <w:ind w:firstLine="480" w:firstLineChars="200"/>
        <w:jc w:val="left"/>
        <w:textAlignment w:val="baseline"/>
        <w:rPr>
          <w:kern w:val="0"/>
          <w:sz w:val="24"/>
          <w:szCs w:val="24"/>
        </w:rPr>
      </w:pPr>
      <w:r>
        <w:rPr>
          <w:kern w:val="0"/>
          <w:sz w:val="24"/>
          <w:szCs w:val="24"/>
        </w:rPr>
        <w:t>4、供应商与采购人、其他供应商或者采购代理机构恶意串通的；</w:t>
      </w:r>
    </w:p>
    <w:p>
      <w:pPr>
        <w:adjustRightInd w:val="0"/>
        <w:spacing w:line="360" w:lineRule="auto"/>
        <w:ind w:firstLine="480" w:firstLineChars="200"/>
        <w:jc w:val="left"/>
        <w:textAlignment w:val="baseline"/>
        <w:rPr>
          <w:kern w:val="0"/>
          <w:sz w:val="24"/>
          <w:szCs w:val="24"/>
        </w:rPr>
      </w:pPr>
      <w:r>
        <w:rPr>
          <w:kern w:val="0"/>
          <w:sz w:val="24"/>
          <w:szCs w:val="24"/>
        </w:rPr>
        <w:t>5、磋商文件规定的其他情形。</w:t>
      </w:r>
    </w:p>
    <w:p>
      <w:pPr>
        <w:adjustRightInd w:val="0"/>
        <w:spacing w:line="360" w:lineRule="auto"/>
        <w:ind w:firstLine="480" w:firstLineChars="200"/>
        <w:jc w:val="left"/>
        <w:textAlignment w:val="baseline"/>
        <w:rPr>
          <w:kern w:val="0"/>
          <w:sz w:val="24"/>
          <w:szCs w:val="24"/>
        </w:rPr>
      </w:pPr>
      <w:r>
        <w:rPr>
          <w:kern w:val="0"/>
          <w:sz w:val="24"/>
          <w:szCs w:val="24"/>
        </w:rPr>
        <w:t>二、我单位知晓上述行为的法律后果，承认本承诺书作为贵方要求我单位履行违约赔偿义务的依据作用。</w:t>
      </w:r>
    </w:p>
    <w:p>
      <w:pPr>
        <w:spacing w:line="360" w:lineRule="auto"/>
        <w:jc w:val="right"/>
        <w:rPr>
          <w:bCs/>
          <w:sz w:val="24"/>
          <w:szCs w:val="24"/>
        </w:rPr>
      </w:pPr>
    </w:p>
    <w:p>
      <w:pPr>
        <w:spacing w:line="480" w:lineRule="auto"/>
        <w:ind w:left="2940" w:leftChars="1400"/>
        <w:jc w:val="left"/>
        <w:rPr>
          <w:bCs/>
          <w:sz w:val="24"/>
          <w:szCs w:val="24"/>
        </w:rPr>
      </w:pPr>
      <w:r>
        <w:rPr>
          <w:bCs/>
          <w:sz w:val="24"/>
          <w:szCs w:val="24"/>
        </w:rPr>
        <w:t>供应商（企业电子签章）：</w:t>
      </w:r>
    </w:p>
    <w:p>
      <w:pPr>
        <w:spacing w:line="360" w:lineRule="auto"/>
        <w:ind w:left="2940" w:leftChars="1400" w:right="420"/>
        <w:jc w:val="left"/>
        <w:rPr>
          <w:sz w:val="24"/>
          <w:szCs w:val="24"/>
        </w:rPr>
      </w:pPr>
    </w:p>
    <w:p>
      <w:pPr>
        <w:spacing w:line="360" w:lineRule="auto"/>
        <w:ind w:left="2940" w:leftChars="1400" w:right="1110"/>
        <w:jc w:val="left"/>
        <w:rPr>
          <w:sz w:val="24"/>
          <w:szCs w:val="24"/>
        </w:rPr>
      </w:pPr>
      <w:r>
        <w:rPr>
          <w:sz w:val="24"/>
          <w:szCs w:val="24"/>
        </w:rPr>
        <w:t>日期：年月日</w:t>
      </w:r>
    </w:p>
    <w:p>
      <w:pPr>
        <w:spacing w:line="360" w:lineRule="auto"/>
        <w:ind w:right="1110" w:firstLine="2835" w:firstLineChars="1350"/>
        <w:rPr>
          <w:szCs w:val="21"/>
        </w:rPr>
      </w:pPr>
    </w:p>
    <w:p>
      <w:pPr>
        <w:spacing w:line="480" w:lineRule="auto"/>
        <w:jc w:val="left"/>
        <w:rPr>
          <w:rFonts w:eastAsia="仿宋_GB2312"/>
          <w:b/>
          <w:sz w:val="28"/>
        </w:rPr>
      </w:pPr>
    </w:p>
    <w:p>
      <w:pPr>
        <w:spacing w:line="480" w:lineRule="auto"/>
        <w:jc w:val="left"/>
        <w:rPr>
          <w:rFonts w:eastAsia="仿宋_GB2312"/>
          <w:b/>
          <w:sz w:val="28"/>
        </w:rPr>
      </w:pPr>
    </w:p>
    <w:p>
      <w:pPr>
        <w:pStyle w:val="23"/>
        <w:numPr>
          <w:ilvl w:val="0"/>
          <w:numId w:val="8"/>
        </w:numPr>
        <w:spacing w:line="360" w:lineRule="auto"/>
        <w:jc w:val="center"/>
        <w:outlineLvl w:val="9"/>
      </w:pPr>
      <w:r>
        <w:t>其他资格证明材料</w:t>
      </w:r>
    </w:p>
    <w:p>
      <w:pPr>
        <w:spacing w:line="460" w:lineRule="exact"/>
        <w:jc w:val="center"/>
        <w:rPr>
          <w:b/>
          <w:sz w:val="30"/>
          <w:szCs w:val="30"/>
          <w:highlight w:val="yellow"/>
        </w:rPr>
      </w:pPr>
    </w:p>
    <w:p>
      <w:pPr>
        <w:pStyle w:val="15"/>
        <w:ind w:firstLine="240"/>
        <w:rPr>
          <w:rFonts w:ascii="Times New Roman" w:hAnsi="Times New Roman"/>
          <w:highlight w:val="yellow"/>
        </w:rPr>
      </w:pPr>
    </w:p>
    <w:p>
      <w:pPr>
        <w:pStyle w:val="15"/>
        <w:ind w:firstLine="240"/>
        <w:rPr>
          <w:rFonts w:ascii="Times New Roman" w:hAnsi="Times New Roman"/>
          <w:highlight w:val="yellow"/>
        </w:rPr>
      </w:pPr>
    </w:p>
    <w:p>
      <w:pPr>
        <w:spacing w:line="360" w:lineRule="auto"/>
        <w:jc w:val="center"/>
        <w:rPr>
          <w:b/>
          <w:sz w:val="30"/>
          <w:szCs w:val="30"/>
        </w:rPr>
      </w:pPr>
      <w:bookmarkStart w:id="66" w:name="_Toc477795018"/>
      <w:r>
        <w:rPr>
          <w:b/>
          <w:sz w:val="30"/>
          <w:szCs w:val="30"/>
        </w:rPr>
        <w:br w:type="page"/>
      </w:r>
      <w:r>
        <w:rPr>
          <w:b/>
          <w:sz w:val="30"/>
          <w:szCs w:val="30"/>
        </w:rPr>
        <w:t>六、小微企业声明函</w:t>
      </w:r>
    </w:p>
    <w:p>
      <w:pPr>
        <w:spacing w:line="460" w:lineRule="exact"/>
        <w:jc w:val="center"/>
        <w:rPr>
          <w:b/>
          <w:color w:val="000000"/>
          <w:sz w:val="28"/>
          <w:szCs w:val="28"/>
        </w:rPr>
      </w:pPr>
      <w:r>
        <w:rPr>
          <w:b/>
          <w:color w:val="000000"/>
          <w:sz w:val="30"/>
          <w:szCs w:val="30"/>
        </w:rPr>
        <w:t>小微企业</w:t>
      </w:r>
      <w:r>
        <w:rPr>
          <w:b/>
          <w:color w:val="000000"/>
          <w:sz w:val="28"/>
          <w:szCs w:val="28"/>
        </w:rPr>
        <w:t>产品适用政府采购政策情况表</w:t>
      </w:r>
    </w:p>
    <w:p>
      <w:pPr>
        <w:spacing w:line="360" w:lineRule="auto"/>
        <w:jc w:val="center"/>
        <w:rPr>
          <w:color w:val="000000"/>
        </w:rPr>
      </w:pPr>
      <w:r>
        <w:rPr>
          <w:color w:val="000000"/>
        </w:rPr>
        <w:t>（供应商提供小微企业产品的填写，不属于的无需填写此项内容）</w:t>
      </w:r>
    </w:p>
    <w:tbl>
      <w:tblPr>
        <w:tblStyle w:val="16"/>
        <w:tblW w:w="9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880"/>
        <w:gridCol w:w="1038"/>
        <w:gridCol w:w="1190"/>
        <w:gridCol w:w="1470"/>
        <w:gridCol w:w="881"/>
        <w:gridCol w:w="1248"/>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024" w:type="dxa"/>
            <w:vMerge w:val="restart"/>
            <w:vAlign w:val="center"/>
          </w:tcPr>
          <w:p>
            <w:pPr>
              <w:tabs>
                <w:tab w:val="left" w:pos="1260"/>
              </w:tabs>
              <w:spacing w:before="156" w:after="156"/>
              <w:jc w:val="center"/>
              <w:rPr>
                <w:color w:val="000000"/>
                <w:szCs w:val="21"/>
                <w:lang w:val="en-GB"/>
              </w:rPr>
            </w:pPr>
            <w:r>
              <w:rPr>
                <w:color w:val="000000"/>
                <w:szCs w:val="21"/>
                <w:lang w:val="en-GB"/>
              </w:rPr>
              <w:t>小微企业扶持政策</w:t>
            </w:r>
          </w:p>
        </w:tc>
        <w:tc>
          <w:tcPr>
            <w:tcW w:w="8928" w:type="dxa"/>
            <w:gridSpan w:val="7"/>
            <w:vAlign w:val="center"/>
          </w:tcPr>
          <w:p>
            <w:pPr>
              <w:tabs>
                <w:tab w:val="left" w:pos="1260"/>
              </w:tabs>
              <w:spacing w:before="40" w:after="40" w:line="360" w:lineRule="auto"/>
              <w:rPr>
                <w:color w:val="000000"/>
                <w:szCs w:val="21"/>
                <w:lang w:val="en-GB"/>
              </w:rPr>
            </w:pPr>
            <w:r>
              <w:rPr>
                <w:color w:val="000000"/>
                <w:szCs w:val="21"/>
                <w:lang w:val="en-GB"/>
              </w:rPr>
              <w:t>如属所列情形的，请在括号内打“√”：</w:t>
            </w:r>
          </w:p>
          <w:p>
            <w:pPr>
              <w:tabs>
                <w:tab w:val="left" w:pos="1260"/>
              </w:tabs>
              <w:spacing w:before="40" w:after="40" w:line="360" w:lineRule="auto"/>
              <w:rPr>
                <w:color w:val="000000"/>
                <w:szCs w:val="21"/>
                <w:lang w:val="en-GB"/>
              </w:rPr>
            </w:pPr>
            <w:r>
              <w:rPr>
                <w:color w:val="000000"/>
                <w:szCs w:val="21"/>
                <w:lang w:val="en-GB"/>
              </w:rPr>
              <w:t>（）小型、微型企业参加响应且提供本企业制造的产品。</w:t>
            </w:r>
          </w:p>
          <w:p>
            <w:pPr>
              <w:tabs>
                <w:tab w:val="left" w:pos="1260"/>
              </w:tabs>
              <w:spacing w:before="40" w:after="40" w:line="360" w:lineRule="auto"/>
              <w:rPr>
                <w:color w:val="000000"/>
                <w:szCs w:val="21"/>
                <w:lang w:val="en-GB"/>
              </w:rPr>
            </w:pPr>
            <w:r>
              <w:rPr>
                <w:color w:val="000000"/>
                <w:szCs w:val="21"/>
                <w:lang w:val="en-GB"/>
              </w:rPr>
              <w:t>（）小微企业参加响应且提供其它小型、微型企业产品。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024" w:type="dxa"/>
            <w:vMerge w:val="continue"/>
            <w:vAlign w:val="center"/>
          </w:tcPr>
          <w:p>
            <w:pPr>
              <w:tabs>
                <w:tab w:val="left" w:pos="1260"/>
              </w:tabs>
              <w:spacing w:before="156" w:after="156"/>
              <w:jc w:val="center"/>
              <w:rPr>
                <w:color w:val="000000"/>
                <w:szCs w:val="21"/>
                <w:lang w:val="en-GB"/>
              </w:rPr>
            </w:pPr>
          </w:p>
        </w:tc>
        <w:tc>
          <w:tcPr>
            <w:tcW w:w="1880" w:type="dxa"/>
            <w:vAlign w:val="center"/>
          </w:tcPr>
          <w:p>
            <w:pPr>
              <w:tabs>
                <w:tab w:val="left" w:pos="1260"/>
              </w:tabs>
              <w:spacing w:before="40" w:after="40"/>
              <w:jc w:val="center"/>
              <w:rPr>
                <w:color w:val="000000"/>
                <w:szCs w:val="21"/>
                <w:lang w:val="en-GB"/>
              </w:rPr>
            </w:pPr>
            <w:r>
              <w:rPr>
                <w:color w:val="000000"/>
                <w:szCs w:val="21"/>
                <w:lang w:val="en-GB"/>
              </w:rPr>
              <w:t>产品名称</w:t>
            </w:r>
          </w:p>
        </w:tc>
        <w:tc>
          <w:tcPr>
            <w:tcW w:w="1038" w:type="dxa"/>
            <w:vAlign w:val="center"/>
          </w:tcPr>
          <w:p>
            <w:pPr>
              <w:tabs>
                <w:tab w:val="left" w:pos="1260"/>
              </w:tabs>
              <w:spacing w:before="40" w:after="40"/>
              <w:jc w:val="center"/>
              <w:rPr>
                <w:color w:val="000000"/>
                <w:szCs w:val="21"/>
                <w:lang w:val="en-GB"/>
              </w:rPr>
            </w:pPr>
            <w:r>
              <w:rPr>
                <w:color w:val="000000"/>
                <w:szCs w:val="21"/>
                <w:lang w:val="en-GB"/>
              </w:rPr>
              <w:t>品牌、型号</w:t>
            </w:r>
          </w:p>
        </w:tc>
        <w:tc>
          <w:tcPr>
            <w:tcW w:w="1190" w:type="dxa"/>
            <w:vAlign w:val="center"/>
          </w:tcPr>
          <w:p>
            <w:pPr>
              <w:tabs>
                <w:tab w:val="left" w:pos="1260"/>
              </w:tabs>
              <w:spacing w:before="40" w:after="40"/>
              <w:jc w:val="center"/>
              <w:rPr>
                <w:color w:val="000000"/>
                <w:szCs w:val="21"/>
                <w:lang w:val="en-GB"/>
              </w:rPr>
            </w:pPr>
            <w:r>
              <w:rPr>
                <w:color w:val="000000"/>
                <w:szCs w:val="21"/>
                <w:lang w:val="en-GB"/>
              </w:rPr>
              <w:t>制造商</w:t>
            </w:r>
          </w:p>
        </w:tc>
        <w:tc>
          <w:tcPr>
            <w:tcW w:w="1470" w:type="dxa"/>
            <w:vAlign w:val="center"/>
          </w:tcPr>
          <w:p>
            <w:pPr>
              <w:tabs>
                <w:tab w:val="left" w:pos="1260"/>
              </w:tabs>
              <w:spacing w:before="40" w:after="40"/>
              <w:jc w:val="center"/>
              <w:rPr>
                <w:color w:val="000000"/>
                <w:szCs w:val="21"/>
                <w:lang w:val="en-GB"/>
              </w:rPr>
            </w:pPr>
            <w:r>
              <w:rPr>
                <w:color w:val="000000"/>
                <w:szCs w:val="21"/>
                <w:lang w:val="en-GB"/>
              </w:rPr>
              <w:t>制造商类型</w:t>
            </w:r>
            <w:r>
              <w:rPr>
                <w:color w:val="000000"/>
                <w:szCs w:val="21"/>
              </w:rPr>
              <w:t>（填小型/微型/监狱等）</w:t>
            </w:r>
          </w:p>
        </w:tc>
        <w:tc>
          <w:tcPr>
            <w:tcW w:w="881" w:type="dxa"/>
            <w:vAlign w:val="center"/>
          </w:tcPr>
          <w:p>
            <w:pPr>
              <w:jc w:val="center"/>
              <w:rPr>
                <w:color w:val="000000"/>
                <w:szCs w:val="24"/>
              </w:rPr>
            </w:pPr>
            <w:r>
              <w:rPr>
                <w:color w:val="000000"/>
                <w:szCs w:val="24"/>
              </w:rPr>
              <w:t>数量</w:t>
            </w:r>
          </w:p>
        </w:tc>
        <w:tc>
          <w:tcPr>
            <w:tcW w:w="1248" w:type="dxa"/>
            <w:vAlign w:val="center"/>
          </w:tcPr>
          <w:p>
            <w:pPr>
              <w:jc w:val="center"/>
              <w:rPr>
                <w:color w:val="000000"/>
                <w:szCs w:val="24"/>
              </w:rPr>
            </w:pPr>
            <w:r>
              <w:rPr>
                <w:color w:val="000000"/>
                <w:szCs w:val="24"/>
              </w:rPr>
              <w:t>单价</w:t>
            </w:r>
            <w:r>
              <w:rPr>
                <w:color w:val="000000"/>
                <w:szCs w:val="24"/>
                <w:lang w:val="en-GB"/>
              </w:rPr>
              <w:t>（元）</w:t>
            </w:r>
          </w:p>
        </w:tc>
        <w:tc>
          <w:tcPr>
            <w:tcW w:w="1221" w:type="dxa"/>
            <w:vAlign w:val="center"/>
          </w:tcPr>
          <w:p>
            <w:pPr>
              <w:tabs>
                <w:tab w:val="left" w:pos="1260"/>
              </w:tabs>
              <w:spacing w:before="40" w:after="40"/>
              <w:jc w:val="center"/>
              <w:rPr>
                <w:color w:val="000000"/>
                <w:szCs w:val="21"/>
                <w:lang w:val="en-GB"/>
              </w:rPr>
            </w:pPr>
            <w:r>
              <w:rPr>
                <w:color w:val="000000"/>
                <w:szCs w:val="21"/>
                <w:lang w:val="en-GB"/>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24" w:type="dxa"/>
            <w:vMerge w:val="continue"/>
            <w:vAlign w:val="center"/>
          </w:tcPr>
          <w:p>
            <w:pPr>
              <w:tabs>
                <w:tab w:val="left" w:pos="1260"/>
              </w:tabs>
              <w:spacing w:before="156" w:after="156"/>
              <w:jc w:val="center"/>
              <w:rPr>
                <w:color w:val="000000"/>
                <w:szCs w:val="21"/>
                <w:lang w:val="en-GB"/>
              </w:rPr>
            </w:pPr>
          </w:p>
        </w:tc>
        <w:tc>
          <w:tcPr>
            <w:tcW w:w="1880" w:type="dxa"/>
            <w:vAlign w:val="center"/>
          </w:tcPr>
          <w:p>
            <w:pPr>
              <w:tabs>
                <w:tab w:val="left" w:pos="1260"/>
              </w:tabs>
              <w:spacing w:before="40" w:after="40"/>
              <w:jc w:val="center"/>
              <w:rPr>
                <w:color w:val="000000"/>
                <w:szCs w:val="21"/>
                <w:lang w:val="en-GB"/>
              </w:rPr>
            </w:pPr>
          </w:p>
        </w:tc>
        <w:tc>
          <w:tcPr>
            <w:tcW w:w="1038" w:type="dxa"/>
            <w:vAlign w:val="center"/>
          </w:tcPr>
          <w:p>
            <w:pPr>
              <w:tabs>
                <w:tab w:val="left" w:pos="1260"/>
              </w:tabs>
              <w:spacing w:before="40" w:after="40"/>
              <w:jc w:val="center"/>
              <w:rPr>
                <w:color w:val="000000"/>
                <w:szCs w:val="21"/>
                <w:lang w:val="en-GB"/>
              </w:rPr>
            </w:pPr>
          </w:p>
        </w:tc>
        <w:tc>
          <w:tcPr>
            <w:tcW w:w="1190" w:type="dxa"/>
            <w:vAlign w:val="center"/>
          </w:tcPr>
          <w:p>
            <w:pPr>
              <w:tabs>
                <w:tab w:val="left" w:pos="1260"/>
              </w:tabs>
              <w:spacing w:before="40" w:after="40"/>
              <w:jc w:val="center"/>
              <w:rPr>
                <w:color w:val="000000"/>
                <w:szCs w:val="21"/>
                <w:lang w:val="en-GB"/>
              </w:rPr>
            </w:pPr>
          </w:p>
        </w:tc>
        <w:tc>
          <w:tcPr>
            <w:tcW w:w="1470" w:type="dxa"/>
            <w:vAlign w:val="center"/>
          </w:tcPr>
          <w:p>
            <w:pPr>
              <w:tabs>
                <w:tab w:val="left" w:pos="1260"/>
              </w:tabs>
              <w:spacing w:before="40" w:after="40"/>
              <w:jc w:val="center"/>
              <w:rPr>
                <w:color w:val="000000"/>
                <w:szCs w:val="21"/>
                <w:lang w:val="en-GB"/>
              </w:rPr>
            </w:pPr>
          </w:p>
        </w:tc>
        <w:tc>
          <w:tcPr>
            <w:tcW w:w="881" w:type="dxa"/>
            <w:vAlign w:val="center"/>
          </w:tcPr>
          <w:p>
            <w:pPr>
              <w:tabs>
                <w:tab w:val="left" w:pos="1260"/>
              </w:tabs>
              <w:spacing w:before="40" w:after="40"/>
              <w:jc w:val="center"/>
              <w:rPr>
                <w:color w:val="000000"/>
                <w:szCs w:val="21"/>
                <w:lang w:val="en-GB"/>
              </w:rPr>
            </w:pPr>
          </w:p>
        </w:tc>
        <w:tc>
          <w:tcPr>
            <w:tcW w:w="1248" w:type="dxa"/>
            <w:vAlign w:val="center"/>
          </w:tcPr>
          <w:p>
            <w:pPr>
              <w:tabs>
                <w:tab w:val="left" w:pos="1260"/>
              </w:tabs>
              <w:spacing w:before="40" w:after="40"/>
              <w:jc w:val="center"/>
              <w:rPr>
                <w:color w:val="000000"/>
                <w:szCs w:val="21"/>
                <w:lang w:val="en-GB"/>
              </w:rPr>
            </w:pPr>
          </w:p>
        </w:tc>
        <w:tc>
          <w:tcPr>
            <w:tcW w:w="1221" w:type="dxa"/>
            <w:vAlign w:val="center"/>
          </w:tcPr>
          <w:p>
            <w:pPr>
              <w:tabs>
                <w:tab w:val="left" w:pos="1260"/>
              </w:tabs>
              <w:spacing w:before="40" w:after="40"/>
              <w:jc w:val="center"/>
              <w:rPr>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24" w:type="dxa"/>
            <w:vMerge w:val="continue"/>
            <w:vAlign w:val="center"/>
          </w:tcPr>
          <w:p>
            <w:pPr>
              <w:tabs>
                <w:tab w:val="left" w:pos="1260"/>
              </w:tabs>
              <w:spacing w:before="156" w:after="156"/>
              <w:jc w:val="center"/>
              <w:rPr>
                <w:color w:val="000000"/>
                <w:szCs w:val="21"/>
                <w:lang w:val="en-GB"/>
              </w:rPr>
            </w:pPr>
          </w:p>
        </w:tc>
        <w:tc>
          <w:tcPr>
            <w:tcW w:w="1880" w:type="dxa"/>
            <w:vAlign w:val="center"/>
          </w:tcPr>
          <w:p>
            <w:pPr>
              <w:tabs>
                <w:tab w:val="left" w:pos="1260"/>
              </w:tabs>
              <w:spacing w:before="40" w:after="40"/>
              <w:jc w:val="center"/>
              <w:rPr>
                <w:color w:val="000000"/>
                <w:szCs w:val="21"/>
                <w:lang w:val="en-GB"/>
              </w:rPr>
            </w:pPr>
          </w:p>
        </w:tc>
        <w:tc>
          <w:tcPr>
            <w:tcW w:w="1038" w:type="dxa"/>
            <w:vAlign w:val="center"/>
          </w:tcPr>
          <w:p>
            <w:pPr>
              <w:tabs>
                <w:tab w:val="left" w:pos="1260"/>
              </w:tabs>
              <w:spacing w:before="40" w:after="40"/>
              <w:jc w:val="center"/>
              <w:rPr>
                <w:color w:val="000000"/>
                <w:szCs w:val="21"/>
                <w:lang w:val="en-GB"/>
              </w:rPr>
            </w:pPr>
          </w:p>
        </w:tc>
        <w:tc>
          <w:tcPr>
            <w:tcW w:w="1190" w:type="dxa"/>
            <w:vAlign w:val="center"/>
          </w:tcPr>
          <w:p>
            <w:pPr>
              <w:tabs>
                <w:tab w:val="left" w:pos="1260"/>
              </w:tabs>
              <w:spacing w:before="40" w:after="40"/>
              <w:jc w:val="center"/>
              <w:rPr>
                <w:color w:val="000000"/>
                <w:szCs w:val="21"/>
                <w:lang w:val="en-GB"/>
              </w:rPr>
            </w:pPr>
          </w:p>
        </w:tc>
        <w:tc>
          <w:tcPr>
            <w:tcW w:w="1470" w:type="dxa"/>
            <w:vAlign w:val="center"/>
          </w:tcPr>
          <w:p>
            <w:pPr>
              <w:tabs>
                <w:tab w:val="left" w:pos="1260"/>
              </w:tabs>
              <w:spacing w:before="40" w:after="40"/>
              <w:jc w:val="center"/>
              <w:rPr>
                <w:color w:val="000000"/>
                <w:szCs w:val="21"/>
                <w:lang w:val="en-GB"/>
              </w:rPr>
            </w:pPr>
          </w:p>
        </w:tc>
        <w:tc>
          <w:tcPr>
            <w:tcW w:w="881" w:type="dxa"/>
            <w:vAlign w:val="center"/>
          </w:tcPr>
          <w:p>
            <w:pPr>
              <w:tabs>
                <w:tab w:val="left" w:pos="1260"/>
              </w:tabs>
              <w:spacing w:before="40" w:after="40"/>
              <w:jc w:val="center"/>
              <w:rPr>
                <w:color w:val="000000"/>
                <w:szCs w:val="21"/>
                <w:lang w:val="en-GB"/>
              </w:rPr>
            </w:pPr>
          </w:p>
        </w:tc>
        <w:tc>
          <w:tcPr>
            <w:tcW w:w="1248" w:type="dxa"/>
            <w:vAlign w:val="center"/>
          </w:tcPr>
          <w:p>
            <w:pPr>
              <w:tabs>
                <w:tab w:val="left" w:pos="1260"/>
              </w:tabs>
              <w:spacing w:before="40" w:after="40"/>
              <w:jc w:val="center"/>
              <w:rPr>
                <w:color w:val="000000"/>
                <w:szCs w:val="21"/>
                <w:lang w:val="en-GB"/>
              </w:rPr>
            </w:pPr>
          </w:p>
        </w:tc>
        <w:tc>
          <w:tcPr>
            <w:tcW w:w="1221" w:type="dxa"/>
            <w:vAlign w:val="center"/>
          </w:tcPr>
          <w:p>
            <w:pPr>
              <w:tabs>
                <w:tab w:val="left" w:pos="1260"/>
              </w:tabs>
              <w:spacing w:before="40" w:after="40"/>
              <w:jc w:val="center"/>
              <w:rPr>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24" w:type="dxa"/>
            <w:vMerge w:val="continue"/>
            <w:vAlign w:val="center"/>
          </w:tcPr>
          <w:p>
            <w:pPr>
              <w:tabs>
                <w:tab w:val="left" w:pos="1260"/>
              </w:tabs>
              <w:spacing w:before="156" w:after="156"/>
              <w:jc w:val="center"/>
              <w:rPr>
                <w:color w:val="000000"/>
                <w:szCs w:val="21"/>
                <w:lang w:val="en-GB"/>
              </w:rPr>
            </w:pPr>
          </w:p>
        </w:tc>
        <w:tc>
          <w:tcPr>
            <w:tcW w:w="7707" w:type="dxa"/>
            <w:gridSpan w:val="6"/>
            <w:vAlign w:val="center"/>
          </w:tcPr>
          <w:p>
            <w:pPr>
              <w:tabs>
                <w:tab w:val="left" w:pos="1260"/>
              </w:tabs>
              <w:spacing w:before="40" w:after="40"/>
              <w:jc w:val="center"/>
              <w:rPr>
                <w:color w:val="000000"/>
                <w:szCs w:val="21"/>
                <w:lang w:val="en-GB"/>
              </w:rPr>
            </w:pPr>
            <w:r>
              <w:rPr>
                <w:color w:val="000000"/>
                <w:szCs w:val="21"/>
                <w:lang w:val="en-GB"/>
              </w:rPr>
              <w:t>小型、微型企业产品金额总计（元）</w:t>
            </w:r>
          </w:p>
        </w:tc>
        <w:tc>
          <w:tcPr>
            <w:tcW w:w="1221" w:type="dxa"/>
            <w:vAlign w:val="center"/>
          </w:tcPr>
          <w:p>
            <w:pPr>
              <w:tabs>
                <w:tab w:val="left" w:pos="1260"/>
              </w:tabs>
              <w:spacing w:before="40" w:after="40"/>
              <w:jc w:val="center"/>
              <w:rPr>
                <w:color w:val="000000"/>
                <w:szCs w:val="21"/>
                <w:lang w:val="en-GB"/>
              </w:rPr>
            </w:pPr>
          </w:p>
        </w:tc>
      </w:tr>
    </w:tbl>
    <w:p>
      <w:pPr>
        <w:rPr>
          <w:lang w:val="en-GB"/>
        </w:rPr>
      </w:pPr>
    </w:p>
    <w:p>
      <w:pPr>
        <w:spacing w:line="360" w:lineRule="auto"/>
        <w:jc w:val="center"/>
        <w:rPr>
          <w:b/>
          <w:color w:val="000000"/>
          <w:sz w:val="28"/>
          <w:szCs w:val="28"/>
        </w:rPr>
      </w:pPr>
      <w:r>
        <w:rPr>
          <w:b/>
          <w:color w:val="000000"/>
          <w:sz w:val="28"/>
          <w:szCs w:val="28"/>
        </w:rPr>
        <w:br w:type="page"/>
      </w:r>
      <w:r>
        <w:rPr>
          <w:b/>
          <w:color w:val="000000"/>
          <w:sz w:val="28"/>
          <w:szCs w:val="28"/>
        </w:rPr>
        <w:t>中小企业声明函（供应商）</w:t>
      </w:r>
    </w:p>
    <w:p>
      <w:pPr>
        <w:spacing w:line="360" w:lineRule="auto"/>
        <w:jc w:val="center"/>
        <w:rPr>
          <w:color w:val="000000"/>
          <w:kern w:val="0"/>
          <w:szCs w:val="21"/>
        </w:rPr>
      </w:pPr>
      <w:r>
        <w:rPr>
          <w:color w:val="000000"/>
        </w:rPr>
        <w:t>（供应商属于小微企业的填写，不属于的无需填写此项内容）</w:t>
      </w:r>
    </w:p>
    <w:p>
      <w:pPr>
        <w:pStyle w:val="24"/>
        <w:spacing w:line="360" w:lineRule="auto"/>
        <w:ind w:firstLine="480" w:firstLineChars="200"/>
        <w:rPr>
          <w:color w:val="000000"/>
          <w:kern w:val="0"/>
          <w:sz w:val="24"/>
        </w:rPr>
      </w:pPr>
      <w:r>
        <w:rPr>
          <w:color w:val="000000"/>
          <w:kern w:val="0"/>
          <w:sz w:val="24"/>
        </w:rPr>
        <w:t>本公司郑重声明，根据《政府采购促进中小企业发展暂行办法》（财库[2011]181号）的规定，本公司为______（请填写：中型、小型、微型）企业。即，本公司同时满足以下条件：</w:t>
      </w:r>
    </w:p>
    <w:p>
      <w:pPr>
        <w:widowControl/>
        <w:spacing w:line="360" w:lineRule="auto"/>
        <w:ind w:firstLine="480"/>
        <w:jc w:val="left"/>
        <w:textAlignment w:val="baseline"/>
        <w:rPr>
          <w:color w:val="000000"/>
          <w:kern w:val="0"/>
          <w:sz w:val="24"/>
        </w:rPr>
      </w:pPr>
      <w:r>
        <w:rPr>
          <w:color w:val="000000"/>
          <w:kern w:val="0"/>
          <w:sz w:val="24"/>
        </w:rPr>
        <w:t>1.根据《工业和信息化部、国家统计局、国家发展和改革委员会、财政部关于印发中小企业划型标准规定的通知》（工信部联企业[2011]300号）规定的划分标准，本公司为______（请填写：中型、小型、微型）企业。</w:t>
      </w:r>
    </w:p>
    <w:p>
      <w:pPr>
        <w:widowControl/>
        <w:spacing w:line="360" w:lineRule="auto"/>
        <w:ind w:firstLine="480"/>
        <w:jc w:val="left"/>
        <w:textAlignment w:val="baseline"/>
        <w:rPr>
          <w:color w:val="000000"/>
          <w:kern w:val="0"/>
          <w:sz w:val="24"/>
        </w:rPr>
      </w:pPr>
      <w:r>
        <w:rPr>
          <w:color w:val="000000"/>
          <w:kern w:val="0"/>
          <w:sz w:val="24"/>
        </w:rPr>
        <w:t>2.本公司参加______单位的______项目采购活动并提供本企业的服务。</w:t>
      </w:r>
    </w:p>
    <w:p>
      <w:pPr>
        <w:widowControl/>
        <w:spacing w:line="360" w:lineRule="auto"/>
        <w:ind w:firstLine="480"/>
        <w:jc w:val="left"/>
        <w:textAlignment w:val="baseline"/>
        <w:rPr>
          <w:color w:val="000000"/>
          <w:kern w:val="0"/>
          <w:sz w:val="24"/>
        </w:rPr>
      </w:pPr>
      <w:r>
        <w:rPr>
          <w:color w:val="000000"/>
          <w:kern w:val="0"/>
          <w:sz w:val="24"/>
        </w:rPr>
        <w:t>本公司对上述声明的真实性负责。如有虚假，将依法承担相应责任。</w:t>
      </w:r>
    </w:p>
    <w:p>
      <w:pPr>
        <w:widowControl/>
        <w:spacing w:line="360" w:lineRule="auto"/>
        <w:ind w:firstLine="480"/>
        <w:jc w:val="left"/>
        <w:textAlignment w:val="baseline"/>
        <w:rPr>
          <w:color w:val="000000"/>
          <w:kern w:val="0"/>
          <w:sz w:val="24"/>
        </w:rPr>
      </w:pPr>
    </w:p>
    <w:p>
      <w:pPr>
        <w:widowControl/>
        <w:spacing w:line="360" w:lineRule="auto"/>
        <w:ind w:firstLine="480"/>
        <w:jc w:val="left"/>
        <w:textAlignment w:val="baseline"/>
        <w:rPr>
          <w:color w:val="000000"/>
          <w:kern w:val="0"/>
          <w:sz w:val="24"/>
        </w:rPr>
      </w:pPr>
      <w:r>
        <w:rPr>
          <w:color w:val="000000"/>
          <w:kern w:val="0"/>
          <w:sz w:val="24"/>
        </w:rPr>
        <w:t>供应商（企业电子签章）：</w:t>
      </w:r>
    </w:p>
    <w:p>
      <w:pPr>
        <w:widowControl/>
        <w:spacing w:line="360" w:lineRule="auto"/>
        <w:ind w:firstLine="480"/>
        <w:jc w:val="left"/>
        <w:textAlignment w:val="baseline"/>
        <w:rPr>
          <w:color w:val="000000"/>
          <w:kern w:val="0"/>
          <w:sz w:val="24"/>
        </w:rPr>
      </w:pPr>
      <w:r>
        <w:rPr>
          <w:color w:val="000000"/>
          <w:kern w:val="0"/>
          <w:sz w:val="24"/>
        </w:rPr>
        <w:t>日期：</w:t>
      </w:r>
      <w:r>
        <w:rPr>
          <w:sz w:val="24"/>
          <w:szCs w:val="24"/>
        </w:rPr>
        <w:t>年月日</w:t>
      </w:r>
    </w:p>
    <w:p>
      <w:pPr>
        <w:spacing w:line="360" w:lineRule="auto"/>
        <w:rPr>
          <w:color w:val="000000"/>
          <w:sz w:val="24"/>
        </w:rPr>
      </w:pPr>
    </w:p>
    <w:p>
      <w:pPr>
        <w:spacing w:line="360" w:lineRule="auto"/>
        <w:rPr>
          <w:color w:val="000000"/>
          <w:sz w:val="24"/>
        </w:rPr>
      </w:pPr>
      <w:r>
        <w:rPr>
          <w:color w:val="000000"/>
          <w:sz w:val="24"/>
        </w:rPr>
        <w:t>说明：</w:t>
      </w:r>
    </w:p>
    <w:p>
      <w:pPr>
        <w:spacing w:line="360" w:lineRule="auto"/>
        <w:rPr>
          <w:color w:val="000000"/>
          <w:sz w:val="24"/>
        </w:rPr>
      </w:pPr>
      <w:r>
        <w:rPr>
          <w:color w:val="000000"/>
          <w:sz w:val="24"/>
        </w:rPr>
        <w:t>（1）该声明函是针对小微型企业的，非小型、微型企业不用提供该声明。</w:t>
      </w:r>
    </w:p>
    <w:p>
      <w:pPr>
        <w:spacing w:line="360" w:lineRule="auto"/>
        <w:rPr>
          <w:color w:val="000000"/>
          <w:sz w:val="24"/>
        </w:rPr>
      </w:pPr>
      <w:r>
        <w:rPr>
          <w:color w:val="000000"/>
          <w:sz w:val="24"/>
        </w:rPr>
        <w:t>（2）根据《政府采购促进中小企业发展暂行办法》(财库[2011]181 号)的规定，对于非专门面向中小企业的项目，对小型和微型企业产品的价格给予 6%的扣除，用扣除后的价格参与评审。</w:t>
      </w:r>
    </w:p>
    <w:p>
      <w:pPr>
        <w:spacing w:line="360" w:lineRule="auto"/>
        <w:rPr>
          <w:color w:val="000000"/>
          <w:sz w:val="24"/>
        </w:rPr>
      </w:pPr>
      <w:r>
        <w:rPr>
          <w:color w:val="000000"/>
          <w:sz w:val="24"/>
        </w:rPr>
        <w:t>（3）必须同时提供中小企业声明函且同时满足《中小企业划型标准规定》（工信部联企业〔2011〕300号）规定。</w:t>
      </w:r>
    </w:p>
    <w:p>
      <w:pPr>
        <w:spacing w:line="360" w:lineRule="auto"/>
        <w:rPr>
          <w:color w:val="000000"/>
          <w:sz w:val="24"/>
        </w:rPr>
      </w:pPr>
      <w:r>
        <w:rPr>
          <w:color w:val="000000"/>
          <w:sz w:val="24"/>
        </w:rPr>
        <w:t>（4）供应商为小型、微型企业且同时提供货物的制造商也是小型、微型企业时，视供应商为小型和微型企业。</w:t>
      </w:r>
    </w:p>
    <w:p>
      <w:pPr>
        <w:spacing w:line="360" w:lineRule="auto"/>
        <w:jc w:val="center"/>
        <w:rPr>
          <w:color w:val="000000"/>
          <w:sz w:val="24"/>
        </w:rPr>
      </w:pPr>
      <w:r>
        <w:rPr>
          <w:color w:val="000000"/>
          <w:sz w:val="24"/>
        </w:rPr>
        <w:br w:type="page"/>
      </w:r>
    </w:p>
    <w:p>
      <w:pPr>
        <w:spacing w:line="360" w:lineRule="auto"/>
        <w:jc w:val="center"/>
        <w:rPr>
          <w:b/>
          <w:color w:val="000000"/>
          <w:sz w:val="28"/>
          <w:szCs w:val="28"/>
        </w:rPr>
      </w:pPr>
      <w:r>
        <w:rPr>
          <w:b/>
          <w:color w:val="000000"/>
          <w:sz w:val="28"/>
          <w:szCs w:val="28"/>
        </w:rPr>
        <w:t>中小企业声明函（制造商）</w:t>
      </w:r>
    </w:p>
    <w:p>
      <w:pPr>
        <w:spacing w:line="360" w:lineRule="auto"/>
        <w:jc w:val="center"/>
        <w:rPr>
          <w:color w:val="000000"/>
          <w:kern w:val="0"/>
          <w:szCs w:val="21"/>
        </w:rPr>
      </w:pPr>
      <w:r>
        <w:rPr>
          <w:color w:val="000000"/>
        </w:rPr>
        <w:t>（制造商属于小微企业的填写，不属于的无需填写此项内容）</w:t>
      </w:r>
    </w:p>
    <w:p>
      <w:pPr>
        <w:pStyle w:val="24"/>
        <w:spacing w:line="360" w:lineRule="auto"/>
        <w:ind w:firstLine="480" w:firstLineChars="200"/>
        <w:rPr>
          <w:color w:val="000000"/>
          <w:kern w:val="0"/>
          <w:sz w:val="24"/>
        </w:rPr>
      </w:pPr>
      <w:r>
        <w:rPr>
          <w:color w:val="000000"/>
          <w:kern w:val="0"/>
          <w:sz w:val="24"/>
        </w:rPr>
        <w:t>本公司郑重声明，根据《政府采购促进中小企业发展暂行办法》（财库[2011]181号）的规定，本公司为______（请填写：中型、小型、微型）企业。即，本公司同时满足以下条件：</w:t>
      </w:r>
    </w:p>
    <w:p>
      <w:pPr>
        <w:widowControl/>
        <w:spacing w:line="360" w:lineRule="auto"/>
        <w:ind w:firstLine="480"/>
        <w:jc w:val="left"/>
        <w:textAlignment w:val="baseline"/>
        <w:rPr>
          <w:color w:val="000000"/>
          <w:kern w:val="0"/>
          <w:sz w:val="24"/>
        </w:rPr>
      </w:pPr>
      <w:r>
        <w:rPr>
          <w:color w:val="000000"/>
          <w:kern w:val="0"/>
          <w:sz w:val="24"/>
        </w:rPr>
        <w:t>1.根据《工业和信息化部、国家统计局、国家发展和改革委员会、财政部关于印发中小企业划型标准规定的通知》（工信部联企业[2011]300号）规定的划分标准，本公司为______（请填写：中型、小型、微型）企业。</w:t>
      </w:r>
    </w:p>
    <w:p>
      <w:pPr>
        <w:widowControl/>
        <w:spacing w:line="360" w:lineRule="auto"/>
        <w:ind w:firstLine="480"/>
        <w:jc w:val="left"/>
        <w:textAlignment w:val="baseline"/>
        <w:rPr>
          <w:color w:val="000000"/>
          <w:kern w:val="0"/>
          <w:sz w:val="24"/>
        </w:rPr>
      </w:pPr>
      <w:r>
        <w:rPr>
          <w:color w:val="000000"/>
          <w:kern w:val="0"/>
          <w:sz w:val="24"/>
        </w:rPr>
        <w:t>2.本公司参加______单位的______项目采购活动并提供本企业的服务。</w:t>
      </w:r>
    </w:p>
    <w:p>
      <w:pPr>
        <w:widowControl/>
        <w:spacing w:line="360" w:lineRule="auto"/>
        <w:ind w:firstLine="480"/>
        <w:jc w:val="left"/>
        <w:textAlignment w:val="baseline"/>
        <w:rPr>
          <w:color w:val="000000"/>
          <w:kern w:val="0"/>
          <w:sz w:val="24"/>
        </w:rPr>
      </w:pPr>
      <w:r>
        <w:rPr>
          <w:color w:val="000000"/>
          <w:kern w:val="0"/>
          <w:sz w:val="24"/>
        </w:rPr>
        <w:t>本公司对上述声明的真实性负责。如有虚假，将依法承担相应责任。</w:t>
      </w:r>
    </w:p>
    <w:p>
      <w:pPr>
        <w:widowControl/>
        <w:spacing w:line="360" w:lineRule="auto"/>
        <w:ind w:firstLine="480"/>
        <w:jc w:val="left"/>
        <w:textAlignment w:val="baseline"/>
        <w:rPr>
          <w:color w:val="000000"/>
          <w:kern w:val="0"/>
          <w:sz w:val="24"/>
        </w:rPr>
      </w:pPr>
    </w:p>
    <w:p>
      <w:pPr>
        <w:widowControl/>
        <w:spacing w:line="360" w:lineRule="auto"/>
        <w:ind w:firstLine="480"/>
        <w:jc w:val="left"/>
        <w:textAlignment w:val="baseline"/>
        <w:rPr>
          <w:color w:val="000000"/>
          <w:kern w:val="0"/>
          <w:sz w:val="24"/>
        </w:rPr>
      </w:pPr>
      <w:r>
        <w:rPr>
          <w:color w:val="000000"/>
          <w:kern w:val="0"/>
          <w:sz w:val="24"/>
        </w:rPr>
        <w:t>制造商（盖章）：</w:t>
      </w:r>
    </w:p>
    <w:p>
      <w:pPr>
        <w:widowControl/>
        <w:spacing w:line="360" w:lineRule="auto"/>
        <w:ind w:firstLine="480"/>
        <w:jc w:val="left"/>
        <w:textAlignment w:val="baseline"/>
        <w:rPr>
          <w:color w:val="000000"/>
          <w:kern w:val="0"/>
          <w:sz w:val="24"/>
        </w:rPr>
      </w:pPr>
    </w:p>
    <w:p>
      <w:pPr>
        <w:widowControl/>
        <w:spacing w:line="360" w:lineRule="auto"/>
        <w:ind w:firstLine="480"/>
        <w:jc w:val="left"/>
        <w:textAlignment w:val="baseline"/>
        <w:rPr>
          <w:color w:val="000000"/>
          <w:kern w:val="0"/>
          <w:sz w:val="24"/>
        </w:rPr>
      </w:pPr>
      <w:r>
        <w:rPr>
          <w:color w:val="000000"/>
          <w:kern w:val="0"/>
          <w:sz w:val="24"/>
        </w:rPr>
        <w:t>日期：</w:t>
      </w:r>
      <w:r>
        <w:rPr>
          <w:sz w:val="24"/>
          <w:szCs w:val="24"/>
        </w:rPr>
        <w:t>年月日</w:t>
      </w:r>
    </w:p>
    <w:p>
      <w:pPr>
        <w:spacing w:line="360" w:lineRule="auto"/>
        <w:rPr>
          <w:color w:val="000000"/>
          <w:sz w:val="24"/>
        </w:rPr>
      </w:pPr>
    </w:p>
    <w:p>
      <w:pPr>
        <w:spacing w:line="360" w:lineRule="auto"/>
        <w:rPr>
          <w:color w:val="000000"/>
          <w:sz w:val="24"/>
        </w:rPr>
      </w:pPr>
      <w:r>
        <w:rPr>
          <w:color w:val="000000"/>
          <w:sz w:val="24"/>
        </w:rPr>
        <w:t>说明：</w:t>
      </w:r>
    </w:p>
    <w:p>
      <w:pPr>
        <w:spacing w:line="360" w:lineRule="auto"/>
        <w:rPr>
          <w:color w:val="000000"/>
          <w:sz w:val="24"/>
        </w:rPr>
      </w:pPr>
      <w:r>
        <w:rPr>
          <w:color w:val="000000"/>
          <w:sz w:val="24"/>
        </w:rPr>
        <w:t>（1）该声明函是针对小微型企业的，非小型、微型企业不用提供该声明。</w:t>
      </w:r>
    </w:p>
    <w:p>
      <w:pPr>
        <w:spacing w:line="360" w:lineRule="auto"/>
        <w:rPr>
          <w:color w:val="000000"/>
          <w:sz w:val="24"/>
        </w:rPr>
      </w:pPr>
      <w:r>
        <w:rPr>
          <w:color w:val="000000"/>
          <w:sz w:val="24"/>
        </w:rPr>
        <w:t>（2）根据《政府采购促进中小企业发展暂行办法》(财库[2011]181 号)的规定，对于非专门面向中小企业的项目，对小型和微型企业产品的价格给予 6%的扣除，用扣除后的价格参与评审。</w:t>
      </w:r>
    </w:p>
    <w:p>
      <w:pPr>
        <w:spacing w:line="360" w:lineRule="auto"/>
        <w:rPr>
          <w:color w:val="000000"/>
          <w:sz w:val="24"/>
        </w:rPr>
      </w:pPr>
      <w:r>
        <w:rPr>
          <w:color w:val="000000"/>
          <w:sz w:val="24"/>
        </w:rPr>
        <w:t>（3）必须同时提供中小企业声明函且同时满足《中小企业划型标准规定》（工信部联企业〔2011〕300号）规定。</w:t>
      </w:r>
    </w:p>
    <w:p>
      <w:pPr>
        <w:spacing w:line="360" w:lineRule="auto"/>
        <w:rPr>
          <w:color w:val="000000"/>
          <w:sz w:val="24"/>
        </w:rPr>
      </w:pPr>
      <w:r>
        <w:rPr>
          <w:color w:val="000000"/>
          <w:sz w:val="24"/>
        </w:rPr>
        <w:t>（4）供应商为小型、微型企业且同时提供货物的制造商也是小型、微型企业时，视供应商为小型和微型企业。</w:t>
      </w:r>
    </w:p>
    <w:p>
      <w:pPr>
        <w:spacing w:line="360" w:lineRule="auto"/>
        <w:rPr>
          <w:color w:val="000000"/>
          <w:sz w:val="24"/>
        </w:rPr>
      </w:pPr>
      <w:r>
        <w:rPr>
          <w:color w:val="000000"/>
          <w:sz w:val="24"/>
        </w:rPr>
        <w:t>（5）制造商应提供最新财务审计报告予证明，否则不予认可。</w:t>
      </w:r>
    </w:p>
    <w:p>
      <w:pPr>
        <w:spacing w:line="588" w:lineRule="exact"/>
        <w:jc w:val="center"/>
        <w:rPr>
          <w:b/>
          <w:color w:val="000000"/>
          <w:sz w:val="28"/>
          <w:szCs w:val="28"/>
        </w:rPr>
      </w:pPr>
      <w:r>
        <w:rPr>
          <w:color w:val="000000"/>
          <w:sz w:val="24"/>
        </w:rPr>
        <w:br w:type="page"/>
      </w:r>
      <w:bookmarkStart w:id="67" w:name="OLE_LINK14"/>
      <w:bookmarkStart w:id="68" w:name="OLE_LINK13"/>
      <w:r>
        <w:rPr>
          <w:b/>
          <w:color w:val="000000"/>
          <w:sz w:val="28"/>
          <w:szCs w:val="28"/>
        </w:rPr>
        <w:t>残疾人福利性单位声明函（供应商）</w:t>
      </w:r>
    </w:p>
    <w:bookmarkEnd w:id="67"/>
    <w:bookmarkEnd w:id="68"/>
    <w:p>
      <w:pPr>
        <w:spacing w:line="360" w:lineRule="auto"/>
        <w:jc w:val="center"/>
        <w:rPr>
          <w:color w:val="000000"/>
        </w:rPr>
      </w:pPr>
    </w:p>
    <w:p>
      <w:pPr>
        <w:spacing w:line="360" w:lineRule="auto"/>
        <w:jc w:val="center"/>
        <w:rPr>
          <w:color w:val="000000"/>
          <w:kern w:val="0"/>
          <w:szCs w:val="21"/>
        </w:rPr>
      </w:pPr>
      <w:r>
        <w:rPr>
          <w:color w:val="000000"/>
        </w:rPr>
        <w:t>（供应商属于残疾人福利性单位的填写，不属于的无需填写此项内容）</w:t>
      </w:r>
    </w:p>
    <w:p>
      <w:pPr>
        <w:spacing w:line="588" w:lineRule="exact"/>
        <w:rPr>
          <w:rFonts w:eastAsia="仿宋_GB2312"/>
          <w:b/>
          <w:color w:val="000000"/>
          <w:spacing w:val="6"/>
          <w:sz w:val="30"/>
          <w:szCs w:val="30"/>
        </w:rPr>
      </w:pPr>
    </w:p>
    <w:p>
      <w:pPr>
        <w:spacing w:line="360" w:lineRule="auto"/>
        <w:ind w:firstLine="720" w:firstLineChars="300"/>
        <w:rPr>
          <w:color w:val="000000"/>
          <w:sz w:val="24"/>
          <w:szCs w:val="28"/>
        </w:rPr>
      </w:pPr>
      <w:r>
        <w:rPr>
          <w:color w:val="000000"/>
          <w:sz w:val="24"/>
          <w:szCs w:val="28"/>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rPr>
          <w:color w:val="000000"/>
          <w:sz w:val="24"/>
          <w:szCs w:val="28"/>
        </w:rPr>
      </w:pPr>
      <w:r>
        <w:rPr>
          <w:color w:val="000000"/>
          <w:sz w:val="24"/>
          <w:szCs w:val="28"/>
        </w:rPr>
        <w:t>本单位对上述声明的真实性负责。如有虚假，将依法承担相应责任。</w:t>
      </w:r>
    </w:p>
    <w:p>
      <w:pPr>
        <w:spacing w:line="360" w:lineRule="auto"/>
        <w:rPr>
          <w:color w:val="000000"/>
          <w:sz w:val="24"/>
          <w:szCs w:val="28"/>
        </w:rPr>
      </w:pPr>
    </w:p>
    <w:p>
      <w:pPr>
        <w:spacing w:line="360" w:lineRule="auto"/>
        <w:jc w:val="right"/>
        <w:rPr>
          <w:color w:val="000000"/>
          <w:sz w:val="24"/>
          <w:szCs w:val="28"/>
        </w:rPr>
      </w:pPr>
    </w:p>
    <w:p>
      <w:pPr>
        <w:widowControl/>
        <w:spacing w:line="360" w:lineRule="auto"/>
        <w:ind w:firstLine="480"/>
        <w:jc w:val="left"/>
        <w:textAlignment w:val="baseline"/>
        <w:rPr>
          <w:color w:val="000000"/>
          <w:kern w:val="0"/>
          <w:sz w:val="24"/>
        </w:rPr>
      </w:pPr>
      <w:r>
        <w:rPr>
          <w:color w:val="000000"/>
          <w:kern w:val="0"/>
          <w:sz w:val="24"/>
        </w:rPr>
        <w:t>供应商（企业电子签章）：</w:t>
      </w:r>
    </w:p>
    <w:p>
      <w:pPr>
        <w:widowControl/>
        <w:spacing w:line="360" w:lineRule="auto"/>
        <w:ind w:firstLine="480"/>
        <w:jc w:val="left"/>
        <w:textAlignment w:val="baseline"/>
        <w:rPr>
          <w:sz w:val="24"/>
          <w:szCs w:val="24"/>
        </w:rPr>
      </w:pPr>
      <w:r>
        <w:rPr>
          <w:color w:val="000000"/>
          <w:kern w:val="0"/>
          <w:sz w:val="24"/>
        </w:rPr>
        <w:t>日期：</w:t>
      </w:r>
      <w:r>
        <w:rPr>
          <w:sz w:val="24"/>
          <w:szCs w:val="24"/>
        </w:rPr>
        <w:t>年月日</w:t>
      </w:r>
    </w:p>
    <w:p>
      <w:pPr>
        <w:widowControl/>
        <w:spacing w:line="360" w:lineRule="auto"/>
        <w:ind w:firstLine="480"/>
        <w:jc w:val="left"/>
        <w:textAlignment w:val="baseline"/>
        <w:rPr>
          <w:sz w:val="24"/>
          <w:szCs w:val="24"/>
        </w:rPr>
      </w:pPr>
    </w:p>
    <w:p>
      <w:pPr>
        <w:widowControl/>
        <w:spacing w:line="360" w:lineRule="auto"/>
        <w:ind w:firstLine="480"/>
        <w:jc w:val="left"/>
        <w:textAlignment w:val="baseline"/>
        <w:rPr>
          <w:sz w:val="24"/>
          <w:szCs w:val="24"/>
        </w:rPr>
      </w:pPr>
    </w:p>
    <w:p>
      <w:pPr>
        <w:widowControl/>
        <w:spacing w:line="360" w:lineRule="auto"/>
        <w:ind w:firstLine="480"/>
        <w:jc w:val="left"/>
        <w:textAlignment w:val="baseline"/>
        <w:rPr>
          <w:sz w:val="24"/>
          <w:szCs w:val="24"/>
        </w:rPr>
      </w:pPr>
    </w:p>
    <w:p>
      <w:pPr>
        <w:widowControl/>
        <w:spacing w:line="360" w:lineRule="auto"/>
        <w:ind w:firstLine="480"/>
        <w:jc w:val="left"/>
        <w:textAlignment w:val="baseline"/>
        <w:rPr>
          <w:b/>
          <w:color w:val="000000"/>
          <w:sz w:val="30"/>
          <w:szCs w:val="30"/>
        </w:rPr>
      </w:pPr>
    </w:p>
    <w:p>
      <w:pPr>
        <w:pStyle w:val="14"/>
        <w:shd w:val="clear" w:color="auto" w:fill="FFFFFF"/>
        <w:spacing w:before="0" w:beforeAutospacing="0" w:after="0" w:afterAutospacing="0" w:line="560" w:lineRule="atLeast"/>
        <w:ind w:firstLine="420" w:firstLineChars="200"/>
        <w:jc w:val="both"/>
        <w:textAlignment w:val="baseline"/>
        <w:rPr>
          <w:color w:val="000000"/>
          <w:kern w:val="2"/>
          <w:sz w:val="21"/>
          <w:szCs w:val="21"/>
        </w:rPr>
      </w:pPr>
      <w:r>
        <w:rPr>
          <w:color w:val="000000"/>
          <w:kern w:val="2"/>
          <w:sz w:val="21"/>
          <w:szCs w:val="21"/>
        </w:rPr>
        <w:t>注：1、中标、成交供应商为残疾人福利性单位的，采购人或者集采机构将随中标、成交结果同时公告其《残疾人福利性单位声明函》，接受社会监督。</w:t>
      </w:r>
    </w:p>
    <w:p>
      <w:pPr>
        <w:pStyle w:val="14"/>
        <w:shd w:val="clear" w:color="auto" w:fill="FFFFFF"/>
        <w:spacing w:before="0" w:beforeAutospacing="0" w:after="0" w:afterAutospacing="0" w:line="560" w:lineRule="atLeast"/>
        <w:ind w:firstLine="420"/>
        <w:jc w:val="both"/>
        <w:textAlignment w:val="baseline"/>
        <w:rPr>
          <w:rFonts w:eastAsia="仿宋"/>
          <w:color w:val="000000"/>
          <w:sz w:val="28"/>
          <w:szCs w:val="28"/>
        </w:rPr>
      </w:pPr>
      <w:r>
        <w:rPr>
          <w:color w:val="000000"/>
          <w:kern w:val="2"/>
          <w:sz w:val="21"/>
          <w:szCs w:val="21"/>
        </w:rPr>
        <w:t>2、供应商提供的《残疾人福利性单位声明函》与事实不符的，依照《政府采购法》第七十七条第一款的规定追究法律责任</w:t>
      </w:r>
      <w:r>
        <w:rPr>
          <w:rFonts w:eastAsia="仿宋"/>
          <w:color w:val="000000"/>
          <w:sz w:val="28"/>
          <w:szCs w:val="28"/>
          <w:shd w:val="clear" w:color="auto" w:fill="FFFFFF"/>
        </w:rPr>
        <w:t>。</w:t>
      </w:r>
    </w:p>
    <w:p>
      <w:pPr>
        <w:spacing w:line="588" w:lineRule="exact"/>
        <w:jc w:val="center"/>
        <w:rPr>
          <w:b/>
          <w:color w:val="000000"/>
          <w:sz w:val="28"/>
          <w:szCs w:val="28"/>
        </w:rPr>
      </w:pPr>
      <w:r>
        <w:rPr>
          <w:color w:val="000000"/>
          <w:sz w:val="24"/>
        </w:rPr>
        <w:br w:type="page"/>
      </w:r>
      <w:r>
        <w:rPr>
          <w:b/>
          <w:color w:val="000000"/>
          <w:sz w:val="28"/>
          <w:szCs w:val="28"/>
        </w:rPr>
        <w:t>残疾人福利性单位声明函（制造商）</w:t>
      </w:r>
    </w:p>
    <w:p>
      <w:pPr>
        <w:spacing w:line="360" w:lineRule="auto"/>
        <w:jc w:val="center"/>
        <w:rPr>
          <w:color w:val="000000"/>
        </w:rPr>
      </w:pPr>
    </w:p>
    <w:p>
      <w:pPr>
        <w:spacing w:line="360" w:lineRule="auto"/>
        <w:jc w:val="center"/>
        <w:rPr>
          <w:color w:val="000000"/>
          <w:kern w:val="0"/>
          <w:szCs w:val="21"/>
        </w:rPr>
      </w:pPr>
      <w:r>
        <w:rPr>
          <w:color w:val="000000"/>
        </w:rPr>
        <w:t>（供应商属于残疾人福利性单位的填写，不属于的无需填写此项内容）</w:t>
      </w:r>
    </w:p>
    <w:p>
      <w:pPr>
        <w:spacing w:line="588" w:lineRule="exact"/>
        <w:rPr>
          <w:rFonts w:eastAsia="仿宋_GB2312"/>
          <w:b/>
          <w:color w:val="000000"/>
          <w:spacing w:val="6"/>
          <w:sz w:val="30"/>
          <w:szCs w:val="30"/>
        </w:rPr>
      </w:pPr>
    </w:p>
    <w:p>
      <w:pPr>
        <w:spacing w:line="360" w:lineRule="auto"/>
        <w:ind w:firstLine="720" w:firstLineChars="300"/>
        <w:rPr>
          <w:color w:val="000000"/>
          <w:sz w:val="24"/>
          <w:szCs w:val="28"/>
        </w:rPr>
      </w:pPr>
      <w:r>
        <w:rPr>
          <w:color w:val="000000"/>
          <w:sz w:val="24"/>
          <w:szCs w:val="28"/>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rPr>
          <w:color w:val="000000"/>
          <w:sz w:val="24"/>
          <w:szCs w:val="28"/>
        </w:rPr>
      </w:pPr>
      <w:r>
        <w:rPr>
          <w:color w:val="000000"/>
          <w:sz w:val="24"/>
          <w:szCs w:val="28"/>
        </w:rPr>
        <w:t>本单位对上述声明的真实性负责。如有虚假，将依法承担相应责任。</w:t>
      </w:r>
    </w:p>
    <w:p>
      <w:pPr>
        <w:spacing w:line="360" w:lineRule="auto"/>
        <w:rPr>
          <w:color w:val="000000"/>
          <w:sz w:val="24"/>
          <w:szCs w:val="28"/>
        </w:rPr>
      </w:pPr>
    </w:p>
    <w:p>
      <w:pPr>
        <w:spacing w:line="360" w:lineRule="auto"/>
        <w:jc w:val="right"/>
        <w:rPr>
          <w:color w:val="000000"/>
          <w:sz w:val="24"/>
          <w:szCs w:val="28"/>
        </w:rPr>
      </w:pPr>
    </w:p>
    <w:p>
      <w:pPr>
        <w:widowControl/>
        <w:spacing w:line="360" w:lineRule="auto"/>
        <w:ind w:firstLine="480"/>
        <w:jc w:val="left"/>
        <w:textAlignment w:val="baseline"/>
        <w:rPr>
          <w:color w:val="000000"/>
          <w:kern w:val="0"/>
          <w:sz w:val="24"/>
        </w:rPr>
      </w:pPr>
      <w:r>
        <w:rPr>
          <w:color w:val="000000"/>
          <w:kern w:val="0"/>
          <w:sz w:val="24"/>
        </w:rPr>
        <w:t>制造商（盖章）：</w:t>
      </w:r>
    </w:p>
    <w:p>
      <w:pPr>
        <w:widowControl/>
        <w:spacing w:line="360" w:lineRule="auto"/>
        <w:ind w:firstLine="480"/>
        <w:jc w:val="left"/>
        <w:textAlignment w:val="baseline"/>
        <w:rPr>
          <w:sz w:val="24"/>
          <w:szCs w:val="24"/>
        </w:rPr>
      </w:pPr>
      <w:r>
        <w:rPr>
          <w:color w:val="000000"/>
          <w:kern w:val="0"/>
          <w:sz w:val="24"/>
        </w:rPr>
        <w:t>日期：</w:t>
      </w:r>
      <w:r>
        <w:rPr>
          <w:sz w:val="24"/>
          <w:szCs w:val="24"/>
        </w:rPr>
        <w:t>年月日</w:t>
      </w:r>
    </w:p>
    <w:p>
      <w:pPr>
        <w:widowControl/>
        <w:spacing w:line="360" w:lineRule="auto"/>
        <w:ind w:firstLine="480"/>
        <w:jc w:val="left"/>
        <w:textAlignment w:val="baseline"/>
        <w:rPr>
          <w:sz w:val="24"/>
          <w:szCs w:val="24"/>
        </w:rPr>
      </w:pPr>
    </w:p>
    <w:p>
      <w:pPr>
        <w:widowControl/>
        <w:spacing w:line="360" w:lineRule="auto"/>
        <w:ind w:firstLine="480"/>
        <w:jc w:val="left"/>
        <w:textAlignment w:val="baseline"/>
        <w:rPr>
          <w:sz w:val="24"/>
          <w:szCs w:val="24"/>
        </w:rPr>
      </w:pPr>
    </w:p>
    <w:p>
      <w:pPr>
        <w:widowControl/>
        <w:spacing w:line="360" w:lineRule="auto"/>
        <w:ind w:firstLine="480"/>
        <w:jc w:val="left"/>
        <w:textAlignment w:val="baseline"/>
        <w:rPr>
          <w:sz w:val="24"/>
          <w:szCs w:val="24"/>
        </w:rPr>
      </w:pPr>
    </w:p>
    <w:p>
      <w:pPr>
        <w:widowControl/>
        <w:spacing w:line="360" w:lineRule="auto"/>
        <w:ind w:firstLine="480"/>
        <w:jc w:val="left"/>
        <w:textAlignment w:val="baseline"/>
        <w:rPr>
          <w:b/>
          <w:color w:val="000000"/>
          <w:sz w:val="30"/>
          <w:szCs w:val="30"/>
        </w:rPr>
      </w:pPr>
    </w:p>
    <w:p>
      <w:pPr>
        <w:pStyle w:val="14"/>
        <w:shd w:val="clear" w:color="auto" w:fill="FFFFFF"/>
        <w:spacing w:before="0" w:beforeAutospacing="0" w:after="0" w:afterAutospacing="0" w:line="560" w:lineRule="atLeast"/>
        <w:ind w:firstLine="420" w:firstLineChars="200"/>
        <w:jc w:val="both"/>
        <w:textAlignment w:val="baseline"/>
        <w:rPr>
          <w:color w:val="000000"/>
          <w:kern w:val="2"/>
          <w:sz w:val="21"/>
          <w:szCs w:val="21"/>
        </w:rPr>
      </w:pPr>
      <w:r>
        <w:rPr>
          <w:color w:val="000000"/>
          <w:kern w:val="2"/>
          <w:sz w:val="21"/>
          <w:szCs w:val="21"/>
        </w:rPr>
        <w:t>注：1、中标、成交供应商为残疾人福利性单位的，采购人或者集采机构将随中标、成交结果同时公告其《残疾人福利性单位声明函》，接受社会监督。</w:t>
      </w:r>
    </w:p>
    <w:p>
      <w:pPr>
        <w:pStyle w:val="14"/>
        <w:shd w:val="clear" w:color="auto" w:fill="FFFFFF"/>
        <w:spacing w:before="0" w:beforeAutospacing="0" w:after="0" w:afterAutospacing="0" w:line="560" w:lineRule="atLeast"/>
        <w:ind w:firstLine="420"/>
        <w:jc w:val="both"/>
        <w:textAlignment w:val="baseline"/>
      </w:pPr>
      <w:r>
        <w:rPr>
          <w:color w:val="000000"/>
          <w:kern w:val="2"/>
          <w:sz w:val="21"/>
          <w:szCs w:val="21"/>
        </w:rPr>
        <w:t>2、供应商提供的《残疾人福利性单位声明函》与事实不符的，依照《政府采购法》第七十七条第一款的规定追究法律责任</w:t>
      </w:r>
      <w:r>
        <w:rPr>
          <w:rFonts w:eastAsia="仿宋"/>
          <w:color w:val="000000"/>
          <w:sz w:val="28"/>
          <w:szCs w:val="28"/>
          <w:shd w:val="clear" w:color="auto" w:fill="FFFFFF"/>
        </w:rPr>
        <w:t>。</w:t>
      </w:r>
    </w:p>
    <w:p>
      <w:pPr>
        <w:ind w:firstLine="420" w:firstLineChars="200"/>
      </w:pPr>
    </w:p>
    <w:p>
      <w:pPr>
        <w:spacing w:line="360" w:lineRule="auto"/>
        <w:jc w:val="center"/>
        <w:rPr>
          <w:b/>
          <w:sz w:val="30"/>
          <w:szCs w:val="30"/>
        </w:rPr>
      </w:pPr>
      <w:r>
        <w:rPr>
          <w:b/>
          <w:sz w:val="30"/>
          <w:szCs w:val="30"/>
        </w:rPr>
        <w:br w:type="page"/>
      </w:r>
      <w:r>
        <w:rPr>
          <w:b/>
          <w:sz w:val="30"/>
          <w:szCs w:val="30"/>
        </w:rPr>
        <w:t>七、售后服务、技术培训</w:t>
      </w:r>
    </w:p>
    <w:bookmarkEnd w:id="66"/>
    <w:p>
      <w:pPr>
        <w:spacing w:line="360" w:lineRule="auto"/>
        <w:jc w:val="center"/>
        <w:rPr>
          <w:b/>
          <w:sz w:val="30"/>
          <w:szCs w:val="30"/>
        </w:rPr>
      </w:pPr>
      <w:r>
        <w:br w:type="page"/>
      </w:r>
      <w:r>
        <w:rPr>
          <w:b/>
          <w:sz w:val="30"/>
          <w:szCs w:val="30"/>
        </w:rPr>
        <w:t>八、类似项目业绩</w:t>
      </w:r>
    </w:p>
    <w:p>
      <w:pPr>
        <w:spacing w:line="360" w:lineRule="auto"/>
        <w:jc w:val="center"/>
        <w:outlineLvl w:val="2"/>
        <w:rPr>
          <w:b/>
          <w:kern w:val="0"/>
          <w:sz w:val="32"/>
          <w:szCs w:val="32"/>
        </w:rPr>
      </w:pPr>
      <w:r>
        <w:rPr>
          <w:rFonts w:hint="eastAsia"/>
          <w:b/>
          <w:kern w:val="0"/>
          <w:sz w:val="32"/>
          <w:szCs w:val="32"/>
        </w:rPr>
        <w:t>1、类似项目业绩汇总表</w:t>
      </w:r>
    </w:p>
    <w:tbl>
      <w:tblPr>
        <w:tblStyle w:val="1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8"/>
        <w:gridCol w:w="1418"/>
        <w:gridCol w:w="1559"/>
        <w:gridCol w:w="1134"/>
        <w:gridCol w:w="141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tabs>
                <w:tab w:val="left" w:pos="840"/>
              </w:tabs>
              <w:autoSpaceDE w:val="0"/>
              <w:autoSpaceDN w:val="0"/>
              <w:adjustRightInd w:val="0"/>
              <w:jc w:val="center"/>
              <w:rPr>
                <w:spacing w:val="10"/>
                <w:kern w:val="0"/>
                <w:sz w:val="28"/>
                <w:szCs w:val="28"/>
              </w:rPr>
            </w:pPr>
            <w:r>
              <w:rPr>
                <w:rFonts w:hint="eastAsia"/>
                <w:spacing w:val="10"/>
                <w:kern w:val="0"/>
                <w:sz w:val="28"/>
                <w:szCs w:val="28"/>
              </w:rPr>
              <w:t>序号</w:t>
            </w:r>
          </w:p>
        </w:tc>
        <w:tc>
          <w:tcPr>
            <w:tcW w:w="2268" w:type="dxa"/>
            <w:vAlign w:val="center"/>
          </w:tcPr>
          <w:p>
            <w:pPr>
              <w:tabs>
                <w:tab w:val="left" w:pos="840"/>
              </w:tabs>
              <w:autoSpaceDE w:val="0"/>
              <w:autoSpaceDN w:val="0"/>
              <w:adjustRightInd w:val="0"/>
              <w:jc w:val="center"/>
              <w:rPr>
                <w:spacing w:val="10"/>
                <w:kern w:val="0"/>
                <w:sz w:val="28"/>
                <w:szCs w:val="28"/>
              </w:rPr>
            </w:pPr>
            <w:r>
              <w:rPr>
                <w:rFonts w:hint="eastAsia"/>
                <w:spacing w:val="10"/>
                <w:kern w:val="0"/>
                <w:sz w:val="28"/>
                <w:szCs w:val="28"/>
              </w:rPr>
              <w:t>项目名称</w:t>
            </w:r>
          </w:p>
        </w:tc>
        <w:tc>
          <w:tcPr>
            <w:tcW w:w="1418" w:type="dxa"/>
            <w:vAlign w:val="center"/>
          </w:tcPr>
          <w:p>
            <w:pPr>
              <w:tabs>
                <w:tab w:val="left" w:pos="840"/>
              </w:tabs>
              <w:autoSpaceDE w:val="0"/>
              <w:autoSpaceDN w:val="0"/>
              <w:adjustRightInd w:val="0"/>
              <w:jc w:val="center"/>
              <w:rPr>
                <w:spacing w:val="10"/>
                <w:kern w:val="0"/>
                <w:sz w:val="28"/>
                <w:szCs w:val="28"/>
              </w:rPr>
            </w:pPr>
            <w:r>
              <w:rPr>
                <w:rFonts w:hint="eastAsia"/>
                <w:spacing w:val="10"/>
                <w:kern w:val="0"/>
                <w:sz w:val="28"/>
                <w:szCs w:val="28"/>
              </w:rPr>
              <w:t>需方名称</w:t>
            </w:r>
          </w:p>
        </w:tc>
        <w:tc>
          <w:tcPr>
            <w:tcW w:w="1559" w:type="dxa"/>
            <w:vAlign w:val="center"/>
          </w:tcPr>
          <w:p>
            <w:pPr>
              <w:tabs>
                <w:tab w:val="left" w:pos="840"/>
              </w:tabs>
              <w:autoSpaceDE w:val="0"/>
              <w:autoSpaceDN w:val="0"/>
              <w:adjustRightInd w:val="0"/>
              <w:jc w:val="center"/>
              <w:rPr>
                <w:spacing w:val="10"/>
                <w:kern w:val="0"/>
                <w:sz w:val="28"/>
                <w:szCs w:val="28"/>
              </w:rPr>
            </w:pPr>
            <w:r>
              <w:rPr>
                <w:rFonts w:hint="eastAsia"/>
                <w:spacing w:val="10"/>
                <w:kern w:val="0"/>
                <w:sz w:val="28"/>
                <w:szCs w:val="28"/>
              </w:rPr>
              <w:t>合同金额（万元）</w:t>
            </w:r>
          </w:p>
        </w:tc>
        <w:tc>
          <w:tcPr>
            <w:tcW w:w="1134" w:type="dxa"/>
            <w:vAlign w:val="center"/>
          </w:tcPr>
          <w:p>
            <w:pPr>
              <w:tabs>
                <w:tab w:val="left" w:pos="840"/>
              </w:tabs>
              <w:autoSpaceDE w:val="0"/>
              <w:autoSpaceDN w:val="0"/>
              <w:adjustRightInd w:val="0"/>
              <w:jc w:val="center"/>
              <w:rPr>
                <w:spacing w:val="10"/>
                <w:kern w:val="0"/>
                <w:sz w:val="28"/>
                <w:szCs w:val="28"/>
              </w:rPr>
            </w:pPr>
            <w:r>
              <w:rPr>
                <w:rFonts w:hint="eastAsia"/>
                <w:spacing w:val="10"/>
                <w:kern w:val="0"/>
                <w:sz w:val="28"/>
                <w:szCs w:val="28"/>
              </w:rPr>
              <w:t>签订时间</w:t>
            </w:r>
          </w:p>
        </w:tc>
        <w:tc>
          <w:tcPr>
            <w:tcW w:w="1418" w:type="dxa"/>
            <w:vAlign w:val="center"/>
          </w:tcPr>
          <w:p>
            <w:pPr>
              <w:tabs>
                <w:tab w:val="left" w:pos="840"/>
              </w:tabs>
              <w:autoSpaceDE w:val="0"/>
              <w:autoSpaceDN w:val="0"/>
              <w:adjustRightInd w:val="0"/>
              <w:jc w:val="center"/>
              <w:rPr>
                <w:spacing w:val="10"/>
                <w:kern w:val="0"/>
                <w:sz w:val="28"/>
                <w:szCs w:val="28"/>
              </w:rPr>
            </w:pPr>
            <w:r>
              <w:rPr>
                <w:rFonts w:hint="eastAsia"/>
                <w:spacing w:val="10"/>
                <w:kern w:val="0"/>
                <w:sz w:val="28"/>
                <w:szCs w:val="28"/>
              </w:rPr>
              <w:t>主要供货内容</w:t>
            </w:r>
          </w:p>
        </w:tc>
        <w:tc>
          <w:tcPr>
            <w:tcW w:w="992" w:type="dxa"/>
            <w:vAlign w:val="center"/>
          </w:tcPr>
          <w:p>
            <w:pPr>
              <w:tabs>
                <w:tab w:val="left" w:pos="840"/>
              </w:tabs>
              <w:autoSpaceDE w:val="0"/>
              <w:autoSpaceDN w:val="0"/>
              <w:adjustRightInd w:val="0"/>
              <w:jc w:val="center"/>
              <w:rPr>
                <w:spacing w:val="10"/>
                <w:kern w:val="0"/>
                <w:sz w:val="28"/>
                <w:szCs w:val="28"/>
              </w:rPr>
            </w:pPr>
            <w:r>
              <w:rPr>
                <w:rFonts w:hint="eastAsia"/>
                <w:spacing w:val="1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vAlign w:val="center"/>
          </w:tcPr>
          <w:p>
            <w:pPr>
              <w:tabs>
                <w:tab w:val="left" w:pos="840"/>
              </w:tabs>
              <w:autoSpaceDE w:val="0"/>
              <w:autoSpaceDN w:val="0"/>
              <w:adjustRightInd w:val="0"/>
              <w:jc w:val="center"/>
              <w:rPr>
                <w:spacing w:val="10"/>
                <w:kern w:val="0"/>
                <w:sz w:val="28"/>
                <w:szCs w:val="28"/>
              </w:rPr>
            </w:pPr>
          </w:p>
        </w:tc>
        <w:tc>
          <w:tcPr>
            <w:tcW w:w="2268" w:type="dxa"/>
            <w:vAlign w:val="center"/>
          </w:tcPr>
          <w:p>
            <w:pPr>
              <w:tabs>
                <w:tab w:val="left" w:pos="840"/>
              </w:tabs>
              <w:autoSpaceDE w:val="0"/>
              <w:autoSpaceDN w:val="0"/>
              <w:adjustRightInd w:val="0"/>
              <w:jc w:val="center"/>
              <w:rPr>
                <w:spacing w:val="10"/>
                <w:kern w:val="0"/>
                <w:sz w:val="28"/>
                <w:szCs w:val="28"/>
              </w:rPr>
            </w:pPr>
          </w:p>
        </w:tc>
        <w:tc>
          <w:tcPr>
            <w:tcW w:w="1418" w:type="dxa"/>
            <w:vAlign w:val="center"/>
          </w:tcPr>
          <w:p>
            <w:pPr>
              <w:tabs>
                <w:tab w:val="left" w:pos="840"/>
              </w:tabs>
              <w:autoSpaceDE w:val="0"/>
              <w:autoSpaceDN w:val="0"/>
              <w:adjustRightInd w:val="0"/>
              <w:jc w:val="center"/>
              <w:rPr>
                <w:spacing w:val="10"/>
                <w:kern w:val="0"/>
                <w:sz w:val="28"/>
                <w:szCs w:val="28"/>
              </w:rPr>
            </w:pPr>
          </w:p>
        </w:tc>
        <w:tc>
          <w:tcPr>
            <w:tcW w:w="1559" w:type="dxa"/>
            <w:vAlign w:val="center"/>
          </w:tcPr>
          <w:p>
            <w:pPr>
              <w:tabs>
                <w:tab w:val="left" w:pos="840"/>
              </w:tabs>
              <w:autoSpaceDE w:val="0"/>
              <w:autoSpaceDN w:val="0"/>
              <w:adjustRightInd w:val="0"/>
              <w:jc w:val="center"/>
              <w:rPr>
                <w:spacing w:val="10"/>
                <w:kern w:val="0"/>
                <w:sz w:val="28"/>
                <w:szCs w:val="28"/>
              </w:rPr>
            </w:pPr>
          </w:p>
        </w:tc>
        <w:tc>
          <w:tcPr>
            <w:tcW w:w="1134" w:type="dxa"/>
            <w:vAlign w:val="center"/>
          </w:tcPr>
          <w:p>
            <w:pPr>
              <w:tabs>
                <w:tab w:val="left" w:pos="840"/>
              </w:tabs>
              <w:autoSpaceDE w:val="0"/>
              <w:autoSpaceDN w:val="0"/>
              <w:adjustRightInd w:val="0"/>
              <w:jc w:val="center"/>
              <w:rPr>
                <w:spacing w:val="10"/>
                <w:kern w:val="0"/>
                <w:sz w:val="28"/>
                <w:szCs w:val="28"/>
              </w:rPr>
            </w:pPr>
          </w:p>
        </w:tc>
        <w:tc>
          <w:tcPr>
            <w:tcW w:w="1418" w:type="dxa"/>
            <w:vAlign w:val="center"/>
          </w:tcPr>
          <w:p>
            <w:pPr>
              <w:tabs>
                <w:tab w:val="left" w:pos="840"/>
              </w:tabs>
              <w:autoSpaceDE w:val="0"/>
              <w:autoSpaceDN w:val="0"/>
              <w:adjustRightInd w:val="0"/>
              <w:jc w:val="center"/>
              <w:rPr>
                <w:spacing w:val="10"/>
                <w:kern w:val="0"/>
                <w:sz w:val="28"/>
                <w:szCs w:val="28"/>
              </w:rPr>
            </w:pPr>
          </w:p>
        </w:tc>
        <w:tc>
          <w:tcPr>
            <w:tcW w:w="992" w:type="dxa"/>
            <w:vAlign w:val="center"/>
          </w:tcPr>
          <w:p>
            <w:pPr>
              <w:tabs>
                <w:tab w:val="left" w:pos="840"/>
              </w:tabs>
              <w:autoSpaceDE w:val="0"/>
              <w:autoSpaceDN w:val="0"/>
              <w:adjustRightInd w:val="0"/>
              <w:jc w:val="center"/>
              <w:rPr>
                <w:spacing w:val="1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vAlign w:val="center"/>
          </w:tcPr>
          <w:p>
            <w:pPr>
              <w:tabs>
                <w:tab w:val="left" w:pos="840"/>
              </w:tabs>
              <w:autoSpaceDE w:val="0"/>
              <w:autoSpaceDN w:val="0"/>
              <w:adjustRightInd w:val="0"/>
              <w:jc w:val="center"/>
              <w:rPr>
                <w:spacing w:val="10"/>
                <w:kern w:val="0"/>
                <w:sz w:val="28"/>
                <w:szCs w:val="28"/>
              </w:rPr>
            </w:pPr>
          </w:p>
        </w:tc>
        <w:tc>
          <w:tcPr>
            <w:tcW w:w="2268" w:type="dxa"/>
            <w:vAlign w:val="center"/>
          </w:tcPr>
          <w:p>
            <w:pPr>
              <w:tabs>
                <w:tab w:val="left" w:pos="840"/>
              </w:tabs>
              <w:autoSpaceDE w:val="0"/>
              <w:autoSpaceDN w:val="0"/>
              <w:adjustRightInd w:val="0"/>
              <w:jc w:val="center"/>
              <w:rPr>
                <w:spacing w:val="10"/>
                <w:kern w:val="0"/>
                <w:sz w:val="28"/>
                <w:szCs w:val="28"/>
              </w:rPr>
            </w:pPr>
          </w:p>
        </w:tc>
        <w:tc>
          <w:tcPr>
            <w:tcW w:w="1418" w:type="dxa"/>
            <w:vAlign w:val="center"/>
          </w:tcPr>
          <w:p>
            <w:pPr>
              <w:tabs>
                <w:tab w:val="left" w:pos="840"/>
              </w:tabs>
              <w:autoSpaceDE w:val="0"/>
              <w:autoSpaceDN w:val="0"/>
              <w:adjustRightInd w:val="0"/>
              <w:jc w:val="center"/>
              <w:rPr>
                <w:spacing w:val="10"/>
                <w:kern w:val="0"/>
                <w:sz w:val="28"/>
                <w:szCs w:val="28"/>
              </w:rPr>
            </w:pPr>
          </w:p>
        </w:tc>
        <w:tc>
          <w:tcPr>
            <w:tcW w:w="1559" w:type="dxa"/>
            <w:vAlign w:val="center"/>
          </w:tcPr>
          <w:p>
            <w:pPr>
              <w:tabs>
                <w:tab w:val="left" w:pos="840"/>
              </w:tabs>
              <w:autoSpaceDE w:val="0"/>
              <w:autoSpaceDN w:val="0"/>
              <w:adjustRightInd w:val="0"/>
              <w:jc w:val="center"/>
              <w:rPr>
                <w:spacing w:val="10"/>
                <w:kern w:val="0"/>
                <w:sz w:val="28"/>
                <w:szCs w:val="28"/>
              </w:rPr>
            </w:pPr>
          </w:p>
        </w:tc>
        <w:tc>
          <w:tcPr>
            <w:tcW w:w="1134" w:type="dxa"/>
            <w:vAlign w:val="center"/>
          </w:tcPr>
          <w:p>
            <w:pPr>
              <w:tabs>
                <w:tab w:val="left" w:pos="840"/>
              </w:tabs>
              <w:autoSpaceDE w:val="0"/>
              <w:autoSpaceDN w:val="0"/>
              <w:adjustRightInd w:val="0"/>
              <w:jc w:val="center"/>
              <w:rPr>
                <w:spacing w:val="10"/>
                <w:kern w:val="0"/>
                <w:sz w:val="28"/>
                <w:szCs w:val="28"/>
              </w:rPr>
            </w:pPr>
          </w:p>
        </w:tc>
        <w:tc>
          <w:tcPr>
            <w:tcW w:w="1418" w:type="dxa"/>
            <w:vAlign w:val="center"/>
          </w:tcPr>
          <w:p>
            <w:pPr>
              <w:tabs>
                <w:tab w:val="left" w:pos="840"/>
              </w:tabs>
              <w:autoSpaceDE w:val="0"/>
              <w:autoSpaceDN w:val="0"/>
              <w:adjustRightInd w:val="0"/>
              <w:jc w:val="center"/>
              <w:rPr>
                <w:spacing w:val="10"/>
                <w:kern w:val="0"/>
                <w:sz w:val="28"/>
                <w:szCs w:val="28"/>
              </w:rPr>
            </w:pPr>
          </w:p>
        </w:tc>
        <w:tc>
          <w:tcPr>
            <w:tcW w:w="992" w:type="dxa"/>
            <w:vAlign w:val="center"/>
          </w:tcPr>
          <w:p>
            <w:pPr>
              <w:tabs>
                <w:tab w:val="left" w:pos="840"/>
              </w:tabs>
              <w:autoSpaceDE w:val="0"/>
              <w:autoSpaceDN w:val="0"/>
              <w:adjustRightInd w:val="0"/>
              <w:jc w:val="center"/>
              <w:rPr>
                <w:spacing w:val="1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vAlign w:val="center"/>
          </w:tcPr>
          <w:p>
            <w:pPr>
              <w:tabs>
                <w:tab w:val="left" w:pos="840"/>
              </w:tabs>
              <w:autoSpaceDE w:val="0"/>
              <w:autoSpaceDN w:val="0"/>
              <w:adjustRightInd w:val="0"/>
              <w:jc w:val="center"/>
              <w:rPr>
                <w:spacing w:val="10"/>
                <w:kern w:val="0"/>
                <w:sz w:val="28"/>
                <w:szCs w:val="28"/>
              </w:rPr>
            </w:pPr>
          </w:p>
        </w:tc>
        <w:tc>
          <w:tcPr>
            <w:tcW w:w="2268" w:type="dxa"/>
            <w:vAlign w:val="center"/>
          </w:tcPr>
          <w:p>
            <w:pPr>
              <w:tabs>
                <w:tab w:val="left" w:pos="840"/>
              </w:tabs>
              <w:autoSpaceDE w:val="0"/>
              <w:autoSpaceDN w:val="0"/>
              <w:adjustRightInd w:val="0"/>
              <w:jc w:val="center"/>
              <w:rPr>
                <w:spacing w:val="10"/>
                <w:kern w:val="0"/>
                <w:sz w:val="28"/>
                <w:szCs w:val="28"/>
              </w:rPr>
            </w:pPr>
          </w:p>
        </w:tc>
        <w:tc>
          <w:tcPr>
            <w:tcW w:w="1418" w:type="dxa"/>
            <w:vAlign w:val="center"/>
          </w:tcPr>
          <w:p>
            <w:pPr>
              <w:tabs>
                <w:tab w:val="left" w:pos="840"/>
              </w:tabs>
              <w:autoSpaceDE w:val="0"/>
              <w:autoSpaceDN w:val="0"/>
              <w:adjustRightInd w:val="0"/>
              <w:jc w:val="center"/>
              <w:rPr>
                <w:spacing w:val="10"/>
                <w:kern w:val="0"/>
                <w:sz w:val="28"/>
                <w:szCs w:val="28"/>
              </w:rPr>
            </w:pPr>
          </w:p>
        </w:tc>
        <w:tc>
          <w:tcPr>
            <w:tcW w:w="1559" w:type="dxa"/>
            <w:vAlign w:val="center"/>
          </w:tcPr>
          <w:p>
            <w:pPr>
              <w:tabs>
                <w:tab w:val="left" w:pos="840"/>
              </w:tabs>
              <w:autoSpaceDE w:val="0"/>
              <w:autoSpaceDN w:val="0"/>
              <w:adjustRightInd w:val="0"/>
              <w:jc w:val="center"/>
              <w:rPr>
                <w:spacing w:val="10"/>
                <w:kern w:val="0"/>
                <w:sz w:val="28"/>
                <w:szCs w:val="28"/>
              </w:rPr>
            </w:pPr>
          </w:p>
        </w:tc>
        <w:tc>
          <w:tcPr>
            <w:tcW w:w="1134" w:type="dxa"/>
            <w:vAlign w:val="center"/>
          </w:tcPr>
          <w:p>
            <w:pPr>
              <w:tabs>
                <w:tab w:val="left" w:pos="840"/>
              </w:tabs>
              <w:autoSpaceDE w:val="0"/>
              <w:autoSpaceDN w:val="0"/>
              <w:adjustRightInd w:val="0"/>
              <w:jc w:val="center"/>
              <w:rPr>
                <w:spacing w:val="10"/>
                <w:kern w:val="0"/>
                <w:sz w:val="28"/>
                <w:szCs w:val="28"/>
              </w:rPr>
            </w:pPr>
          </w:p>
        </w:tc>
        <w:tc>
          <w:tcPr>
            <w:tcW w:w="1418" w:type="dxa"/>
            <w:vAlign w:val="center"/>
          </w:tcPr>
          <w:p>
            <w:pPr>
              <w:tabs>
                <w:tab w:val="left" w:pos="840"/>
              </w:tabs>
              <w:autoSpaceDE w:val="0"/>
              <w:autoSpaceDN w:val="0"/>
              <w:adjustRightInd w:val="0"/>
              <w:jc w:val="center"/>
              <w:rPr>
                <w:spacing w:val="10"/>
                <w:kern w:val="0"/>
                <w:sz w:val="28"/>
                <w:szCs w:val="28"/>
              </w:rPr>
            </w:pPr>
          </w:p>
        </w:tc>
        <w:tc>
          <w:tcPr>
            <w:tcW w:w="992" w:type="dxa"/>
            <w:vAlign w:val="center"/>
          </w:tcPr>
          <w:p>
            <w:pPr>
              <w:tabs>
                <w:tab w:val="left" w:pos="840"/>
              </w:tabs>
              <w:autoSpaceDE w:val="0"/>
              <w:autoSpaceDN w:val="0"/>
              <w:adjustRightInd w:val="0"/>
              <w:jc w:val="center"/>
              <w:rPr>
                <w:spacing w:val="1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vAlign w:val="center"/>
          </w:tcPr>
          <w:p>
            <w:pPr>
              <w:tabs>
                <w:tab w:val="left" w:pos="840"/>
              </w:tabs>
              <w:autoSpaceDE w:val="0"/>
              <w:autoSpaceDN w:val="0"/>
              <w:adjustRightInd w:val="0"/>
              <w:jc w:val="center"/>
              <w:rPr>
                <w:spacing w:val="10"/>
                <w:kern w:val="0"/>
                <w:sz w:val="28"/>
                <w:szCs w:val="28"/>
              </w:rPr>
            </w:pPr>
          </w:p>
        </w:tc>
        <w:tc>
          <w:tcPr>
            <w:tcW w:w="2268" w:type="dxa"/>
            <w:vAlign w:val="center"/>
          </w:tcPr>
          <w:p>
            <w:pPr>
              <w:tabs>
                <w:tab w:val="left" w:pos="840"/>
              </w:tabs>
              <w:autoSpaceDE w:val="0"/>
              <w:autoSpaceDN w:val="0"/>
              <w:adjustRightInd w:val="0"/>
              <w:jc w:val="center"/>
              <w:rPr>
                <w:spacing w:val="10"/>
                <w:kern w:val="0"/>
                <w:sz w:val="28"/>
                <w:szCs w:val="28"/>
              </w:rPr>
            </w:pPr>
          </w:p>
        </w:tc>
        <w:tc>
          <w:tcPr>
            <w:tcW w:w="1418" w:type="dxa"/>
            <w:vAlign w:val="center"/>
          </w:tcPr>
          <w:p>
            <w:pPr>
              <w:tabs>
                <w:tab w:val="left" w:pos="840"/>
              </w:tabs>
              <w:autoSpaceDE w:val="0"/>
              <w:autoSpaceDN w:val="0"/>
              <w:adjustRightInd w:val="0"/>
              <w:jc w:val="center"/>
              <w:rPr>
                <w:spacing w:val="10"/>
                <w:kern w:val="0"/>
                <w:sz w:val="28"/>
                <w:szCs w:val="28"/>
              </w:rPr>
            </w:pPr>
          </w:p>
        </w:tc>
        <w:tc>
          <w:tcPr>
            <w:tcW w:w="1559" w:type="dxa"/>
            <w:vAlign w:val="center"/>
          </w:tcPr>
          <w:p>
            <w:pPr>
              <w:tabs>
                <w:tab w:val="left" w:pos="840"/>
              </w:tabs>
              <w:autoSpaceDE w:val="0"/>
              <w:autoSpaceDN w:val="0"/>
              <w:adjustRightInd w:val="0"/>
              <w:jc w:val="center"/>
              <w:rPr>
                <w:spacing w:val="10"/>
                <w:kern w:val="0"/>
                <w:sz w:val="28"/>
                <w:szCs w:val="28"/>
              </w:rPr>
            </w:pPr>
          </w:p>
        </w:tc>
        <w:tc>
          <w:tcPr>
            <w:tcW w:w="1134" w:type="dxa"/>
            <w:vAlign w:val="center"/>
          </w:tcPr>
          <w:p>
            <w:pPr>
              <w:tabs>
                <w:tab w:val="left" w:pos="840"/>
              </w:tabs>
              <w:autoSpaceDE w:val="0"/>
              <w:autoSpaceDN w:val="0"/>
              <w:adjustRightInd w:val="0"/>
              <w:jc w:val="center"/>
              <w:rPr>
                <w:spacing w:val="10"/>
                <w:kern w:val="0"/>
                <w:sz w:val="28"/>
                <w:szCs w:val="28"/>
              </w:rPr>
            </w:pPr>
          </w:p>
        </w:tc>
        <w:tc>
          <w:tcPr>
            <w:tcW w:w="1418" w:type="dxa"/>
            <w:vAlign w:val="center"/>
          </w:tcPr>
          <w:p>
            <w:pPr>
              <w:tabs>
                <w:tab w:val="left" w:pos="840"/>
              </w:tabs>
              <w:autoSpaceDE w:val="0"/>
              <w:autoSpaceDN w:val="0"/>
              <w:adjustRightInd w:val="0"/>
              <w:jc w:val="center"/>
              <w:rPr>
                <w:spacing w:val="10"/>
                <w:kern w:val="0"/>
                <w:sz w:val="28"/>
                <w:szCs w:val="28"/>
              </w:rPr>
            </w:pPr>
          </w:p>
        </w:tc>
        <w:tc>
          <w:tcPr>
            <w:tcW w:w="992" w:type="dxa"/>
            <w:vAlign w:val="center"/>
          </w:tcPr>
          <w:p>
            <w:pPr>
              <w:tabs>
                <w:tab w:val="left" w:pos="840"/>
              </w:tabs>
              <w:autoSpaceDE w:val="0"/>
              <w:autoSpaceDN w:val="0"/>
              <w:adjustRightInd w:val="0"/>
              <w:jc w:val="center"/>
              <w:rPr>
                <w:spacing w:val="1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vAlign w:val="center"/>
          </w:tcPr>
          <w:p>
            <w:pPr>
              <w:tabs>
                <w:tab w:val="left" w:pos="840"/>
              </w:tabs>
              <w:autoSpaceDE w:val="0"/>
              <w:autoSpaceDN w:val="0"/>
              <w:adjustRightInd w:val="0"/>
              <w:jc w:val="center"/>
              <w:rPr>
                <w:spacing w:val="10"/>
                <w:kern w:val="0"/>
                <w:sz w:val="28"/>
                <w:szCs w:val="28"/>
              </w:rPr>
            </w:pPr>
          </w:p>
        </w:tc>
        <w:tc>
          <w:tcPr>
            <w:tcW w:w="2268" w:type="dxa"/>
            <w:vAlign w:val="center"/>
          </w:tcPr>
          <w:p>
            <w:pPr>
              <w:tabs>
                <w:tab w:val="left" w:pos="840"/>
              </w:tabs>
              <w:autoSpaceDE w:val="0"/>
              <w:autoSpaceDN w:val="0"/>
              <w:adjustRightInd w:val="0"/>
              <w:jc w:val="center"/>
              <w:rPr>
                <w:spacing w:val="10"/>
                <w:kern w:val="0"/>
                <w:sz w:val="28"/>
                <w:szCs w:val="28"/>
              </w:rPr>
            </w:pPr>
          </w:p>
        </w:tc>
        <w:tc>
          <w:tcPr>
            <w:tcW w:w="1418" w:type="dxa"/>
            <w:vAlign w:val="center"/>
          </w:tcPr>
          <w:p>
            <w:pPr>
              <w:tabs>
                <w:tab w:val="left" w:pos="840"/>
              </w:tabs>
              <w:autoSpaceDE w:val="0"/>
              <w:autoSpaceDN w:val="0"/>
              <w:adjustRightInd w:val="0"/>
              <w:jc w:val="center"/>
              <w:rPr>
                <w:spacing w:val="10"/>
                <w:kern w:val="0"/>
                <w:sz w:val="28"/>
                <w:szCs w:val="28"/>
              </w:rPr>
            </w:pPr>
          </w:p>
        </w:tc>
        <w:tc>
          <w:tcPr>
            <w:tcW w:w="1559" w:type="dxa"/>
            <w:vAlign w:val="center"/>
          </w:tcPr>
          <w:p>
            <w:pPr>
              <w:tabs>
                <w:tab w:val="left" w:pos="840"/>
              </w:tabs>
              <w:autoSpaceDE w:val="0"/>
              <w:autoSpaceDN w:val="0"/>
              <w:adjustRightInd w:val="0"/>
              <w:jc w:val="center"/>
              <w:rPr>
                <w:spacing w:val="10"/>
                <w:kern w:val="0"/>
                <w:sz w:val="28"/>
                <w:szCs w:val="28"/>
              </w:rPr>
            </w:pPr>
          </w:p>
        </w:tc>
        <w:tc>
          <w:tcPr>
            <w:tcW w:w="1134" w:type="dxa"/>
            <w:vAlign w:val="center"/>
          </w:tcPr>
          <w:p>
            <w:pPr>
              <w:tabs>
                <w:tab w:val="left" w:pos="840"/>
              </w:tabs>
              <w:autoSpaceDE w:val="0"/>
              <w:autoSpaceDN w:val="0"/>
              <w:adjustRightInd w:val="0"/>
              <w:jc w:val="center"/>
              <w:rPr>
                <w:spacing w:val="10"/>
                <w:kern w:val="0"/>
                <w:sz w:val="28"/>
                <w:szCs w:val="28"/>
              </w:rPr>
            </w:pPr>
          </w:p>
        </w:tc>
        <w:tc>
          <w:tcPr>
            <w:tcW w:w="1418" w:type="dxa"/>
            <w:vAlign w:val="center"/>
          </w:tcPr>
          <w:p>
            <w:pPr>
              <w:tabs>
                <w:tab w:val="left" w:pos="840"/>
              </w:tabs>
              <w:autoSpaceDE w:val="0"/>
              <w:autoSpaceDN w:val="0"/>
              <w:adjustRightInd w:val="0"/>
              <w:jc w:val="center"/>
              <w:rPr>
                <w:spacing w:val="10"/>
                <w:kern w:val="0"/>
                <w:sz w:val="28"/>
                <w:szCs w:val="28"/>
              </w:rPr>
            </w:pPr>
          </w:p>
        </w:tc>
        <w:tc>
          <w:tcPr>
            <w:tcW w:w="992" w:type="dxa"/>
            <w:vAlign w:val="center"/>
          </w:tcPr>
          <w:p>
            <w:pPr>
              <w:tabs>
                <w:tab w:val="left" w:pos="840"/>
              </w:tabs>
              <w:autoSpaceDE w:val="0"/>
              <w:autoSpaceDN w:val="0"/>
              <w:adjustRightInd w:val="0"/>
              <w:jc w:val="center"/>
              <w:rPr>
                <w:spacing w:val="10"/>
                <w:kern w:val="0"/>
                <w:sz w:val="28"/>
                <w:szCs w:val="28"/>
              </w:rPr>
            </w:pPr>
          </w:p>
        </w:tc>
      </w:tr>
    </w:tbl>
    <w:p>
      <w:pPr>
        <w:tabs>
          <w:tab w:val="left" w:pos="840"/>
        </w:tabs>
        <w:autoSpaceDE w:val="0"/>
        <w:autoSpaceDN w:val="0"/>
        <w:adjustRightInd w:val="0"/>
        <w:spacing w:line="360" w:lineRule="auto"/>
        <w:jc w:val="left"/>
        <w:rPr>
          <w:spacing w:val="10"/>
          <w:kern w:val="0"/>
          <w:sz w:val="28"/>
          <w:szCs w:val="28"/>
        </w:rPr>
      </w:pPr>
    </w:p>
    <w:p>
      <w:pPr>
        <w:widowControl/>
        <w:jc w:val="left"/>
        <w:rPr>
          <w:rFonts w:ascii="宋体" w:hAnsi="宋体"/>
          <w:kern w:val="0"/>
          <w:sz w:val="22"/>
          <w:szCs w:val="24"/>
        </w:rPr>
      </w:pPr>
      <w:r>
        <w:br w:type="page"/>
      </w:r>
    </w:p>
    <w:p>
      <w:pPr>
        <w:spacing w:line="360" w:lineRule="auto"/>
        <w:jc w:val="center"/>
        <w:outlineLvl w:val="2"/>
      </w:pPr>
      <w:r>
        <w:rPr>
          <w:b/>
          <w:kern w:val="0"/>
          <w:sz w:val="32"/>
          <w:szCs w:val="32"/>
        </w:rPr>
        <w:t>2</w:t>
      </w:r>
      <w:r>
        <w:rPr>
          <w:rFonts w:hint="eastAsia"/>
          <w:b/>
          <w:kern w:val="0"/>
          <w:sz w:val="32"/>
          <w:szCs w:val="32"/>
        </w:rPr>
        <w:t>、类似项目业绩</w:t>
      </w:r>
    </w:p>
    <w:tbl>
      <w:tblPr>
        <w:tblStyle w:val="1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270" w:type="dxa"/>
            <w:vAlign w:val="center"/>
          </w:tcPr>
          <w:p>
            <w:pPr>
              <w:topLinePunct/>
              <w:spacing w:line="440" w:lineRule="exact"/>
              <w:rPr>
                <w:b/>
              </w:rPr>
            </w:pPr>
            <w:r>
              <w:rPr>
                <w:b/>
              </w:rPr>
              <w:t>项目名称</w:t>
            </w:r>
          </w:p>
        </w:tc>
        <w:tc>
          <w:tcPr>
            <w:tcW w:w="6258" w:type="dxa"/>
          </w:tcPr>
          <w:p>
            <w:pPr>
              <w:topLinePunct/>
              <w:spacing w:line="440" w:lineRule="exact"/>
              <w:ind w:left="147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270" w:type="dxa"/>
            <w:vAlign w:val="center"/>
          </w:tcPr>
          <w:p>
            <w:pPr>
              <w:topLinePunct/>
              <w:spacing w:line="440" w:lineRule="exact"/>
              <w:rPr>
                <w:b/>
              </w:rPr>
            </w:pPr>
            <w:r>
              <w:rPr>
                <w:b/>
              </w:rPr>
              <w:t>项目所在地</w:t>
            </w:r>
          </w:p>
        </w:tc>
        <w:tc>
          <w:tcPr>
            <w:tcW w:w="6258" w:type="dxa"/>
          </w:tcPr>
          <w:p>
            <w:pPr>
              <w:topLinePunct/>
              <w:spacing w:line="440" w:lineRule="exact"/>
              <w:ind w:left="147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270" w:type="dxa"/>
            <w:vAlign w:val="center"/>
          </w:tcPr>
          <w:p>
            <w:pPr>
              <w:topLinePunct/>
              <w:spacing w:line="440" w:lineRule="exact"/>
              <w:rPr>
                <w:b/>
              </w:rPr>
            </w:pPr>
            <w:r>
              <w:rPr>
                <w:b/>
              </w:rPr>
              <w:t>需方名称</w:t>
            </w:r>
          </w:p>
        </w:tc>
        <w:tc>
          <w:tcPr>
            <w:tcW w:w="6258" w:type="dxa"/>
          </w:tcPr>
          <w:p>
            <w:pPr>
              <w:topLinePunct/>
              <w:spacing w:line="440" w:lineRule="exact"/>
              <w:ind w:left="147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270" w:type="dxa"/>
            <w:vAlign w:val="center"/>
          </w:tcPr>
          <w:p>
            <w:pPr>
              <w:topLinePunct/>
              <w:spacing w:line="440" w:lineRule="exact"/>
              <w:rPr>
                <w:b/>
              </w:rPr>
            </w:pPr>
            <w:r>
              <w:rPr>
                <w:b/>
              </w:rPr>
              <w:t>需方地址</w:t>
            </w:r>
          </w:p>
        </w:tc>
        <w:tc>
          <w:tcPr>
            <w:tcW w:w="6258" w:type="dxa"/>
          </w:tcPr>
          <w:p>
            <w:pPr>
              <w:topLinePunct/>
              <w:spacing w:line="440" w:lineRule="exact"/>
              <w:ind w:left="147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270" w:type="dxa"/>
            <w:vAlign w:val="center"/>
          </w:tcPr>
          <w:p>
            <w:pPr>
              <w:topLinePunct/>
              <w:spacing w:line="440" w:lineRule="exact"/>
              <w:rPr>
                <w:b/>
              </w:rPr>
            </w:pPr>
            <w:r>
              <w:rPr>
                <w:b/>
              </w:rPr>
              <w:t>需方电话</w:t>
            </w:r>
          </w:p>
        </w:tc>
        <w:tc>
          <w:tcPr>
            <w:tcW w:w="6258" w:type="dxa"/>
          </w:tcPr>
          <w:p>
            <w:pPr>
              <w:topLinePunct/>
              <w:spacing w:line="440" w:lineRule="exact"/>
              <w:ind w:left="147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270" w:type="dxa"/>
            <w:vAlign w:val="center"/>
          </w:tcPr>
          <w:p>
            <w:pPr>
              <w:topLinePunct/>
              <w:spacing w:line="440" w:lineRule="exact"/>
              <w:rPr>
                <w:b/>
              </w:rPr>
            </w:pPr>
            <w:r>
              <w:rPr>
                <w:b/>
              </w:rPr>
              <w:t>合同价格</w:t>
            </w:r>
          </w:p>
        </w:tc>
        <w:tc>
          <w:tcPr>
            <w:tcW w:w="6258" w:type="dxa"/>
          </w:tcPr>
          <w:p>
            <w:pPr>
              <w:topLinePunct/>
              <w:spacing w:line="440" w:lineRule="exact"/>
              <w:ind w:left="147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rPr>
                <w:b/>
              </w:rPr>
            </w:pPr>
            <w:r>
              <w:rPr>
                <w:b/>
              </w:rPr>
              <w:t>主要服务内容</w:t>
            </w:r>
          </w:p>
        </w:tc>
        <w:tc>
          <w:tcPr>
            <w:tcW w:w="6258" w:type="dxa"/>
          </w:tcPr>
          <w:p>
            <w:pPr>
              <w:topLinePunct/>
              <w:spacing w:line="440" w:lineRule="exact"/>
              <w:ind w:left="1470"/>
              <w:rPr>
                <w:b/>
              </w:rPr>
            </w:pPr>
          </w:p>
          <w:p>
            <w:pPr>
              <w:topLinePunct/>
              <w:spacing w:line="440" w:lineRule="exact"/>
              <w:ind w:left="1470"/>
              <w:rPr>
                <w:b/>
              </w:rPr>
            </w:pPr>
          </w:p>
          <w:p>
            <w:pPr>
              <w:topLinePunct/>
              <w:spacing w:line="440" w:lineRule="exact"/>
              <w:ind w:left="1470"/>
              <w:rPr>
                <w:b/>
              </w:rPr>
            </w:pPr>
          </w:p>
          <w:p>
            <w:pPr>
              <w:topLinePunct/>
              <w:spacing w:line="440" w:lineRule="exact"/>
              <w:ind w:left="147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270" w:type="dxa"/>
            <w:vAlign w:val="center"/>
          </w:tcPr>
          <w:p>
            <w:pPr>
              <w:rPr>
                <w:b/>
              </w:rPr>
            </w:pPr>
            <w:r>
              <w:rPr>
                <w:b/>
              </w:rPr>
              <w:t>备注</w:t>
            </w:r>
          </w:p>
        </w:tc>
        <w:tc>
          <w:tcPr>
            <w:tcW w:w="6258" w:type="dxa"/>
          </w:tcPr>
          <w:p>
            <w:pPr>
              <w:spacing w:line="360" w:lineRule="exact"/>
              <w:ind w:firstLine="420" w:firstLineChars="200"/>
              <w:rPr>
                <w:szCs w:val="21"/>
              </w:rPr>
            </w:pPr>
            <w:r>
              <w:rPr>
                <w:szCs w:val="21"/>
              </w:rPr>
              <w:t>2019年 1 月 1 日以来签订的类似项目合同。</w:t>
            </w:r>
          </w:p>
          <w:p>
            <w:pPr>
              <w:spacing w:line="400" w:lineRule="exact"/>
            </w:pPr>
            <w:r>
              <w:rPr>
                <w:szCs w:val="21"/>
              </w:rPr>
              <w:t>（完整业绩=提供合同、用户</w:t>
            </w:r>
            <w:r>
              <w:rPr>
                <w:rFonts w:hint="eastAsia"/>
                <w:szCs w:val="21"/>
              </w:rPr>
              <w:t>盖章的</w:t>
            </w:r>
            <w:r>
              <w:rPr>
                <w:szCs w:val="21"/>
              </w:rPr>
              <w:t>验收合格证明材料，业绩扫描不清楚或无法辨认的不予认可，虚假业绩将自行承担相关责任。）</w:t>
            </w:r>
          </w:p>
        </w:tc>
      </w:tr>
    </w:tbl>
    <w:p>
      <w:pPr>
        <w:jc w:val="center"/>
        <w:rPr>
          <w:b/>
          <w:sz w:val="28"/>
          <w:szCs w:val="28"/>
        </w:rPr>
      </w:pPr>
    </w:p>
    <w:p>
      <w:pPr>
        <w:jc w:val="center"/>
        <w:rPr>
          <w:b/>
          <w:sz w:val="28"/>
          <w:szCs w:val="28"/>
        </w:rPr>
      </w:pPr>
    </w:p>
    <w:p>
      <w:pPr>
        <w:spacing w:line="360" w:lineRule="auto"/>
        <w:jc w:val="center"/>
        <w:rPr>
          <w:b/>
          <w:sz w:val="30"/>
          <w:szCs w:val="30"/>
        </w:rPr>
      </w:pPr>
      <w:r>
        <w:rPr>
          <w:b/>
          <w:sz w:val="28"/>
          <w:szCs w:val="28"/>
        </w:rPr>
        <w:br w:type="page"/>
      </w:r>
      <w:r>
        <w:rPr>
          <w:b/>
          <w:sz w:val="28"/>
          <w:szCs w:val="28"/>
        </w:rPr>
        <w:t>九、</w:t>
      </w:r>
      <w:r>
        <w:rPr>
          <w:b/>
          <w:sz w:val="30"/>
          <w:szCs w:val="30"/>
        </w:rPr>
        <w:t>其他综合部分证明文件</w:t>
      </w:r>
    </w:p>
    <w:p>
      <w:pPr>
        <w:jc w:val="center"/>
        <w:rPr>
          <w:b/>
          <w:sz w:val="28"/>
          <w:szCs w:val="28"/>
        </w:rPr>
      </w:pPr>
    </w:p>
    <w:p>
      <w:pPr>
        <w:jc w:val="center"/>
        <w:rPr>
          <w:b/>
          <w:sz w:val="28"/>
          <w:szCs w:val="28"/>
        </w:rPr>
      </w:pPr>
    </w:p>
    <w:p>
      <w:pPr>
        <w:jc w:val="center"/>
        <w:rPr>
          <w:b/>
          <w:sz w:val="28"/>
          <w:szCs w:val="28"/>
        </w:rPr>
      </w:pPr>
    </w:p>
    <w:p>
      <w:pPr>
        <w:spacing w:line="460" w:lineRule="exact"/>
        <w:jc w:val="center"/>
        <w:rPr>
          <w:b/>
          <w:sz w:val="30"/>
          <w:szCs w:val="30"/>
        </w:rPr>
      </w:pPr>
      <w:r>
        <w:rPr>
          <w:b/>
          <w:sz w:val="30"/>
          <w:szCs w:val="30"/>
          <w:highlight w:val="yellow"/>
        </w:rPr>
        <w:br w:type="page"/>
      </w:r>
      <w:bookmarkEnd w:id="59"/>
      <w:bookmarkEnd w:id="60"/>
      <w:bookmarkEnd w:id="61"/>
      <w:bookmarkEnd w:id="62"/>
      <w:bookmarkEnd w:id="63"/>
      <w:bookmarkEnd w:id="64"/>
      <w:bookmarkStart w:id="69" w:name="_Toc437077355"/>
      <w:bookmarkStart w:id="70" w:name="_Toc424285168"/>
      <w:bookmarkStart w:id="71" w:name="_Toc394574404"/>
      <w:bookmarkStart w:id="72" w:name="_Toc428523708"/>
      <w:r>
        <w:rPr>
          <w:b/>
          <w:sz w:val="30"/>
          <w:szCs w:val="30"/>
        </w:rPr>
        <w:t>十、技术证明文件</w:t>
      </w:r>
    </w:p>
    <w:p>
      <w:pPr>
        <w:pStyle w:val="24"/>
        <w:spacing w:line="360" w:lineRule="auto"/>
        <w:ind w:firstLine="482" w:firstLineChars="200"/>
        <w:jc w:val="center"/>
        <w:rPr>
          <w:b/>
          <w:bCs/>
          <w:color w:val="000000"/>
          <w:kern w:val="0"/>
          <w:sz w:val="24"/>
        </w:rPr>
      </w:pPr>
      <w:r>
        <w:rPr>
          <w:b/>
          <w:bCs/>
          <w:color w:val="000000"/>
          <w:kern w:val="0"/>
          <w:sz w:val="24"/>
        </w:rPr>
        <w:t>技术规格偏差表</w:t>
      </w:r>
    </w:p>
    <w:tbl>
      <w:tblPr>
        <w:tblStyle w:val="16"/>
        <w:tblW w:w="8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2283"/>
        <w:gridCol w:w="3648"/>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99" w:type="dxa"/>
            <w:vAlign w:val="center"/>
          </w:tcPr>
          <w:p>
            <w:pPr>
              <w:keepNext/>
              <w:spacing w:line="360" w:lineRule="auto"/>
              <w:jc w:val="center"/>
            </w:pPr>
            <w:r>
              <w:t>内容名称或条款号</w:t>
            </w:r>
          </w:p>
        </w:tc>
        <w:tc>
          <w:tcPr>
            <w:tcW w:w="2283" w:type="dxa"/>
            <w:vAlign w:val="center"/>
          </w:tcPr>
          <w:p>
            <w:pPr>
              <w:keepNext/>
              <w:spacing w:line="360" w:lineRule="auto"/>
              <w:jc w:val="center"/>
            </w:pPr>
            <w:r>
              <w:t>磋商文件要求</w:t>
            </w:r>
          </w:p>
        </w:tc>
        <w:tc>
          <w:tcPr>
            <w:tcW w:w="3648" w:type="dxa"/>
            <w:vAlign w:val="center"/>
          </w:tcPr>
          <w:p>
            <w:pPr>
              <w:keepNext/>
              <w:spacing w:line="360" w:lineRule="auto"/>
              <w:jc w:val="center"/>
            </w:pPr>
            <w:r>
              <w:t>响应文件偏差</w:t>
            </w:r>
          </w:p>
        </w:tc>
        <w:tc>
          <w:tcPr>
            <w:tcW w:w="1519" w:type="dxa"/>
            <w:vAlign w:val="center"/>
          </w:tcPr>
          <w:p>
            <w:pPr>
              <w:keepNext/>
              <w:spacing w:line="360" w:lineRule="auto"/>
              <w:jc w:val="center"/>
            </w:pPr>
            <w: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99" w:type="dxa"/>
            <w:vAlign w:val="center"/>
          </w:tcPr>
          <w:p>
            <w:pPr>
              <w:keepNext/>
              <w:spacing w:line="360" w:lineRule="auto"/>
            </w:pPr>
          </w:p>
        </w:tc>
        <w:tc>
          <w:tcPr>
            <w:tcW w:w="2283" w:type="dxa"/>
            <w:vAlign w:val="center"/>
          </w:tcPr>
          <w:p>
            <w:pPr>
              <w:keepNext/>
              <w:spacing w:line="360" w:lineRule="auto"/>
            </w:pPr>
          </w:p>
        </w:tc>
        <w:tc>
          <w:tcPr>
            <w:tcW w:w="3648" w:type="dxa"/>
            <w:vAlign w:val="center"/>
          </w:tcPr>
          <w:p>
            <w:pPr>
              <w:keepNext/>
              <w:spacing w:line="360" w:lineRule="auto"/>
            </w:pPr>
          </w:p>
        </w:tc>
        <w:tc>
          <w:tcPr>
            <w:tcW w:w="1519" w:type="dxa"/>
            <w:vAlign w:val="center"/>
          </w:tcPr>
          <w:p>
            <w:pPr>
              <w:keepNext/>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99" w:type="dxa"/>
            <w:vAlign w:val="center"/>
          </w:tcPr>
          <w:p>
            <w:pPr>
              <w:keepNext/>
              <w:spacing w:line="360" w:lineRule="auto"/>
            </w:pPr>
          </w:p>
        </w:tc>
        <w:tc>
          <w:tcPr>
            <w:tcW w:w="2283" w:type="dxa"/>
            <w:vAlign w:val="center"/>
          </w:tcPr>
          <w:p>
            <w:pPr>
              <w:keepNext/>
              <w:spacing w:line="360" w:lineRule="auto"/>
            </w:pPr>
          </w:p>
        </w:tc>
        <w:tc>
          <w:tcPr>
            <w:tcW w:w="3648" w:type="dxa"/>
            <w:vAlign w:val="center"/>
          </w:tcPr>
          <w:p>
            <w:pPr>
              <w:keepNext/>
              <w:spacing w:line="360" w:lineRule="auto"/>
            </w:pPr>
          </w:p>
        </w:tc>
        <w:tc>
          <w:tcPr>
            <w:tcW w:w="1519" w:type="dxa"/>
            <w:vAlign w:val="center"/>
          </w:tcPr>
          <w:p>
            <w:pPr>
              <w:keepNext/>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99" w:type="dxa"/>
            <w:vAlign w:val="center"/>
          </w:tcPr>
          <w:p>
            <w:pPr>
              <w:keepNext/>
              <w:spacing w:line="360" w:lineRule="auto"/>
            </w:pPr>
          </w:p>
        </w:tc>
        <w:tc>
          <w:tcPr>
            <w:tcW w:w="2283" w:type="dxa"/>
            <w:vAlign w:val="center"/>
          </w:tcPr>
          <w:p>
            <w:pPr>
              <w:keepNext/>
              <w:spacing w:line="360" w:lineRule="auto"/>
            </w:pPr>
          </w:p>
        </w:tc>
        <w:tc>
          <w:tcPr>
            <w:tcW w:w="3648" w:type="dxa"/>
            <w:vAlign w:val="center"/>
          </w:tcPr>
          <w:p>
            <w:pPr>
              <w:keepNext/>
              <w:spacing w:line="360" w:lineRule="auto"/>
            </w:pPr>
          </w:p>
        </w:tc>
        <w:tc>
          <w:tcPr>
            <w:tcW w:w="1519" w:type="dxa"/>
            <w:vAlign w:val="center"/>
          </w:tcPr>
          <w:p>
            <w:pPr>
              <w:keepNext/>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99" w:type="dxa"/>
            <w:vAlign w:val="center"/>
          </w:tcPr>
          <w:p>
            <w:pPr>
              <w:keepNext/>
              <w:spacing w:line="360" w:lineRule="auto"/>
            </w:pPr>
          </w:p>
        </w:tc>
        <w:tc>
          <w:tcPr>
            <w:tcW w:w="2283" w:type="dxa"/>
            <w:vAlign w:val="center"/>
          </w:tcPr>
          <w:p>
            <w:pPr>
              <w:keepNext/>
              <w:spacing w:line="360" w:lineRule="auto"/>
            </w:pPr>
          </w:p>
        </w:tc>
        <w:tc>
          <w:tcPr>
            <w:tcW w:w="3648" w:type="dxa"/>
            <w:vAlign w:val="center"/>
          </w:tcPr>
          <w:p>
            <w:pPr>
              <w:keepNext/>
              <w:spacing w:line="360" w:lineRule="auto"/>
            </w:pPr>
          </w:p>
        </w:tc>
        <w:tc>
          <w:tcPr>
            <w:tcW w:w="1519" w:type="dxa"/>
            <w:vAlign w:val="center"/>
          </w:tcPr>
          <w:p>
            <w:pPr>
              <w:keepNext/>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99" w:type="dxa"/>
            <w:tcBorders>
              <w:bottom w:val="nil"/>
            </w:tcBorders>
            <w:vAlign w:val="center"/>
          </w:tcPr>
          <w:p>
            <w:pPr>
              <w:keepNext/>
              <w:spacing w:line="360" w:lineRule="auto"/>
            </w:pPr>
          </w:p>
        </w:tc>
        <w:tc>
          <w:tcPr>
            <w:tcW w:w="2283" w:type="dxa"/>
            <w:tcBorders>
              <w:bottom w:val="nil"/>
            </w:tcBorders>
            <w:vAlign w:val="center"/>
          </w:tcPr>
          <w:p>
            <w:pPr>
              <w:keepNext/>
              <w:spacing w:line="360" w:lineRule="auto"/>
            </w:pPr>
          </w:p>
        </w:tc>
        <w:tc>
          <w:tcPr>
            <w:tcW w:w="3648" w:type="dxa"/>
            <w:tcBorders>
              <w:bottom w:val="nil"/>
            </w:tcBorders>
            <w:vAlign w:val="center"/>
          </w:tcPr>
          <w:p>
            <w:pPr>
              <w:keepNext/>
              <w:spacing w:line="360" w:lineRule="auto"/>
            </w:pPr>
          </w:p>
        </w:tc>
        <w:tc>
          <w:tcPr>
            <w:tcW w:w="1519" w:type="dxa"/>
            <w:tcBorders>
              <w:bottom w:val="single" w:color="auto" w:sz="4" w:space="0"/>
            </w:tcBorders>
            <w:vAlign w:val="center"/>
          </w:tcPr>
          <w:p>
            <w:pPr>
              <w:keepNext/>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99" w:type="dxa"/>
            <w:vAlign w:val="center"/>
          </w:tcPr>
          <w:p>
            <w:pPr>
              <w:keepNext/>
              <w:spacing w:line="360" w:lineRule="auto"/>
            </w:pPr>
          </w:p>
        </w:tc>
        <w:tc>
          <w:tcPr>
            <w:tcW w:w="2283" w:type="dxa"/>
            <w:vAlign w:val="center"/>
          </w:tcPr>
          <w:p>
            <w:pPr>
              <w:keepNext/>
              <w:spacing w:line="360" w:lineRule="auto"/>
            </w:pPr>
          </w:p>
        </w:tc>
        <w:tc>
          <w:tcPr>
            <w:tcW w:w="3648" w:type="dxa"/>
            <w:vAlign w:val="center"/>
          </w:tcPr>
          <w:p>
            <w:pPr>
              <w:keepNext/>
              <w:spacing w:line="360" w:lineRule="auto"/>
            </w:pPr>
          </w:p>
        </w:tc>
        <w:tc>
          <w:tcPr>
            <w:tcW w:w="1519" w:type="dxa"/>
            <w:vAlign w:val="center"/>
          </w:tcPr>
          <w:p>
            <w:pPr>
              <w:keepNext/>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99" w:type="dxa"/>
            <w:vAlign w:val="center"/>
          </w:tcPr>
          <w:p>
            <w:pPr>
              <w:keepNext/>
              <w:spacing w:line="360" w:lineRule="auto"/>
            </w:pPr>
          </w:p>
        </w:tc>
        <w:tc>
          <w:tcPr>
            <w:tcW w:w="2283" w:type="dxa"/>
            <w:vAlign w:val="center"/>
          </w:tcPr>
          <w:p>
            <w:pPr>
              <w:keepNext/>
              <w:spacing w:line="360" w:lineRule="auto"/>
            </w:pPr>
          </w:p>
        </w:tc>
        <w:tc>
          <w:tcPr>
            <w:tcW w:w="3648" w:type="dxa"/>
            <w:vAlign w:val="center"/>
          </w:tcPr>
          <w:p>
            <w:pPr>
              <w:keepNext/>
              <w:spacing w:line="360" w:lineRule="auto"/>
            </w:pPr>
          </w:p>
        </w:tc>
        <w:tc>
          <w:tcPr>
            <w:tcW w:w="1519" w:type="dxa"/>
            <w:vAlign w:val="center"/>
          </w:tcPr>
          <w:p>
            <w:pPr>
              <w:keepNext/>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99" w:type="dxa"/>
            <w:vAlign w:val="center"/>
          </w:tcPr>
          <w:p>
            <w:pPr>
              <w:keepNext/>
              <w:spacing w:line="360" w:lineRule="auto"/>
            </w:pPr>
          </w:p>
        </w:tc>
        <w:tc>
          <w:tcPr>
            <w:tcW w:w="2283" w:type="dxa"/>
            <w:vAlign w:val="center"/>
          </w:tcPr>
          <w:p>
            <w:pPr>
              <w:keepNext/>
              <w:spacing w:line="360" w:lineRule="auto"/>
            </w:pPr>
          </w:p>
        </w:tc>
        <w:tc>
          <w:tcPr>
            <w:tcW w:w="3648" w:type="dxa"/>
            <w:vAlign w:val="center"/>
          </w:tcPr>
          <w:p>
            <w:pPr>
              <w:keepNext/>
              <w:spacing w:line="360" w:lineRule="auto"/>
            </w:pPr>
          </w:p>
        </w:tc>
        <w:tc>
          <w:tcPr>
            <w:tcW w:w="1519" w:type="dxa"/>
            <w:vAlign w:val="center"/>
          </w:tcPr>
          <w:p>
            <w:pPr>
              <w:keepNext/>
              <w:spacing w:line="360" w:lineRule="auto"/>
            </w:pPr>
          </w:p>
        </w:tc>
      </w:tr>
    </w:tbl>
    <w:p>
      <w:pPr>
        <w:pStyle w:val="24"/>
        <w:spacing w:line="360" w:lineRule="auto"/>
        <w:ind w:firstLine="480" w:firstLineChars="200"/>
        <w:rPr>
          <w:color w:val="000000"/>
          <w:kern w:val="0"/>
          <w:sz w:val="24"/>
        </w:rPr>
      </w:pPr>
    </w:p>
    <w:p>
      <w:pPr>
        <w:pStyle w:val="24"/>
        <w:spacing w:line="360" w:lineRule="auto"/>
        <w:ind w:firstLine="480" w:firstLineChars="200"/>
        <w:rPr>
          <w:color w:val="000000"/>
          <w:kern w:val="0"/>
          <w:sz w:val="24"/>
        </w:rPr>
      </w:pPr>
    </w:p>
    <w:p>
      <w:pPr>
        <w:pStyle w:val="24"/>
        <w:spacing w:line="360" w:lineRule="auto"/>
        <w:ind w:firstLine="480" w:firstLineChars="200"/>
        <w:rPr>
          <w:color w:val="000000"/>
          <w:kern w:val="0"/>
          <w:sz w:val="24"/>
        </w:rPr>
      </w:pPr>
    </w:p>
    <w:p>
      <w:pPr>
        <w:pStyle w:val="24"/>
        <w:spacing w:line="360" w:lineRule="auto"/>
        <w:ind w:firstLine="480" w:firstLineChars="200"/>
        <w:rPr>
          <w:color w:val="000000"/>
          <w:kern w:val="0"/>
          <w:sz w:val="24"/>
        </w:rPr>
      </w:pPr>
    </w:p>
    <w:p>
      <w:pPr>
        <w:pStyle w:val="24"/>
        <w:spacing w:line="360" w:lineRule="auto"/>
        <w:ind w:firstLine="482" w:firstLineChars="200"/>
        <w:jc w:val="center"/>
        <w:rPr>
          <w:b/>
          <w:bCs/>
          <w:color w:val="000000"/>
          <w:kern w:val="0"/>
          <w:sz w:val="24"/>
        </w:rPr>
      </w:pPr>
      <w:r>
        <w:rPr>
          <w:b/>
          <w:bCs/>
          <w:color w:val="000000"/>
          <w:kern w:val="0"/>
          <w:sz w:val="24"/>
        </w:rPr>
        <w:t>产品适用节能、环保政策情况</w:t>
      </w:r>
    </w:p>
    <w:tbl>
      <w:tblPr>
        <w:tblStyle w:val="16"/>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8"/>
        <w:gridCol w:w="1120"/>
        <w:gridCol w:w="1190"/>
        <w:gridCol w:w="1766"/>
        <w:gridCol w:w="1163"/>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798" w:type="dxa"/>
            <w:vAlign w:val="center"/>
          </w:tcPr>
          <w:p>
            <w:pPr>
              <w:tabs>
                <w:tab w:val="left" w:pos="1260"/>
              </w:tabs>
              <w:spacing w:before="40" w:after="40"/>
              <w:ind w:left="420" w:right="315"/>
              <w:jc w:val="center"/>
              <w:rPr>
                <w:color w:val="000000"/>
                <w:szCs w:val="21"/>
                <w:lang w:val="en-GB"/>
              </w:rPr>
            </w:pPr>
            <w:bookmarkStart w:id="73" w:name="_Hlk44605164"/>
            <w:r>
              <w:rPr>
                <w:color w:val="000000"/>
                <w:szCs w:val="21"/>
                <w:lang w:val="en-GB"/>
              </w:rPr>
              <w:t>产品名称</w:t>
            </w:r>
          </w:p>
        </w:tc>
        <w:tc>
          <w:tcPr>
            <w:tcW w:w="1120" w:type="dxa"/>
            <w:vAlign w:val="center"/>
          </w:tcPr>
          <w:p>
            <w:pPr>
              <w:tabs>
                <w:tab w:val="left" w:pos="1260"/>
              </w:tabs>
              <w:spacing w:before="40" w:after="40"/>
              <w:ind w:left="420" w:right="315"/>
              <w:jc w:val="center"/>
              <w:rPr>
                <w:color w:val="000000"/>
                <w:szCs w:val="21"/>
                <w:lang w:val="en-GB"/>
              </w:rPr>
            </w:pPr>
            <w:r>
              <w:rPr>
                <w:color w:val="000000"/>
                <w:szCs w:val="21"/>
                <w:lang w:val="en-GB"/>
              </w:rPr>
              <w:t>品牌、型号</w:t>
            </w:r>
          </w:p>
        </w:tc>
        <w:tc>
          <w:tcPr>
            <w:tcW w:w="1190" w:type="dxa"/>
            <w:vAlign w:val="center"/>
          </w:tcPr>
          <w:p>
            <w:pPr>
              <w:tabs>
                <w:tab w:val="left" w:pos="1260"/>
              </w:tabs>
              <w:spacing w:before="40" w:after="40"/>
              <w:ind w:left="420" w:right="315"/>
              <w:jc w:val="center"/>
              <w:rPr>
                <w:color w:val="000000"/>
                <w:szCs w:val="21"/>
                <w:lang w:val="en-GB"/>
              </w:rPr>
            </w:pPr>
            <w:r>
              <w:rPr>
                <w:color w:val="000000"/>
                <w:szCs w:val="21"/>
                <w:lang w:val="en-GB"/>
              </w:rPr>
              <w:t>制造商</w:t>
            </w:r>
          </w:p>
        </w:tc>
        <w:tc>
          <w:tcPr>
            <w:tcW w:w="1766" w:type="dxa"/>
            <w:vAlign w:val="center"/>
          </w:tcPr>
          <w:p>
            <w:pPr>
              <w:tabs>
                <w:tab w:val="left" w:pos="1260"/>
              </w:tabs>
              <w:spacing w:before="40" w:after="40"/>
              <w:ind w:left="420" w:right="315"/>
              <w:jc w:val="center"/>
              <w:rPr>
                <w:color w:val="000000"/>
                <w:szCs w:val="21"/>
                <w:lang w:val="en-GB"/>
              </w:rPr>
            </w:pPr>
            <w:r>
              <w:rPr>
                <w:color w:val="000000"/>
                <w:szCs w:val="21"/>
                <w:lang w:val="en-GB"/>
              </w:rPr>
              <w:t>认证证书编号</w:t>
            </w:r>
          </w:p>
        </w:tc>
        <w:tc>
          <w:tcPr>
            <w:tcW w:w="1163" w:type="dxa"/>
            <w:vAlign w:val="center"/>
          </w:tcPr>
          <w:p>
            <w:pPr>
              <w:jc w:val="center"/>
              <w:rPr>
                <w:color w:val="000000"/>
                <w:szCs w:val="24"/>
              </w:rPr>
            </w:pPr>
            <w:r>
              <w:rPr>
                <w:color w:val="000000"/>
                <w:szCs w:val="24"/>
              </w:rPr>
              <w:t>认证机构</w:t>
            </w:r>
          </w:p>
        </w:tc>
        <w:tc>
          <w:tcPr>
            <w:tcW w:w="1889" w:type="dxa"/>
            <w:vAlign w:val="center"/>
          </w:tcPr>
          <w:p>
            <w:pPr>
              <w:jc w:val="center"/>
              <w:rPr>
                <w:color w:val="000000"/>
                <w:szCs w:val="24"/>
              </w:rPr>
            </w:pPr>
            <w:r>
              <w:rPr>
                <w:color w:val="000000"/>
                <w:szCs w:val="24"/>
              </w:rPr>
              <w:t>节能情况（强制/优先节能）</w:t>
            </w:r>
          </w:p>
          <w:p>
            <w:pPr>
              <w:jc w:val="center"/>
              <w:rPr>
                <w:color w:val="000000"/>
                <w:szCs w:val="24"/>
              </w:rPr>
            </w:pPr>
            <w:r>
              <w:rPr>
                <w:color w:val="000000"/>
                <w:szCs w:val="21"/>
              </w:rPr>
              <w:t>环保情况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98" w:type="dxa"/>
            <w:vMerge w:val="restart"/>
            <w:vAlign w:val="center"/>
          </w:tcPr>
          <w:p>
            <w:pPr>
              <w:tabs>
                <w:tab w:val="left" w:pos="1260"/>
              </w:tabs>
              <w:spacing w:before="156" w:after="156"/>
              <w:ind w:left="420" w:right="315"/>
              <w:jc w:val="center"/>
              <w:rPr>
                <w:color w:val="000000"/>
                <w:szCs w:val="21"/>
                <w:lang w:val="en-GB"/>
              </w:rPr>
            </w:pPr>
          </w:p>
        </w:tc>
        <w:tc>
          <w:tcPr>
            <w:tcW w:w="1120" w:type="dxa"/>
            <w:vMerge w:val="restart"/>
            <w:vAlign w:val="center"/>
          </w:tcPr>
          <w:p>
            <w:pPr>
              <w:tabs>
                <w:tab w:val="left" w:pos="1260"/>
              </w:tabs>
              <w:spacing w:before="156" w:after="156"/>
              <w:ind w:left="420" w:right="315"/>
              <w:jc w:val="center"/>
              <w:rPr>
                <w:color w:val="000000"/>
                <w:szCs w:val="21"/>
                <w:lang w:val="en-GB"/>
              </w:rPr>
            </w:pPr>
          </w:p>
        </w:tc>
        <w:tc>
          <w:tcPr>
            <w:tcW w:w="1190" w:type="dxa"/>
            <w:vMerge w:val="restart"/>
            <w:vAlign w:val="center"/>
          </w:tcPr>
          <w:p>
            <w:pPr>
              <w:tabs>
                <w:tab w:val="left" w:pos="1260"/>
              </w:tabs>
              <w:spacing w:before="156" w:after="156"/>
              <w:ind w:left="420" w:right="315"/>
              <w:jc w:val="center"/>
              <w:rPr>
                <w:color w:val="000000"/>
                <w:szCs w:val="21"/>
                <w:lang w:val="en-GB"/>
              </w:rPr>
            </w:pPr>
          </w:p>
        </w:tc>
        <w:tc>
          <w:tcPr>
            <w:tcW w:w="1766" w:type="dxa"/>
            <w:vAlign w:val="center"/>
          </w:tcPr>
          <w:p>
            <w:pPr>
              <w:tabs>
                <w:tab w:val="left" w:pos="1260"/>
              </w:tabs>
              <w:spacing w:before="156" w:after="156"/>
              <w:ind w:left="420" w:right="315"/>
              <w:jc w:val="center"/>
              <w:rPr>
                <w:color w:val="000000"/>
                <w:szCs w:val="21"/>
                <w:lang w:val="en-GB"/>
              </w:rPr>
            </w:pPr>
          </w:p>
        </w:tc>
        <w:tc>
          <w:tcPr>
            <w:tcW w:w="1163" w:type="dxa"/>
            <w:vAlign w:val="center"/>
          </w:tcPr>
          <w:p>
            <w:pPr>
              <w:tabs>
                <w:tab w:val="left" w:pos="1260"/>
              </w:tabs>
              <w:spacing w:before="156" w:after="156"/>
              <w:ind w:left="420" w:right="315"/>
              <w:jc w:val="center"/>
              <w:rPr>
                <w:color w:val="000000"/>
                <w:szCs w:val="21"/>
                <w:lang w:val="en-GB"/>
              </w:rPr>
            </w:pPr>
          </w:p>
        </w:tc>
        <w:tc>
          <w:tcPr>
            <w:tcW w:w="1889" w:type="dxa"/>
            <w:vAlign w:val="center"/>
          </w:tcPr>
          <w:p>
            <w:pPr>
              <w:tabs>
                <w:tab w:val="left" w:pos="1260"/>
              </w:tabs>
              <w:spacing w:before="156" w:after="156"/>
              <w:ind w:left="420" w:right="315"/>
              <w:jc w:val="center"/>
              <w:rPr>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98" w:type="dxa"/>
            <w:vMerge w:val="continue"/>
            <w:vAlign w:val="center"/>
          </w:tcPr>
          <w:p>
            <w:pPr>
              <w:tabs>
                <w:tab w:val="left" w:pos="1260"/>
              </w:tabs>
              <w:spacing w:before="156" w:after="156"/>
              <w:ind w:left="420" w:right="315"/>
              <w:jc w:val="center"/>
              <w:rPr>
                <w:color w:val="000000"/>
                <w:szCs w:val="21"/>
                <w:lang w:val="en-GB"/>
              </w:rPr>
            </w:pPr>
          </w:p>
        </w:tc>
        <w:tc>
          <w:tcPr>
            <w:tcW w:w="1120" w:type="dxa"/>
            <w:vMerge w:val="continue"/>
            <w:vAlign w:val="center"/>
          </w:tcPr>
          <w:p>
            <w:pPr>
              <w:tabs>
                <w:tab w:val="left" w:pos="1260"/>
              </w:tabs>
              <w:spacing w:before="156" w:after="156"/>
              <w:ind w:left="420" w:right="315"/>
              <w:jc w:val="center"/>
              <w:rPr>
                <w:color w:val="000000"/>
                <w:szCs w:val="21"/>
                <w:lang w:val="en-GB"/>
              </w:rPr>
            </w:pPr>
          </w:p>
        </w:tc>
        <w:tc>
          <w:tcPr>
            <w:tcW w:w="1190" w:type="dxa"/>
            <w:vMerge w:val="continue"/>
            <w:vAlign w:val="center"/>
          </w:tcPr>
          <w:p>
            <w:pPr>
              <w:tabs>
                <w:tab w:val="left" w:pos="1260"/>
              </w:tabs>
              <w:spacing w:before="156" w:after="156"/>
              <w:ind w:left="420" w:right="315"/>
              <w:jc w:val="center"/>
              <w:rPr>
                <w:color w:val="000000"/>
                <w:szCs w:val="21"/>
                <w:lang w:val="en-GB"/>
              </w:rPr>
            </w:pPr>
          </w:p>
        </w:tc>
        <w:tc>
          <w:tcPr>
            <w:tcW w:w="1766" w:type="dxa"/>
            <w:vAlign w:val="center"/>
          </w:tcPr>
          <w:p>
            <w:pPr>
              <w:tabs>
                <w:tab w:val="left" w:pos="1260"/>
              </w:tabs>
              <w:spacing w:before="156" w:after="156"/>
              <w:ind w:left="420" w:right="315"/>
              <w:jc w:val="center"/>
              <w:rPr>
                <w:color w:val="000000"/>
                <w:szCs w:val="21"/>
                <w:lang w:val="en-GB"/>
              </w:rPr>
            </w:pPr>
          </w:p>
        </w:tc>
        <w:tc>
          <w:tcPr>
            <w:tcW w:w="1163" w:type="dxa"/>
            <w:vAlign w:val="center"/>
          </w:tcPr>
          <w:p>
            <w:pPr>
              <w:tabs>
                <w:tab w:val="left" w:pos="1260"/>
              </w:tabs>
              <w:spacing w:before="156" w:after="156"/>
              <w:ind w:left="420" w:right="315"/>
              <w:jc w:val="center"/>
              <w:rPr>
                <w:color w:val="000000"/>
                <w:szCs w:val="21"/>
                <w:lang w:val="en-GB"/>
              </w:rPr>
            </w:pPr>
          </w:p>
        </w:tc>
        <w:tc>
          <w:tcPr>
            <w:tcW w:w="1889" w:type="dxa"/>
            <w:vAlign w:val="center"/>
          </w:tcPr>
          <w:p>
            <w:pPr>
              <w:tabs>
                <w:tab w:val="left" w:pos="1260"/>
              </w:tabs>
              <w:spacing w:before="156" w:after="156"/>
              <w:ind w:left="420" w:right="315"/>
              <w:jc w:val="center"/>
              <w:rPr>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98" w:type="dxa"/>
            <w:vMerge w:val="restart"/>
            <w:vAlign w:val="center"/>
          </w:tcPr>
          <w:p>
            <w:pPr>
              <w:tabs>
                <w:tab w:val="left" w:pos="1260"/>
              </w:tabs>
              <w:spacing w:before="156" w:after="156"/>
              <w:ind w:left="420" w:right="315"/>
              <w:jc w:val="center"/>
              <w:rPr>
                <w:color w:val="000000"/>
                <w:szCs w:val="21"/>
                <w:lang w:val="en-GB"/>
              </w:rPr>
            </w:pPr>
          </w:p>
        </w:tc>
        <w:tc>
          <w:tcPr>
            <w:tcW w:w="1120" w:type="dxa"/>
            <w:vMerge w:val="restart"/>
            <w:vAlign w:val="center"/>
          </w:tcPr>
          <w:p>
            <w:pPr>
              <w:tabs>
                <w:tab w:val="left" w:pos="1260"/>
              </w:tabs>
              <w:spacing w:before="156" w:after="156"/>
              <w:ind w:left="420" w:right="315"/>
              <w:jc w:val="center"/>
              <w:rPr>
                <w:color w:val="000000"/>
                <w:szCs w:val="21"/>
                <w:lang w:val="en-GB"/>
              </w:rPr>
            </w:pPr>
          </w:p>
        </w:tc>
        <w:tc>
          <w:tcPr>
            <w:tcW w:w="1190" w:type="dxa"/>
            <w:vMerge w:val="restart"/>
            <w:vAlign w:val="center"/>
          </w:tcPr>
          <w:p>
            <w:pPr>
              <w:tabs>
                <w:tab w:val="left" w:pos="1260"/>
              </w:tabs>
              <w:spacing w:before="156" w:after="156"/>
              <w:ind w:left="420" w:right="315"/>
              <w:jc w:val="center"/>
              <w:rPr>
                <w:color w:val="000000"/>
                <w:szCs w:val="21"/>
                <w:lang w:val="en-GB"/>
              </w:rPr>
            </w:pPr>
          </w:p>
        </w:tc>
        <w:tc>
          <w:tcPr>
            <w:tcW w:w="1766" w:type="dxa"/>
            <w:vAlign w:val="center"/>
          </w:tcPr>
          <w:p>
            <w:pPr>
              <w:tabs>
                <w:tab w:val="left" w:pos="1260"/>
              </w:tabs>
              <w:spacing w:before="156" w:after="156"/>
              <w:ind w:left="420" w:right="315"/>
              <w:jc w:val="center"/>
              <w:rPr>
                <w:color w:val="000000"/>
                <w:szCs w:val="21"/>
                <w:lang w:val="en-GB"/>
              </w:rPr>
            </w:pPr>
          </w:p>
        </w:tc>
        <w:tc>
          <w:tcPr>
            <w:tcW w:w="1163" w:type="dxa"/>
            <w:vAlign w:val="center"/>
          </w:tcPr>
          <w:p>
            <w:pPr>
              <w:tabs>
                <w:tab w:val="left" w:pos="1260"/>
              </w:tabs>
              <w:spacing w:before="156" w:after="156"/>
              <w:ind w:left="420" w:right="315"/>
              <w:jc w:val="center"/>
              <w:rPr>
                <w:color w:val="000000"/>
                <w:szCs w:val="21"/>
                <w:lang w:val="en-GB"/>
              </w:rPr>
            </w:pPr>
          </w:p>
        </w:tc>
        <w:tc>
          <w:tcPr>
            <w:tcW w:w="1889" w:type="dxa"/>
            <w:vAlign w:val="center"/>
          </w:tcPr>
          <w:p>
            <w:pPr>
              <w:tabs>
                <w:tab w:val="left" w:pos="1260"/>
              </w:tabs>
              <w:spacing w:before="156" w:after="156"/>
              <w:ind w:left="420" w:right="315"/>
              <w:jc w:val="center"/>
              <w:rPr>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98" w:type="dxa"/>
            <w:vMerge w:val="continue"/>
            <w:vAlign w:val="center"/>
          </w:tcPr>
          <w:p>
            <w:pPr>
              <w:tabs>
                <w:tab w:val="left" w:pos="1260"/>
              </w:tabs>
              <w:spacing w:before="156" w:after="156"/>
              <w:ind w:left="420" w:right="315"/>
              <w:jc w:val="center"/>
              <w:rPr>
                <w:color w:val="000000"/>
                <w:szCs w:val="21"/>
                <w:lang w:val="en-GB"/>
              </w:rPr>
            </w:pPr>
          </w:p>
        </w:tc>
        <w:tc>
          <w:tcPr>
            <w:tcW w:w="1120" w:type="dxa"/>
            <w:vMerge w:val="continue"/>
            <w:vAlign w:val="center"/>
          </w:tcPr>
          <w:p>
            <w:pPr>
              <w:tabs>
                <w:tab w:val="left" w:pos="1260"/>
              </w:tabs>
              <w:spacing w:before="156" w:after="156"/>
              <w:ind w:left="420" w:right="315"/>
              <w:jc w:val="center"/>
              <w:rPr>
                <w:color w:val="000000"/>
                <w:szCs w:val="21"/>
                <w:lang w:val="en-GB"/>
              </w:rPr>
            </w:pPr>
          </w:p>
        </w:tc>
        <w:tc>
          <w:tcPr>
            <w:tcW w:w="1190" w:type="dxa"/>
            <w:vMerge w:val="continue"/>
            <w:vAlign w:val="center"/>
          </w:tcPr>
          <w:p>
            <w:pPr>
              <w:tabs>
                <w:tab w:val="left" w:pos="1260"/>
              </w:tabs>
              <w:spacing w:before="156" w:after="156"/>
              <w:ind w:left="420" w:right="315"/>
              <w:jc w:val="center"/>
              <w:rPr>
                <w:color w:val="000000"/>
                <w:szCs w:val="21"/>
                <w:lang w:val="en-GB"/>
              </w:rPr>
            </w:pPr>
          </w:p>
        </w:tc>
        <w:tc>
          <w:tcPr>
            <w:tcW w:w="1766" w:type="dxa"/>
            <w:vAlign w:val="center"/>
          </w:tcPr>
          <w:p>
            <w:pPr>
              <w:tabs>
                <w:tab w:val="left" w:pos="1260"/>
              </w:tabs>
              <w:spacing w:before="156" w:after="156"/>
              <w:ind w:left="420" w:right="315"/>
              <w:jc w:val="center"/>
              <w:rPr>
                <w:color w:val="000000"/>
                <w:szCs w:val="21"/>
                <w:lang w:val="en-GB"/>
              </w:rPr>
            </w:pPr>
          </w:p>
        </w:tc>
        <w:tc>
          <w:tcPr>
            <w:tcW w:w="1163" w:type="dxa"/>
            <w:vAlign w:val="center"/>
          </w:tcPr>
          <w:p>
            <w:pPr>
              <w:tabs>
                <w:tab w:val="left" w:pos="1260"/>
              </w:tabs>
              <w:spacing w:before="156" w:after="156"/>
              <w:ind w:left="420" w:right="315"/>
              <w:jc w:val="center"/>
              <w:rPr>
                <w:color w:val="000000"/>
                <w:szCs w:val="21"/>
                <w:lang w:val="en-GB"/>
              </w:rPr>
            </w:pPr>
          </w:p>
        </w:tc>
        <w:tc>
          <w:tcPr>
            <w:tcW w:w="1889" w:type="dxa"/>
            <w:vAlign w:val="center"/>
          </w:tcPr>
          <w:p>
            <w:pPr>
              <w:tabs>
                <w:tab w:val="left" w:pos="1260"/>
              </w:tabs>
              <w:spacing w:before="156" w:after="156"/>
              <w:ind w:left="420" w:right="315"/>
              <w:jc w:val="center"/>
              <w:rPr>
                <w:color w:val="000000"/>
                <w:szCs w:val="21"/>
                <w:lang w:val="en-GB"/>
              </w:rPr>
            </w:pPr>
          </w:p>
        </w:tc>
      </w:tr>
      <w:bookmarkEnd w:id="73"/>
    </w:tbl>
    <w:p>
      <w:pPr>
        <w:pStyle w:val="24"/>
        <w:spacing w:line="360" w:lineRule="auto"/>
        <w:ind w:firstLine="480" w:firstLineChars="200"/>
        <w:rPr>
          <w:color w:val="000000"/>
          <w:kern w:val="0"/>
          <w:sz w:val="24"/>
        </w:rPr>
      </w:pPr>
    </w:p>
    <w:p>
      <w:pPr>
        <w:pStyle w:val="24"/>
        <w:spacing w:line="360" w:lineRule="auto"/>
        <w:ind w:firstLine="480" w:firstLineChars="200"/>
        <w:rPr>
          <w:color w:val="000000"/>
          <w:kern w:val="0"/>
          <w:sz w:val="24"/>
        </w:rPr>
      </w:pPr>
    </w:p>
    <w:p>
      <w:pPr>
        <w:spacing w:line="460" w:lineRule="exact"/>
        <w:jc w:val="center"/>
        <w:rPr>
          <w:b/>
          <w:sz w:val="30"/>
          <w:szCs w:val="30"/>
        </w:rPr>
      </w:pPr>
    </w:p>
    <w:p>
      <w:pPr>
        <w:spacing w:line="460" w:lineRule="exact"/>
        <w:jc w:val="center"/>
        <w:rPr>
          <w:b/>
          <w:sz w:val="30"/>
          <w:szCs w:val="30"/>
        </w:rPr>
      </w:pPr>
    </w:p>
    <w:p>
      <w:pPr>
        <w:spacing w:line="460" w:lineRule="exact"/>
        <w:jc w:val="center"/>
        <w:rPr>
          <w:b/>
          <w:sz w:val="30"/>
          <w:szCs w:val="30"/>
        </w:rPr>
      </w:pPr>
      <w:r>
        <w:rPr>
          <w:b/>
          <w:sz w:val="30"/>
          <w:szCs w:val="30"/>
        </w:rPr>
        <w:br w:type="page"/>
      </w:r>
      <w:bookmarkEnd w:id="69"/>
      <w:bookmarkStart w:id="74" w:name="_Toc497683392"/>
      <w:bookmarkStart w:id="75" w:name="_Toc437077356"/>
      <w:r>
        <w:rPr>
          <w:b/>
          <w:sz w:val="30"/>
          <w:szCs w:val="30"/>
        </w:rPr>
        <w:t>十一、企业简介</w:t>
      </w:r>
    </w:p>
    <w:tbl>
      <w:tblPr>
        <w:tblStyle w:val="16"/>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t>供应商名称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pPr>
            <w: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t>其他人员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1728"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pPr>
            <w:r>
              <w:t>经营范围</w:t>
            </w:r>
          </w:p>
        </w:tc>
        <w:tc>
          <w:tcPr>
            <w:tcW w:w="6840" w:type="dxa"/>
            <w:gridSpan w:val="9"/>
            <w:tcBorders>
              <w:top w:val="single" w:color="auto" w:sz="4" w:space="0"/>
              <w:left w:val="single" w:color="auto" w:sz="4" w:space="0"/>
              <w:right w:val="single" w:color="auto" w:sz="4" w:space="0"/>
            </w:tcBorders>
            <w:vAlign w:val="center"/>
          </w:tcPr>
          <w:p>
            <w:pPr>
              <w:topLinePunct/>
              <w:spacing w:line="440" w:lineRule="exact"/>
              <w:jc w:val="center"/>
            </w:pPr>
          </w:p>
          <w:p>
            <w:pPr>
              <w:topLinePunct/>
              <w:spacing w:line="440" w:lineRule="exact"/>
              <w:jc w:val="center"/>
            </w:pPr>
          </w:p>
          <w:p>
            <w:pPr>
              <w:topLinePunct/>
              <w:spacing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pPr>
            <w:r>
              <w:t>后附企业简介</w:t>
            </w:r>
          </w:p>
        </w:tc>
      </w:tr>
    </w:tbl>
    <w:p>
      <w:pPr>
        <w:spacing w:line="360" w:lineRule="auto"/>
        <w:jc w:val="center"/>
        <w:rPr>
          <w:b/>
          <w:sz w:val="30"/>
          <w:szCs w:val="30"/>
        </w:rPr>
      </w:pPr>
    </w:p>
    <w:p>
      <w:pPr>
        <w:spacing w:line="360" w:lineRule="auto"/>
        <w:jc w:val="center"/>
        <w:rPr>
          <w:b/>
          <w:sz w:val="30"/>
          <w:szCs w:val="30"/>
        </w:rPr>
      </w:pPr>
    </w:p>
    <w:p>
      <w:pPr>
        <w:spacing w:line="460" w:lineRule="exact"/>
        <w:jc w:val="center"/>
        <w:rPr>
          <w:b/>
          <w:sz w:val="30"/>
          <w:szCs w:val="30"/>
        </w:rPr>
      </w:pPr>
      <w:r>
        <w:rPr>
          <w:b/>
          <w:sz w:val="30"/>
          <w:szCs w:val="30"/>
        </w:rPr>
        <w:br w:type="page"/>
      </w:r>
      <w:r>
        <w:rPr>
          <w:b/>
          <w:sz w:val="30"/>
          <w:szCs w:val="30"/>
        </w:rPr>
        <w:t>十二、其他材料</w:t>
      </w:r>
      <w:bookmarkEnd w:id="70"/>
      <w:bookmarkEnd w:id="71"/>
      <w:bookmarkEnd w:id="72"/>
      <w:bookmarkEnd w:id="74"/>
      <w:bookmarkEnd w:id="75"/>
    </w:p>
    <w:p>
      <w:pPr>
        <w:spacing w:line="360" w:lineRule="auto"/>
        <w:jc w:val="center"/>
        <w:rPr>
          <w:b/>
          <w:sz w:val="30"/>
          <w:szCs w:val="30"/>
        </w:rPr>
      </w:pPr>
    </w:p>
    <w:p/>
    <w:sectPr>
      <w:pgSz w:w="11906" w:h="16838"/>
      <w:pgMar w:top="1247" w:right="1418" w:bottom="1247" w:left="1701"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汉鼎简楷体">
    <w:altName w:val="黑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微软雅黑 ! important">
    <w:altName w:val="黑体"/>
    <w:panose1 w:val="00000000000000000000"/>
    <w:charset w:val="00"/>
    <w:family w:val="auto"/>
    <w:pitch w:val="default"/>
    <w:sig w:usb0="00000000" w:usb1="00000000" w:usb2="00000000" w:usb3="00000000" w:csb0="00040001"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9"/>
      </w:rPr>
    </w:pPr>
    <w:r>
      <w:fldChar w:fldCharType="begin"/>
    </w:r>
    <w:r>
      <w:rPr>
        <w:rStyle w:val="19"/>
      </w:rPr>
      <w:instrText xml:space="preserve">PAGE  </w:instrText>
    </w:r>
    <w:r>
      <w:fldChar w:fldCharType="separate"/>
    </w:r>
    <w:r>
      <w:rPr>
        <w:rStyle w:val="19"/>
      </w:rPr>
      <w:t>11</w:t>
    </w:r>
    <w:r>
      <w:fldChar w:fldCharType="end"/>
    </w:r>
  </w:p>
  <w:p>
    <w:pPr>
      <w:pStyle w:val="10"/>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9"/>
      </w:rPr>
    </w:pPr>
    <w:r>
      <w:fldChar w:fldCharType="begin"/>
    </w:r>
    <w:r>
      <w:rPr>
        <w:rStyle w:val="19"/>
      </w:rPr>
      <w:instrText xml:space="preserve">PAGE  </w:instrText>
    </w:r>
    <w:r>
      <w:fldChar w:fldCharType="separate"/>
    </w:r>
    <w:r>
      <w:rPr>
        <w:rStyle w:val="19"/>
      </w:rPr>
      <w:t>14</w:t>
    </w:r>
    <w:r>
      <w:fldChar w:fldCharType="end"/>
    </w:r>
  </w:p>
  <w:p>
    <w:pPr>
      <w:pStyle w:val="10"/>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9"/>
      </w:rPr>
    </w:pPr>
    <w:r>
      <w:fldChar w:fldCharType="begin"/>
    </w:r>
    <w:r>
      <w:rPr>
        <w:rStyle w:val="19"/>
      </w:rPr>
      <w:instrText xml:space="preserve">PAGE  </w:instrText>
    </w:r>
    <w:r>
      <w:fldChar w:fldCharType="separate"/>
    </w:r>
    <w:r>
      <w:rPr>
        <w:rStyle w:val="19"/>
      </w:rPr>
      <w:t>29</w:t>
    </w:r>
    <w:r>
      <w:fldChar w:fldCharType="end"/>
    </w:r>
  </w:p>
  <w:p>
    <w:pPr>
      <w:pStyle w:val="10"/>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t>河南省公共资源交易中心集中采购文件</w:t>
    </w:r>
    <w:r>
      <w:rPr>
        <w:rFonts w:hint="eastAsia"/>
        <w:lang w:val="en-US" w:eastAsia="zh-CN"/>
      </w:rPr>
      <w:t xml:space="preserve">                                      </w:t>
    </w:r>
    <w:r>
      <w:rPr>
        <w:rFonts w:hint="eastAsia"/>
      </w:rPr>
      <w:t xml:space="preserve">豫财磋商采购-2020-481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t>河南省公共资源交易中心集中采购文件</w:t>
    </w:r>
    <w:r>
      <w:rPr>
        <w:rFonts w:hint="eastAsia"/>
      </w:rPr>
      <w:t xml:space="preserve">豫财磋商采购-2020-481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t>河南省公共资源交易中心集中采购文件</w:t>
    </w:r>
    <w:r>
      <w:rPr>
        <w:rFonts w:hint="eastAsia"/>
        <w:lang w:val="en-US" w:eastAsia="zh-CN"/>
      </w:rPr>
      <w:t xml:space="preserve">                                 </w:t>
    </w:r>
    <w:r>
      <w:rPr>
        <w:rFonts w:hint="eastAsia"/>
      </w:rPr>
      <w:t xml:space="preserve">豫财磋商采购-2020-481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54979"/>
    <w:multiLevelType w:val="multilevel"/>
    <w:tmpl w:val="0E754979"/>
    <w:lvl w:ilvl="0" w:tentative="0">
      <w:start w:val="1"/>
      <w:numFmt w:val="decimal"/>
      <w:lvlText w:val="%1."/>
      <w:lvlJc w:val="left"/>
      <w:pPr>
        <w:tabs>
          <w:tab w:val="left" w:pos="435"/>
        </w:tabs>
        <w:ind w:left="435" w:hanging="435"/>
      </w:pPr>
      <w:rPr>
        <w:rFonts w:hint="default"/>
      </w:rPr>
    </w:lvl>
    <w:lvl w:ilvl="1" w:tentative="0">
      <w:start w:val="1"/>
      <w:numFmt w:val="decimal"/>
      <w:isLgl/>
      <w:lvlText w:val="%1.%2"/>
      <w:lvlJc w:val="left"/>
      <w:pPr>
        <w:tabs>
          <w:tab w:val="left" w:pos="360"/>
        </w:tabs>
        <w:ind w:left="360" w:hanging="360"/>
      </w:pPr>
      <w:rPr>
        <w:rFonts w:hint="eastAsia"/>
      </w:rPr>
    </w:lvl>
    <w:lvl w:ilvl="2" w:tentative="0">
      <w:start w:val="1"/>
      <w:numFmt w:val="decimal"/>
      <w:isLgl/>
      <w:lvlText w:val="%1.%2.%3"/>
      <w:lvlJc w:val="left"/>
      <w:pPr>
        <w:tabs>
          <w:tab w:val="left" w:pos="720"/>
        </w:tabs>
        <w:ind w:left="720" w:hanging="720"/>
      </w:pPr>
      <w:rPr>
        <w:rFonts w:hint="eastAsia"/>
      </w:rPr>
    </w:lvl>
    <w:lvl w:ilvl="3" w:tentative="0">
      <w:start w:val="1"/>
      <w:numFmt w:val="decimal"/>
      <w:isLgl/>
      <w:lvlText w:val="%1.%2.%3.%4"/>
      <w:lvlJc w:val="left"/>
      <w:pPr>
        <w:tabs>
          <w:tab w:val="left" w:pos="1080"/>
        </w:tabs>
        <w:ind w:left="1080" w:hanging="1080"/>
      </w:pPr>
      <w:rPr>
        <w:rFonts w:hint="eastAsia"/>
      </w:rPr>
    </w:lvl>
    <w:lvl w:ilvl="4" w:tentative="0">
      <w:start w:val="1"/>
      <w:numFmt w:val="decimal"/>
      <w:isLgl/>
      <w:lvlText w:val="%1.%2.%3.%4.%5"/>
      <w:lvlJc w:val="left"/>
      <w:pPr>
        <w:tabs>
          <w:tab w:val="left" w:pos="1080"/>
        </w:tabs>
        <w:ind w:left="1080" w:hanging="1080"/>
      </w:pPr>
      <w:rPr>
        <w:rFonts w:hint="eastAsia"/>
      </w:rPr>
    </w:lvl>
    <w:lvl w:ilvl="5" w:tentative="0">
      <w:start w:val="1"/>
      <w:numFmt w:val="decimal"/>
      <w:isLgl/>
      <w:lvlText w:val="%1.%2.%3.%4.%5.%6"/>
      <w:lvlJc w:val="left"/>
      <w:pPr>
        <w:tabs>
          <w:tab w:val="left" w:pos="1440"/>
        </w:tabs>
        <w:ind w:left="1440" w:hanging="1440"/>
      </w:pPr>
      <w:rPr>
        <w:rFonts w:hint="eastAsia"/>
      </w:rPr>
    </w:lvl>
    <w:lvl w:ilvl="6" w:tentative="0">
      <w:start w:val="1"/>
      <w:numFmt w:val="decimal"/>
      <w:isLgl/>
      <w:lvlText w:val="%1.%2.%3.%4.%5.%6.%7"/>
      <w:lvlJc w:val="left"/>
      <w:pPr>
        <w:tabs>
          <w:tab w:val="left" w:pos="1440"/>
        </w:tabs>
        <w:ind w:left="1440" w:hanging="1440"/>
      </w:pPr>
      <w:rPr>
        <w:rFonts w:hint="eastAsia"/>
      </w:rPr>
    </w:lvl>
    <w:lvl w:ilvl="7" w:tentative="0">
      <w:start w:val="1"/>
      <w:numFmt w:val="decimal"/>
      <w:isLgl/>
      <w:lvlText w:val="%1.%2.%3.%4.%5.%6.%7.%8"/>
      <w:lvlJc w:val="left"/>
      <w:pPr>
        <w:tabs>
          <w:tab w:val="left" w:pos="1800"/>
        </w:tabs>
        <w:ind w:left="1800" w:hanging="1800"/>
      </w:pPr>
      <w:rPr>
        <w:rFonts w:hint="eastAsia"/>
      </w:rPr>
    </w:lvl>
    <w:lvl w:ilvl="8" w:tentative="0">
      <w:start w:val="1"/>
      <w:numFmt w:val="decimal"/>
      <w:isLgl/>
      <w:lvlText w:val="%1.%2.%3.%4.%5.%6.%7.%8.%9"/>
      <w:lvlJc w:val="left"/>
      <w:pPr>
        <w:tabs>
          <w:tab w:val="left" w:pos="1800"/>
        </w:tabs>
        <w:ind w:left="1800" w:hanging="1800"/>
      </w:pPr>
      <w:rPr>
        <w:rFonts w:hint="eastAsia"/>
      </w:rPr>
    </w:lvl>
  </w:abstractNum>
  <w:abstractNum w:abstractNumId="1">
    <w:nsid w:val="22AC583B"/>
    <w:multiLevelType w:val="multilevel"/>
    <w:tmpl w:val="22AC583B"/>
    <w:lvl w:ilvl="0" w:tentative="0">
      <w:start w:val="3"/>
      <w:numFmt w:val="decimal"/>
      <w:lvlText w:val="%1"/>
      <w:lvlJc w:val="left"/>
      <w:pPr>
        <w:tabs>
          <w:tab w:val="left" w:pos="360"/>
        </w:tabs>
        <w:ind w:left="360" w:hanging="360"/>
      </w:pPr>
      <w:rPr>
        <w:rFonts w:hint="eastAsia" w:hAnsi="宋体"/>
        <w:b/>
        <w:bCs/>
      </w:rPr>
    </w:lvl>
    <w:lvl w:ilvl="1" w:tentative="0">
      <w:start w:val="1"/>
      <w:numFmt w:val="decimal"/>
      <w:lvlText w:val="%1.%2"/>
      <w:lvlJc w:val="left"/>
      <w:pPr>
        <w:tabs>
          <w:tab w:val="left" w:pos="360"/>
        </w:tabs>
        <w:ind w:left="360" w:hanging="360"/>
      </w:pPr>
      <w:rPr>
        <w:rFonts w:hint="eastAsia" w:hAnsi="宋体"/>
        <w:b w:val="0"/>
        <w:bCs w:val="0"/>
      </w:rPr>
    </w:lvl>
    <w:lvl w:ilvl="2" w:tentative="0">
      <w:start w:val="1"/>
      <w:numFmt w:val="decimal"/>
      <w:lvlText w:val="%1.%2.%3"/>
      <w:lvlJc w:val="left"/>
      <w:pPr>
        <w:tabs>
          <w:tab w:val="left" w:pos="720"/>
        </w:tabs>
        <w:ind w:left="720" w:hanging="720"/>
      </w:pPr>
      <w:rPr>
        <w:rFonts w:hint="eastAsia" w:hAnsi="宋体"/>
      </w:rPr>
    </w:lvl>
    <w:lvl w:ilvl="3" w:tentative="0">
      <w:start w:val="1"/>
      <w:numFmt w:val="decimal"/>
      <w:lvlText w:val="%1.%2.%3.%4"/>
      <w:lvlJc w:val="left"/>
      <w:pPr>
        <w:tabs>
          <w:tab w:val="left" w:pos="1080"/>
        </w:tabs>
        <w:ind w:left="1080" w:hanging="1080"/>
      </w:pPr>
      <w:rPr>
        <w:rFonts w:hint="eastAsia" w:hAnsi="宋体"/>
      </w:rPr>
    </w:lvl>
    <w:lvl w:ilvl="4" w:tentative="0">
      <w:start w:val="1"/>
      <w:numFmt w:val="decimal"/>
      <w:lvlText w:val="%1.%2.%3.%4.%5"/>
      <w:lvlJc w:val="left"/>
      <w:pPr>
        <w:tabs>
          <w:tab w:val="left" w:pos="1080"/>
        </w:tabs>
        <w:ind w:left="1080" w:hanging="1080"/>
      </w:pPr>
      <w:rPr>
        <w:rFonts w:hint="eastAsia" w:hAnsi="宋体"/>
      </w:rPr>
    </w:lvl>
    <w:lvl w:ilvl="5" w:tentative="0">
      <w:start w:val="1"/>
      <w:numFmt w:val="decimal"/>
      <w:lvlText w:val="%1.%2.%3.%4.%5.%6"/>
      <w:lvlJc w:val="left"/>
      <w:pPr>
        <w:tabs>
          <w:tab w:val="left" w:pos="1440"/>
        </w:tabs>
        <w:ind w:left="1440" w:hanging="1440"/>
      </w:pPr>
      <w:rPr>
        <w:rFonts w:hint="eastAsia" w:hAnsi="宋体"/>
      </w:rPr>
    </w:lvl>
    <w:lvl w:ilvl="6" w:tentative="0">
      <w:start w:val="1"/>
      <w:numFmt w:val="decimal"/>
      <w:lvlText w:val="%1.%2.%3.%4.%5.%6.%7"/>
      <w:lvlJc w:val="left"/>
      <w:pPr>
        <w:tabs>
          <w:tab w:val="left" w:pos="1800"/>
        </w:tabs>
        <w:ind w:left="1800" w:hanging="1800"/>
      </w:pPr>
      <w:rPr>
        <w:rFonts w:hint="eastAsia" w:hAnsi="宋体"/>
      </w:rPr>
    </w:lvl>
    <w:lvl w:ilvl="7" w:tentative="0">
      <w:start w:val="1"/>
      <w:numFmt w:val="decimal"/>
      <w:lvlText w:val="%1.%2.%3.%4.%5.%6.%7.%8"/>
      <w:lvlJc w:val="left"/>
      <w:pPr>
        <w:tabs>
          <w:tab w:val="left" w:pos="1800"/>
        </w:tabs>
        <w:ind w:left="1800" w:hanging="1800"/>
      </w:pPr>
      <w:rPr>
        <w:rFonts w:hint="eastAsia" w:hAnsi="宋体"/>
      </w:rPr>
    </w:lvl>
    <w:lvl w:ilvl="8" w:tentative="0">
      <w:start w:val="1"/>
      <w:numFmt w:val="decimal"/>
      <w:lvlText w:val="%1.%2.%3.%4.%5.%6.%7.%8.%9"/>
      <w:lvlJc w:val="left"/>
      <w:pPr>
        <w:tabs>
          <w:tab w:val="left" w:pos="2160"/>
        </w:tabs>
        <w:ind w:left="2160" w:hanging="2160"/>
      </w:pPr>
      <w:rPr>
        <w:rFonts w:hint="eastAsia" w:hAnsi="宋体"/>
      </w:rPr>
    </w:lvl>
  </w:abstractNum>
  <w:abstractNum w:abstractNumId="2">
    <w:nsid w:val="55F85705"/>
    <w:multiLevelType w:val="multilevel"/>
    <w:tmpl w:val="55F8570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69D7F90"/>
    <w:multiLevelType w:val="multilevel"/>
    <w:tmpl w:val="569D7F9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7941581"/>
    <w:multiLevelType w:val="singleLevel"/>
    <w:tmpl w:val="57941581"/>
    <w:lvl w:ilvl="0" w:tentative="0">
      <w:start w:val="1"/>
      <w:numFmt w:val="chineseCountingThousand"/>
      <w:lvlText w:val="%1、"/>
      <w:lvlJc w:val="left"/>
      <w:pPr>
        <w:ind w:left="420" w:hanging="420"/>
      </w:pPr>
      <w:rPr>
        <w:rFonts w:hint="eastAsia"/>
      </w:rPr>
    </w:lvl>
  </w:abstractNum>
  <w:abstractNum w:abstractNumId="5">
    <w:nsid w:val="5FD65D4C"/>
    <w:multiLevelType w:val="multilevel"/>
    <w:tmpl w:val="5FD65D4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E6F60EF"/>
    <w:multiLevelType w:val="multilevel"/>
    <w:tmpl w:val="6E6F60EF"/>
    <w:lvl w:ilvl="0" w:tentative="0">
      <w:start w:val="1"/>
      <w:numFmt w:val="chineseCountingThousand"/>
      <w:lvlText w:val="%1、"/>
      <w:lvlJc w:val="left"/>
      <w:pPr>
        <w:ind w:left="425" w:hanging="425"/>
      </w:pPr>
      <w:rPr>
        <w:rFonts w:hint="eastAsia"/>
        <w:sz w:val="24"/>
        <w:szCs w:val="24"/>
      </w:rPr>
    </w:lvl>
    <w:lvl w:ilvl="1" w:tentative="0">
      <w:start w:val="1"/>
      <w:numFmt w:val="chineseCountingThousand"/>
      <w:lvlText w:val="（%2）"/>
      <w:lvlJc w:val="left"/>
      <w:pPr>
        <w:ind w:left="992" w:hanging="567"/>
      </w:pPr>
      <w:rPr>
        <w:rFonts w:hint="eastAsia" w:ascii="宋体" w:hAnsi="宋体" w:eastAsia="宋体"/>
        <w:sz w:val="24"/>
        <w:szCs w:val="24"/>
      </w:rPr>
    </w:lvl>
    <w:lvl w:ilvl="2" w:tentative="0">
      <w:start w:val="1"/>
      <w:numFmt w:val="decimal"/>
      <w:lvlText w:val="%3."/>
      <w:lvlJc w:val="left"/>
      <w:pPr>
        <w:ind w:left="1418"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6E6F60F1"/>
    <w:multiLevelType w:val="multilevel"/>
    <w:tmpl w:val="6E6F60F1"/>
    <w:lvl w:ilvl="0" w:tentative="0">
      <w:start w:val="1"/>
      <w:numFmt w:val="chineseCountingThousand"/>
      <w:lvlText w:val="%1、"/>
      <w:lvlJc w:val="left"/>
      <w:pPr>
        <w:ind w:left="425" w:hanging="425"/>
      </w:pPr>
      <w:rPr>
        <w:rFonts w:hint="eastAsia"/>
        <w:sz w:val="24"/>
        <w:szCs w:val="24"/>
      </w:rPr>
    </w:lvl>
    <w:lvl w:ilvl="1" w:tentative="0">
      <w:start w:val="1"/>
      <w:numFmt w:val="chineseCountingThousand"/>
      <w:lvlText w:val="（%2）"/>
      <w:lvlJc w:val="left"/>
      <w:pPr>
        <w:ind w:left="992" w:hanging="567"/>
      </w:pPr>
      <w:rPr>
        <w:rFonts w:hint="eastAsia" w:ascii="仿宋_GB2312" w:eastAsia="仿宋_GB2312"/>
        <w:sz w:val="24"/>
        <w:szCs w:val="24"/>
        <w:lang w:val="en-US"/>
      </w:rPr>
    </w:lvl>
    <w:lvl w:ilvl="2" w:tentative="0">
      <w:start w:val="1"/>
      <w:numFmt w:val="decimal"/>
      <w:lvlText w:val="%3."/>
      <w:lvlJc w:val="left"/>
      <w:pPr>
        <w:ind w:left="1418"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4"/>
  </w:num>
  <w:num w:numId="2">
    <w:abstractNumId w:val="0"/>
  </w:num>
  <w:num w:numId="3">
    <w:abstractNumId w:val="1"/>
  </w:num>
  <w:num w:numId="4">
    <w:abstractNumId w:val="6"/>
  </w:num>
  <w:num w:numId="5">
    <w:abstractNumId w:val="7"/>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F313BD"/>
    <w:rsid w:val="71B31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widowControl/>
      <w:tabs>
        <w:tab w:val="left" w:pos="432"/>
      </w:tabs>
      <w:ind w:left="432" w:hanging="432"/>
      <w:jc w:val="center"/>
      <w:outlineLvl w:val="0"/>
    </w:pPr>
    <w:rPr>
      <w:rFonts w:ascii="黑体" w:eastAsia="黑体"/>
      <w:sz w:val="52"/>
      <w:szCs w:val="24"/>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黑体"/>
      <w:b/>
      <w:kern w:val="0"/>
      <w:sz w:val="44"/>
      <w:szCs w:val="20"/>
    </w:rPr>
  </w:style>
  <w:style w:type="paragraph" w:styleId="5">
    <w:name w:val="heading 3"/>
    <w:basedOn w:val="1"/>
    <w:next w:val="6"/>
    <w:qFormat/>
    <w:uiPriority w:val="0"/>
    <w:pPr>
      <w:keepNext/>
      <w:keepLines/>
      <w:widowControl/>
      <w:tabs>
        <w:tab w:val="left" w:pos="720"/>
      </w:tabs>
      <w:spacing w:before="120" w:after="120" w:line="360" w:lineRule="auto"/>
      <w:ind w:left="720" w:hanging="720"/>
      <w:jc w:val="center"/>
      <w:outlineLvl w:val="2"/>
    </w:pPr>
    <w:rPr>
      <w:b/>
      <w:kern w:val="0"/>
      <w:sz w:val="32"/>
      <w:szCs w:val="20"/>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80" w:leftChars="500" w:hanging="1080" w:hangingChars="500"/>
    </w:pPr>
    <w:rPr>
      <w:rFonts w:ascii="Arial" w:hAnsi="Arial" w:eastAsia="仿宋_GB2312"/>
      <w:kern w:val="0"/>
      <w:sz w:val="24"/>
      <w:szCs w:val="24"/>
    </w:rPr>
  </w:style>
  <w:style w:type="paragraph" w:styleId="6">
    <w:name w:val="Normal Indent"/>
    <w:basedOn w:val="1"/>
    <w:qFormat/>
    <w:uiPriority w:val="0"/>
    <w:pPr>
      <w:ind w:firstLine="420" w:firstLineChars="200"/>
    </w:pPr>
    <w:rPr>
      <w:kern w:val="0"/>
      <w:sz w:val="20"/>
      <w:szCs w:val="20"/>
    </w:rPr>
  </w:style>
  <w:style w:type="paragraph" w:styleId="7">
    <w:name w:val="Body Text"/>
    <w:basedOn w:val="1"/>
    <w:qFormat/>
    <w:uiPriority w:val="0"/>
    <w:pPr>
      <w:spacing w:line="460" w:lineRule="exact"/>
    </w:pPr>
    <w:rPr>
      <w:rFonts w:ascii="汉鼎简楷体" w:hAnsi="宋体" w:eastAsia="汉鼎简楷体"/>
      <w:b/>
      <w:bCs/>
      <w:spacing w:val="4"/>
      <w:kern w:val="0"/>
      <w:sz w:val="24"/>
      <w:szCs w:val="20"/>
    </w:rPr>
  </w:style>
  <w:style w:type="paragraph" w:styleId="8">
    <w:name w:val="Plain Text"/>
    <w:basedOn w:val="1"/>
    <w:qFormat/>
    <w:uiPriority w:val="0"/>
    <w:rPr>
      <w:rFonts w:ascii="宋体" w:hAnsi="Courier New"/>
      <w:kern w:val="0"/>
      <w:sz w:val="20"/>
      <w:szCs w:val="20"/>
    </w:rPr>
  </w:style>
  <w:style w:type="paragraph" w:styleId="9">
    <w:name w:val="Body Text Indent 2"/>
    <w:basedOn w:val="1"/>
    <w:qFormat/>
    <w:uiPriority w:val="99"/>
    <w:pPr>
      <w:ind w:left="2100" w:leftChars="1000"/>
    </w:pPr>
    <w:rPr>
      <w:rFonts w:ascii="宋体" w:hAnsi="宋体"/>
      <w:kern w:val="0"/>
      <w:sz w:val="24"/>
      <w:szCs w:val="24"/>
    </w:rPr>
  </w:style>
  <w:style w:type="paragraph" w:styleId="10">
    <w:name w:val="footer"/>
    <w:basedOn w:val="1"/>
    <w:qFormat/>
    <w:uiPriority w:val="99"/>
    <w:pPr>
      <w:tabs>
        <w:tab w:val="center" w:pos="4153"/>
        <w:tab w:val="right" w:pos="8306"/>
      </w:tabs>
      <w:snapToGrid w:val="0"/>
      <w:jc w:val="left"/>
    </w:pPr>
    <w:rPr>
      <w:kern w:val="0"/>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qFormat/>
    <w:uiPriority w:val="39"/>
    <w:pPr>
      <w:tabs>
        <w:tab w:val="right" w:leader="dot" w:pos="8777"/>
      </w:tabs>
    </w:pPr>
    <w:rPr>
      <w:rFonts w:ascii="宋体" w:hAnsi="宋体"/>
      <w:b/>
      <w:kern w:val="44"/>
      <w:sz w:val="24"/>
      <w:szCs w:val="24"/>
    </w:rPr>
  </w:style>
  <w:style w:type="paragraph" w:styleId="13">
    <w:name w:val="List 5"/>
    <w:basedOn w:val="1"/>
    <w:qFormat/>
    <w:uiPriority w:val="0"/>
    <w:pPr>
      <w:ind w:left="2100" w:hanging="420"/>
    </w:pPr>
    <w:rPr>
      <w:rFonts w:eastAsia="楷体_GB2312"/>
      <w:sz w:val="32"/>
      <w:szCs w:val="20"/>
    </w:rPr>
  </w:style>
  <w:style w:type="paragraph" w:styleId="14">
    <w:name w:val="Normal (Web)"/>
    <w:basedOn w:val="1"/>
    <w:qFormat/>
    <w:uiPriority w:val="0"/>
    <w:pPr>
      <w:spacing w:before="100" w:beforeAutospacing="1" w:after="100" w:afterAutospacing="1"/>
      <w:jc w:val="left"/>
    </w:pPr>
    <w:rPr>
      <w:kern w:val="0"/>
      <w:sz w:val="24"/>
      <w:szCs w:val="24"/>
    </w:rPr>
  </w:style>
  <w:style w:type="paragraph" w:styleId="15">
    <w:name w:val="Body Text First Indent"/>
    <w:basedOn w:val="7"/>
    <w:qFormat/>
    <w:uiPriority w:val="0"/>
    <w:pPr>
      <w:spacing w:after="120" w:line="360" w:lineRule="auto"/>
      <w:ind w:firstLine="420" w:firstLineChars="100"/>
    </w:pPr>
    <w:rPr>
      <w:rFonts w:ascii="Arial" w:hAnsi="Arial" w:eastAsia="宋体"/>
      <w:b w:val="0"/>
      <w:bCs w:val="0"/>
      <w:spacing w:val="0"/>
    </w:rPr>
  </w:style>
  <w:style w:type="table" w:styleId="17">
    <w:name w:val="Table Grid"/>
    <w:basedOn w:val="16"/>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qFormat/>
    <w:uiPriority w:val="0"/>
  </w:style>
  <w:style w:type="character" w:styleId="20">
    <w:name w:val="Hyperlink"/>
    <w:qFormat/>
    <w:uiPriority w:val="99"/>
    <w:rPr>
      <w:color w:val="333333"/>
      <w:u w:val="none"/>
    </w:rPr>
  </w:style>
  <w:style w:type="paragraph" w:customStyle="1" w:styleId="21">
    <w:name w:val="*正文"/>
    <w:basedOn w:val="1"/>
    <w:qFormat/>
    <w:uiPriority w:val="0"/>
    <w:pPr>
      <w:spacing w:line="360" w:lineRule="auto"/>
      <w:ind w:firstLine="200" w:firstLineChars="200"/>
    </w:pPr>
    <w:rPr>
      <w:rFonts w:ascii="宋体" w:hAnsi="宋体"/>
      <w:kern w:val="0"/>
      <w:sz w:val="22"/>
      <w:szCs w:val="24"/>
    </w:rPr>
  </w:style>
  <w:style w:type="paragraph" w:customStyle="1" w:styleId="22">
    <w:name w:val="列出段落1"/>
    <w:basedOn w:val="1"/>
    <w:qFormat/>
    <w:uiPriority w:val="34"/>
    <w:pPr>
      <w:spacing w:line="360" w:lineRule="auto"/>
      <w:ind w:firstLine="420" w:firstLineChars="200"/>
    </w:pPr>
    <w:rPr>
      <w:rFonts w:ascii="Arial" w:hAnsi="Arial" w:cs="宋体"/>
      <w:sz w:val="24"/>
      <w:szCs w:val="20"/>
    </w:rPr>
  </w:style>
  <w:style w:type="paragraph" w:customStyle="1" w:styleId="23">
    <w:name w:val="样式 标题 3 + (中文) 黑体 小四 非加粗 段前: 7.8 磅 段后: 0 磅 行距: 固定值 20 磅"/>
    <w:basedOn w:val="5"/>
    <w:qFormat/>
    <w:uiPriority w:val="0"/>
    <w:pPr>
      <w:widowControl w:val="0"/>
      <w:tabs>
        <w:tab w:val="clear" w:pos="720"/>
      </w:tabs>
      <w:spacing w:before="0" w:after="0" w:line="400" w:lineRule="exact"/>
      <w:ind w:left="0" w:firstLine="0"/>
      <w:jc w:val="both"/>
    </w:pPr>
    <w:rPr>
      <w:rFonts w:eastAsia="黑体"/>
      <w:b w:val="0"/>
      <w:kern w:val="2"/>
      <w:sz w:val="24"/>
    </w:rPr>
  </w:style>
  <w:style w:type="paragraph" w:customStyle="1" w:styleId="24">
    <w:name w:val="正文_5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41762</dc:creator>
  <cp:lastModifiedBy>采桑</cp:lastModifiedBy>
  <dcterms:modified xsi:type="dcterms:W3CDTF">2020-11-05T02:48:10Z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