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/>
          <w:sz w:val="36"/>
          <w:szCs w:val="36"/>
        </w:rPr>
      </w:pPr>
      <w:bookmarkStart w:id="0" w:name="_GoBack"/>
      <w:bookmarkEnd w:id="0"/>
    </w:p>
    <w:p>
      <w:pPr>
        <w:jc w:val="center"/>
        <w:rPr>
          <w:rFonts w:ascii="黑体" w:hAnsi="黑体" w:eastAsia="黑体"/>
          <w:sz w:val="36"/>
          <w:szCs w:val="36"/>
        </w:rPr>
      </w:pPr>
      <w:r>
        <w:rPr>
          <w:rFonts w:hint="eastAsia" w:ascii="黑体" w:hAnsi="黑体" w:eastAsia="黑体"/>
          <w:sz w:val="36"/>
          <w:szCs w:val="36"/>
        </w:rPr>
        <w:t>河南省电子化政府采购系统评审专家库升级操作说明</w:t>
      </w:r>
    </w:p>
    <w:p>
      <w:pPr>
        <w:jc w:val="center"/>
        <w:rPr>
          <w:rFonts w:ascii="黑体" w:hAnsi="黑体" w:eastAsia="黑体"/>
          <w:sz w:val="36"/>
          <w:szCs w:val="36"/>
        </w:rPr>
      </w:pPr>
    </w:p>
    <w:p>
      <w:pPr>
        <w:jc w:val="center"/>
        <w:rPr>
          <w:rFonts w:ascii="黑体" w:hAnsi="黑体" w:eastAsia="黑体"/>
          <w:sz w:val="36"/>
          <w:szCs w:val="36"/>
        </w:rPr>
      </w:pP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根据《河南省政府采购评审专家管理实施办法》（豫财购</w:t>
      </w:r>
      <w:r>
        <w:rPr>
          <w:rFonts w:hint="eastAsia" w:ascii="仿宋" w:hAnsi="仿宋" w:eastAsia="仿宋" w:cs="仿宋"/>
          <w:sz w:val="30"/>
          <w:szCs w:val="30"/>
        </w:rPr>
        <w:t>〔2023〕4号</w:t>
      </w:r>
      <w:r>
        <w:rPr>
          <w:rFonts w:hint="eastAsia" w:ascii="仿宋" w:hAnsi="仿宋" w:eastAsia="仿宋"/>
          <w:sz w:val="30"/>
          <w:szCs w:val="30"/>
        </w:rPr>
        <w:t>）要求，现对河南省电子化政府采购系统专家库做对应的业务调整。</w:t>
      </w:r>
    </w:p>
    <w:p>
      <w:pPr>
        <w:pStyle w:val="3"/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专家注册</w:t>
      </w:r>
    </w:p>
    <w:p>
      <w:pPr>
        <w:pStyle w:val="4"/>
      </w:pPr>
      <w:r>
        <w:rPr>
          <w:rFonts w:hint="eastAsia"/>
        </w:rPr>
        <w:t>1</w:t>
      </w:r>
      <w:r>
        <w:t>.1</w:t>
      </w:r>
      <w:r>
        <w:rPr>
          <w:rFonts w:hint="eastAsia"/>
        </w:rPr>
        <w:t>专家注册流程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（一）省级专家库入库流程</w:t>
      </w:r>
    </w:p>
    <w:p>
      <w:r>
        <w:drawing>
          <wp:inline distT="0" distB="0" distL="0" distR="0">
            <wp:extent cx="5613400" cy="4498975"/>
            <wp:effectExtent l="0" t="0" r="0" b="0"/>
            <wp:docPr id="18060095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009529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39893" cy="452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1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①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评审专家申请入库</w:t>
      </w:r>
      <w:r>
        <w:rPr>
          <w:rFonts w:ascii="仿宋" w:hAnsi="仿宋" w:eastAsia="仿宋"/>
          <w:sz w:val="30"/>
          <w:szCs w:val="30"/>
        </w:rPr>
        <w:t>--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2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②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监管单位初核-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3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③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监管单位复核-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4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④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复核时如满足资格要求但未上传培训证时-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5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⑤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退回专家上传培训证，专家处于待启用状态-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6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⑥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专家参加培训上传培训证之后复核岗审核通过-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7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⑦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监管单位终审-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8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⑧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专家启用入库。</w:t>
      </w:r>
    </w:p>
    <w:p>
      <w:pPr>
        <w:spacing w:line="360" w:lineRule="auto"/>
        <w:ind w:firstLine="602" w:firstLineChars="200"/>
        <w:rPr>
          <w:rFonts w:ascii="仿宋" w:hAnsi="仿宋" w:eastAsia="仿宋"/>
          <w:b/>
          <w:bCs/>
          <w:sz w:val="30"/>
          <w:szCs w:val="30"/>
        </w:rPr>
      </w:pPr>
      <w:r>
        <w:rPr>
          <w:rFonts w:hint="eastAsia" w:ascii="仿宋" w:hAnsi="仿宋" w:eastAsia="仿宋"/>
          <w:b/>
          <w:bCs/>
          <w:sz w:val="30"/>
          <w:szCs w:val="30"/>
        </w:rPr>
        <w:t>注意说明：</w:t>
      </w:r>
    </w:p>
    <w:p>
      <w:pPr>
        <w:spacing w:line="360" w:lineRule="auto"/>
        <w:ind w:firstLine="64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 w:cs="仿宋"/>
          <w:sz w:val="32"/>
          <w:szCs w:val="32"/>
        </w:rPr>
        <w:t>经审查符合条件的专家需提供培训合格证书，才能纳入评审专家库管理。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（二）市级专家库入库流程</w:t>
      </w:r>
    </w:p>
    <w:p>
      <w:r>
        <w:drawing>
          <wp:inline distT="0" distB="0" distL="0" distR="0">
            <wp:extent cx="5727700" cy="3811270"/>
            <wp:effectExtent l="0" t="0" r="0" b="0"/>
            <wp:docPr id="10361486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148689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81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1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①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评审专家申请入库</w:t>
      </w:r>
      <w:r>
        <w:rPr>
          <w:rFonts w:ascii="仿宋" w:hAnsi="仿宋" w:eastAsia="仿宋"/>
          <w:sz w:val="30"/>
          <w:szCs w:val="30"/>
        </w:rPr>
        <w:t>--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2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②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市级监管单位初核</w:t>
      </w:r>
      <w:r>
        <w:rPr>
          <w:rFonts w:ascii="仿宋" w:hAnsi="仿宋" w:eastAsia="仿宋"/>
          <w:sz w:val="30"/>
          <w:szCs w:val="30"/>
        </w:rPr>
        <w:t>--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3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③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市级监管单位复核-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4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④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复核时如满足资格要求但未上传培训证时-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5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⑤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退回专家上传培训证，专家处于待启用状态-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6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⑥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专家参加培训上传培训证之后市级复核通过-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7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⑦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省级监管单位初核-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8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⑧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省级监管单位复核-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9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⑨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专家启用入库。</w:t>
      </w:r>
    </w:p>
    <w:p>
      <w:pPr>
        <w:spacing w:line="360" w:lineRule="auto"/>
        <w:ind w:firstLine="602" w:firstLineChars="200"/>
        <w:rPr>
          <w:rFonts w:ascii="仿宋" w:hAnsi="仿宋" w:eastAsia="仿宋"/>
          <w:b/>
          <w:bCs/>
          <w:sz w:val="30"/>
          <w:szCs w:val="30"/>
        </w:rPr>
      </w:pPr>
      <w:r>
        <w:rPr>
          <w:rFonts w:hint="eastAsia" w:ascii="仿宋" w:hAnsi="仿宋" w:eastAsia="仿宋"/>
          <w:b/>
          <w:bCs/>
          <w:sz w:val="30"/>
          <w:szCs w:val="30"/>
        </w:rPr>
        <w:t>注意说明：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各市专家入库除需经本地监管单位审核之外，还需省级审核选聘，审核通过之后启用入库纳入评审专家管理。</w:t>
      </w:r>
    </w:p>
    <w:p>
      <w:pPr>
        <w:pStyle w:val="4"/>
      </w:pPr>
      <w:r>
        <w:rPr>
          <w:rFonts w:hint="eastAsia"/>
        </w:rPr>
        <w:t>1</w:t>
      </w:r>
      <w:r>
        <w:t>.2</w:t>
      </w:r>
      <w:r>
        <w:rPr>
          <w:rFonts w:hint="eastAsia"/>
        </w:rPr>
        <w:t>专家注册具体操作</w:t>
      </w:r>
    </w:p>
    <w:p>
      <w:pPr>
        <w:spacing w:line="360" w:lineRule="auto"/>
        <w:ind w:firstLine="602" w:firstLineChars="200"/>
        <w:rPr>
          <w:rFonts w:ascii="仿宋" w:hAnsi="仿宋" w:eastAsia="仿宋"/>
          <w:b/>
          <w:bCs/>
          <w:sz w:val="30"/>
          <w:szCs w:val="30"/>
        </w:rPr>
      </w:pPr>
      <w:r>
        <w:rPr>
          <w:rFonts w:hint="eastAsia" w:ascii="仿宋" w:hAnsi="仿宋" w:eastAsia="仿宋"/>
          <w:b/>
          <w:bCs/>
          <w:sz w:val="30"/>
          <w:szCs w:val="30"/>
        </w:rPr>
        <w:t>步骤一：访问河南省政府采购网进行信息填报。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专家访问河南省政府采购网（</w:t>
      </w:r>
      <w:r>
        <w:rPr>
          <w:rFonts w:ascii="仿宋" w:hAnsi="仿宋" w:eastAsia="仿宋"/>
          <w:sz w:val="30"/>
          <w:szCs w:val="30"/>
        </w:rPr>
        <w:t>https://zfcg.henan.gov.cn</w:t>
      </w:r>
      <w:r>
        <w:rPr>
          <w:rFonts w:hint="eastAsia" w:ascii="仿宋" w:hAnsi="仿宋" w:eastAsia="仿宋"/>
          <w:sz w:val="30"/>
          <w:szCs w:val="30"/>
        </w:rPr>
        <w:t>）在网站上的</w:t>
      </w:r>
      <w:r>
        <w:rPr>
          <w:rFonts w:ascii="仿宋" w:hAnsi="仿宋" w:eastAsia="仿宋"/>
          <w:sz w:val="30"/>
          <w:szCs w:val="30"/>
        </w:rPr>
        <w:t>[</w:t>
      </w:r>
      <w:r>
        <w:rPr>
          <w:rFonts w:hint="eastAsia" w:ascii="仿宋" w:hAnsi="仿宋" w:eastAsia="仿宋"/>
          <w:sz w:val="30"/>
          <w:szCs w:val="30"/>
        </w:rPr>
        <w:t>用户注册]选择</w:t>
      </w:r>
      <w:r>
        <w:rPr>
          <w:rFonts w:ascii="仿宋" w:hAnsi="仿宋" w:eastAsia="仿宋"/>
          <w:sz w:val="30"/>
          <w:szCs w:val="30"/>
        </w:rPr>
        <w:t>[</w:t>
      </w:r>
      <w:r>
        <w:rPr>
          <w:rFonts w:hint="eastAsia" w:ascii="仿宋" w:hAnsi="仿宋" w:eastAsia="仿宋"/>
          <w:sz w:val="30"/>
          <w:szCs w:val="30"/>
        </w:rPr>
        <w:t>评审专家注册</w:t>
      </w:r>
      <w:r>
        <w:rPr>
          <w:rFonts w:ascii="仿宋" w:hAnsi="仿宋" w:eastAsia="仿宋"/>
          <w:sz w:val="30"/>
          <w:szCs w:val="30"/>
        </w:rPr>
        <w:t>]</w:t>
      </w:r>
      <w:r>
        <w:rPr>
          <w:rFonts w:hint="eastAsia" w:ascii="仿宋" w:hAnsi="仿宋" w:eastAsia="仿宋"/>
          <w:sz w:val="30"/>
          <w:szCs w:val="30"/>
        </w:rPr>
        <w:t>，页面跳转专家注册页面（图2）在页面上选择</w:t>
      </w:r>
      <w:r>
        <w:rPr>
          <w:rFonts w:ascii="仿宋" w:hAnsi="仿宋" w:eastAsia="仿宋"/>
          <w:sz w:val="30"/>
          <w:szCs w:val="30"/>
        </w:rPr>
        <w:t>[</w:t>
      </w:r>
      <w:r>
        <w:rPr>
          <w:rFonts w:hint="eastAsia" w:ascii="仿宋" w:hAnsi="仿宋" w:eastAsia="仿宋"/>
          <w:sz w:val="30"/>
          <w:szCs w:val="30"/>
        </w:rPr>
        <w:t>评审专家</w:t>
      </w:r>
      <w:r>
        <w:rPr>
          <w:rFonts w:ascii="仿宋" w:hAnsi="仿宋" w:eastAsia="仿宋"/>
          <w:sz w:val="30"/>
          <w:szCs w:val="30"/>
        </w:rPr>
        <w:t>]</w:t>
      </w:r>
      <w:r>
        <w:rPr>
          <w:rFonts w:hint="eastAsia" w:ascii="仿宋" w:hAnsi="仿宋" w:eastAsia="仿宋"/>
          <w:sz w:val="30"/>
          <w:szCs w:val="30"/>
        </w:rPr>
        <w:t>，阅读专家须知内容点击</w:t>
      </w:r>
      <w:r>
        <w:rPr>
          <w:rFonts w:ascii="仿宋" w:hAnsi="仿宋" w:eastAsia="仿宋"/>
          <w:sz w:val="30"/>
          <w:szCs w:val="30"/>
        </w:rPr>
        <w:t>[</w:t>
      </w:r>
      <w:r>
        <w:rPr>
          <w:rFonts w:hint="eastAsia" w:ascii="仿宋" w:hAnsi="仿宋" w:eastAsia="仿宋"/>
          <w:sz w:val="30"/>
          <w:szCs w:val="30"/>
        </w:rPr>
        <w:t>同意</w:t>
      </w:r>
      <w:r>
        <w:rPr>
          <w:rFonts w:ascii="仿宋" w:hAnsi="仿宋" w:eastAsia="仿宋"/>
          <w:sz w:val="30"/>
          <w:szCs w:val="30"/>
        </w:rPr>
        <w:t>]</w:t>
      </w:r>
      <w:r>
        <w:rPr>
          <w:rFonts w:hint="eastAsia" w:ascii="仿宋" w:hAnsi="仿宋" w:eastAsia="仿宋"/>
          <w:sz w:val="30"/>
          <w:szCs w:val="30"/>
        </w:rPr>
        <w:t>后，下一步到专家信息填报环节。</w:t>
      </w:r>
    </w:p>
    <w:p>
      <w:pPr>
        <w:spacing w:line="360" w:lineRule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0" distR="0">
            <wp:extent cx="5727700" cy="3618865"/>
            <wp:effectExtent l="0" t="0" r="0" b="635"/>
            <wp:docPr id="6157302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730228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61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Theme="minorEastAsia" w:hAnsiTheme="minorEastAsia"/>
          <w:sz w:val="21"/>
          <w:szCs w:val="21"/>
        </w:rPr>
      </w:pPr>
      <w:r>
        <w:rPr>
          <w:rFonts w:hint="eastAsia" w:asciiTheme="minorEastAsia" w:hAnsiTheme="minorEastAsia"/>
          <w:sz w:val="21"/>
          <w:szCs w:val="21"/>
        </w:rPr>
        <w:t>（图1）</w:t>
      </w:r>
    </w:p>
    <w:p>
      <w:pPr>
        <w:spacing w:line="360" w:lineRule="auto"/>
        <w:jc w:val="center"/>
        <w:rPr>
          <w:rFonts w:asciiTheme="minorEastAsia" w:hAnsiTheme="minorEastAsia"/>
          <w:sz w:val="21"/>
          <w:szCs w:val="21"/>
        </w:rPr>
      </w:pPr>
      <w:r>
        <w:rPr>
          <w:rFonts w:asciiTheme="minorEastAsia" w:hAnsiTheme="minorEastAsia"/>
          <w:sz w:val="21"/>
          <w:szCs w:val="21"/>
        </w:rPr>
        <w:drawing>
          <wp:inline distT="0" distB="0" distL="0" distR="0">
            <wp:extent cx="5727700" cy="3001010"/>
            <wp:effectExtent l="0" t="0" r="0" b="0"/>
            <wp:docPr id="20212008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200866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00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Theme="minorEastAsia" w:hAnsiTheme="minorEastAsia"/>
          <w:sz w:val="21"/>
          <w:szCs w:val="21"/>
        </w:rPr>
      </w:pPr>
      <w:r>
        <w:rPr>
          <w:rFonts w:hint="eastAsia" w:asciiTheme="minorEastAsia" w:hAnsiTheme="minorEastAsia"/>
          <w:sz w:val="21"/>
          <w:szCs w:val="21"/>
        </w:rPr>
        <w:t>（图2）</w:t>
      </w:r>
    </w:p>
    <w:p>
      <w:pPr>
        <w:spacing w:line="360" w:lineRule="auto"/>
        <w:ind w:firstLine="602" w:firstLineChars="200"/>
        <w:rPr>
          <w:rFonts w:ascii="仿宋" w:hAnsi="仿宋" w:eastAsia="仿宋"/>
          <w:b/>
          <w:bCs/>
          <w:sz w:val="30"/>
          <w:szCs w:val="30"/>
        </w:rPr>
      </w:pPr>
      <w:r>
        <w:rPr>
          <w:rFonts w:hint="eastAsia" w:ascii="仿宋" w:hAnsi="仿宋" w:eastAsia="仿宋"/>
          <w:b/>
          <w:bCs/>
          <w:sz w:val="30"/>
          <w:szCs w:val="30"/>
        </w:rPr>
        <w:t>步骤二：专家信息填报。</w:t>
      </w:r>
    </w:p>
    <w:p>
      <w:pPr>
        <w:spacing w:line="360" w:lineRule="auto"/>
        <w:rPr>
          <w:rFonts w:ascii="仿宋" w:hAnsi="仿宋" w:eastAsia="仿宋"/>
          <w:b/>
          <w:bCs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0" distR="0">
            <wp:extent cx="5727700" cy="3832860"/>
            <wp:effectExtent l="0" t="0" r="0" b="2540"/>
            <wp:docPr id="15031546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15466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83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1、按照系统设置信息进行填写，标红*的内容为必填项内容；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t>2</w:t>
      </w:r>
      <w:r>
        <w:rPr>
          <w:rFonts w:hint="eastAsia" w:ascii="仿宋" w:hAnsi="仿宋" w:eastAsia="仿宋"/>
          <w:sz w:val="30"/>
          <w:szCs w:val="30"/>
        </w:rPr>
        <w:t>、系统根据填写的</w:t>
      </w:r>
      <w:r>
        <w:rPr>
          <w:rFonts w:hint="eastAsia" w:ascii="仿宋" w:hAnsi="仿宋" w:eastAsia="仿宋"/>
          <w:b/>
          <w:bCs/>
          <w:sz w:val="30"/>
          <w:szCs w:val="30"/>
        </w:rPr>
        <w:t>证件号码</w:t>
      </w:r>
      <w:r>
        <w:rPr>
          <w:rFonts w:hint="eastAsia" w:ascii="仿宋" w:hAnsi="仿宋" w:eastAsia="仿宋"/>
          <w:sz w:val="30"/>
          <w:szCs w:val="30"/>
        </w:rPr>
        <w:t>自动展示对应的性别及出生日期不能进行修改，且专家年龄不超7</w:t>
      </w:r>
      <w:r>
        <w:rPr>
          <w:rFonts w:ascii="仿宋" w:hAnsi="仿宋" w:eastAsia="仿宋"/>
          <w:sz w:val="30"/>
          <w:szCs w:val="30"/>
        </w:rPr>
        <w:t>0</w:t>
      </w:r>
      <w:r>
        <w:rPr>
          <w:rFonts w:hint="eastAsia" w:ascii="仿宋" w:hAnsi="仿宋" w:eastAsia="仿宋"/>
          <w:sz w:val="30"/>
          <w:szCs w:val="30"/>
        </w:rPr>
        <w:t>岁，请如实填写证件号码；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3、增加</w:t>
      </w:r>
      <w:r>
        <w:rPr>
          <w:rFonts w:hint="eastAsia" w:ascii="仿宋" w:hAnsi="仿宋" w:eastAsia="仿宋"/>
          <w:b/>
          <w:bCs/>
          <w:sz w:val="30"/>
          <w:szCs w:val="30"/>
        </w:rPr>
        <w:t>常住地</w:t>
      </w:r>
      <w:r>
        <w:rPr>
          <w:rFonts w:hint="eastAsia" w:ascii="仿宋" w:hAnsi="仿宋" w:eastAsia="仿宋"/>
          <w:sz w:val="30"/>
          <w:szCs w:val="30"/>
        </w:rPr>
        <w:t>信息，常住地信息作为专家抽取的参考条件之一，请如实填写；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t>4</w:t>
      </w:r>
      <w:r>
        <w:rPr>
          <w:rFonts w:hint="eastAsia" w:ascii="仿宋" w:hAnsi="仿宋" w:eastAsia="仿宋"/>
          <w:sz w:val="30"/>
          <w:szCs w:val="30"/>
        </w:rPr>
        <w:t>、增加</w:t>
      </w:r>
      <w:r>
        <w:rPr>
          <w:rFonts w:hint="eastAsia" w:ascii="仿宋" w:hAnsi="仿宋" w:eastAsia="仿宋"/>
          <w:b/>
          <w:bCs/>
          <w:sz w:val="30"/>
          <w:szCs w:val="30"/>
        </w:rPr>
        <w:t>职称等级</w:t>
      </w:r>
      <w:r>
        <w:rPr>
          <w:rFonts w:hint="eastAsia" w:ascii="仿宋" w:hAnsi="仿宋" w:eastAsia="仿宋"/>
          <w:sz w:val="30"/>
          <w:szCs w:val="30"/>
        </w:rPr>
        <w:t>（中级、高级、其他），中级及其他需填写工作年限，且工作年限至少8年以上；</w:t>
      </w:r>
    </w:p>
    <w:p>
      <w:pPr>
        <w:spacing w:line="360" w:lineRule="auto"/>
        <w:ind w:firstLine="600" w:firstLineChars="200"/>
        <w:rPr>
          <w:rFonts w:ascii="仿宋" w:hAnsi="仿宋" w:eastAsia="仿宋"/>
          <w:b/>
          <w:bCs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t>5</w:t>
      </w:r>
      <w:r>
        <w:rPr>
          <w:rFonts w:hint="eastAsia" w:ascii="仿宋" w:hAnsi="仿宋" w:eastAsia="仿宋"/>
          <w:sz w:val="30"/>
          <w:szCs w:val="30"/>
        </w:rPr>
        <w:t>、</w:t>
      </w:r>
      <w:r>
        <w:rPr>
          <w:rFonts w:hint="eastAsia" w:ascii="仿宋" w:hAnsi="仿宋" w:eastAsia="仿宋"/>
          <w:b/>
          <w:bCs/>
          <w:sz w:val="30"/>
          <w:szCs w:val="30"/>
        </w:rPr>
        <w:t>主评区域</w:t>
      </w:r>
      <w:r>
        <w:rPr>
          <w:rFonts w:hint="eastAsia" w:ascii="仿宋" w:hAnsi="仿宋" w:eastAsia="仿宋"/>
          <w:sz w:val="30"/>
          <w:szCs w:val="30"/>
        </w:rPr>
        <w:t>中只保留河南省省直及1</w:t>
      </w:r>
      <w:r>
        <w:rPr>
          <w:rFonts w:ascii="仿宋" w:hAnsi="仿宋" w:eastAsia="仿宋"/>
          <w:sz w:val="30"/>
          <w:szCs w:val="30"/>
        </w:rPr>
        <w:t>8</w:t>
      </w:r>
      <w:r>
        <w:rPr>
          <w:rFonts w:hint="eastAsia" w:ascii="仿宋" w:hAnsi="仿宋" w:eastAsia="仿宋"/>
          <w:sz w:val="30"/>
          <w:szCs w:val="30"/>
        </w:rPr>
        <w:t>个市，</w:t>
      </w:r>
      <w:r>
        <w:rPr>
          <w:rFonts w:hint="eastAsia" w:ascii="仿宋" w:hAnsi="仿宋" w:eastAsia="仿宋"/>
          <w:b/>
          <w:bCs/>
          <w:sz w:val="30"/>
          <w:szCs w:val="30"/>
        </w:rPr>
        <w:t>取消区县级专家库；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t>6</w:t>
      </w:r>
      <w:r>
        <w:rPr>
          <w:rFonts w:hint="eastAsia" w:ascii="仿宋" w:hAnsi="仿宋" w:eastAsia="仿宋"/>
          <w:sz w:val="30"/>
          <w:szCs w:val="30"/>
        </w:rPr>
        <w:t>、取消</w:t>
      </w:r>
      <w:r>
        <w:rPr>
          <w:rFonts w:hint="eastAsia" w:ascii="仿宋" w:hAnsi="仿宋" w:eastAsia="仿宋"/>
          <w:b/>
          <w:bCs/>
          <w:sz w:val="30"/>
          <w:szCs w:val="30"/>
        </w:rPr>
        <w:t>专家入库</w:t>
      </w:r>
      <w:r>
        <w:rPr>
          <w:rFonts w:hint="eastAsia" w:ascii="仿宋" w:hAnsi="仿宋" w:eastAsia="仿宋"/>
          <w:sz w:val="30"/>
          <w:szCs w:val="30"/>
        </w:rPr>
        <w:t>经济、技术、法律</w:t>
      </w:r>
      <w:r>
        <w:rPr>
          <w:rFonts w:hint="eastAsia" w:ascii="仿宋" w:hAnsi="仿宋" w:eastAsia="仿宋"/>
          <w:b/>
          <w:bCs/>
          <w:sz w:val="30"/>
          <w:szCs w:val="30"/>
        </w:rPr>
        <w:t>类别划分</w:t>
      </w:r>
      <w:r>
        <w:rPr>
          <w:rFonts w:hint="eastAsia" w:ascii="仿宋" w:hAnsi="仿宋" w:eastAsia="仿宋"/>
          <w:sz w:val="30"/>
          <w:szCs w:val="30"/>
        </w:rPr>
        <w:t>，按照87号令统称评审专家，申请人根据本人职称专业，结合长期从事的工作或专长选择对应的评审品目；</w:t>
      </w:r>
    </w:p>
    <w:p>
      <w:pPr>
        <w:spacing w:line="360" w:lineRule="auto"/>
        <w:ind w:firstLine="600" w:firstLineChars="200"/>
        <w:rPr>
          <w:rFonts w:ascii="仿宋" w:hAnsi="仿宋" w:eastAsia="仿宋" w:cs="仿宋"/>
          <w:sz w:val="30"/>
          <w:szCs w:val="30"/>
          <w:lang w:val="en"/>
        </w:rPr>
      </w:pPr>
      <w:r>
        <w:rPr>
          <w:rFonts w:ascii="仿宋" w:hAnsi="仿宋" w:eastAsia="仿宋"/>
          <w:sz w:val="30"/>
          <w:szCs w:val="30"/>
        </w:rPr>
        <w:t>7</w:t>
      </w:r>
      <w:r>
        <w:rPr>
          <w:rFonts w:hint="eastAsia" w:ascii="仿宋" w:hAnsi="仿宋" w:eastAsia="仿宋"/>
          <w:sz w:val="30"/>
          <w:szCs w:val="30"/>
        </w:rPr>
        <w:t>、限定</w:t>
      </w:r>
      <w:r>
        <w:rPr>
          <w:rFonts w:hint="eastAsia" w:ascii="仿宋" w:hAnsi="仿宋" w:eastAsia="仿宋"/>
          <w:b/>
          <w:bCs/>
          <w:sz w:val="30"/>
          <w:szCs w:val="30"/>
        </w:rPr>
        <w:t>评审品目</w:t>
      </w:r>
      <w:r>
        <w:rPr>
          <w:rFonts w:hint="eastAsia" w:ascii="仿宋" w:hAnsi="仿宋" w:eastAsia="仿宋"/>
          <w:sz w:val="30"/>
          <w:szCs w:val="30"/>
        </w:rPr>
        <w:t>选择个数，</w:t>
      </w:r>
      <w:r>
        <w:rPr>
          <w:rFonts w:hint="eastAsia" w:ascii="仿宋" w:hAnsi="仿宋" w:eastAsia="仿宋" w:cs="仿宋"/>
          <w:sz w:val="30"/>
          <w:szCs w:val="30"/>
          <w:lang w:val="en"/>
        </w:rPr>
        <w:t>三级品目最多为两个，三级以下品目最多为六个（须在两个三级品目中）。</w:t>
      </w:r>
    </w:p>
    <w:p>
      <w:pPr>
        <w:spacing w:line="360" w:lineRule="auto"/>
        <w:ind w:firstLine="600" w:firstLineChars="200"/>
        <w:rPr>
          <w:rFonts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  <w:lang w:val="en"/>
        </w:rPr>
        <w:t>8、评审品目新增[</w:t>
      </w:r>
      <w:r>
        <w:rPr>
          <w:rFonts w:hint="eastAsia" w:ascii="仿宋" w:hAnsi="仿宋" w:eastAsia="仿宋" w:cs="仿宋"/>
          <w:b/>
          <w:bCs/>
          <w:sz w:val="30"/>
          <w:szCs w:val="30"/>
          <w:lang w:val="en"/>
        </w:rPr>
        <w:t>鉴证咨询服务</w:t>
      </w:r>
      <w:r>
        <w:rPr>
          <w:rFonts w:ascii="仿宋" w:hAnsi="仿宋" w:eastAsia="仿宋" w:cs="仿宋"/>
          <w:sz w:val="30"/>
          <w:szCs w:val="30"/>
          <w:lang w:val="en"/>
        </w:rPr>
        <w:t>]</w:t>
      </w:r>
      <w:r>
        <w:rPr>
          <w:rFonts w:hint="eastAsia" w:ascii="仿宋" w:hAnsi="仿宋" w:eastAsia="仿宋" w:cs="仿宋"/>
          <w:sz w:val="30"/>
          <w:szCs w:val="30"/>
          <w:lang w:val="en"/>
        </w:rPr>
        <w:t>、</w:t>
      </w:r>
      <w:r>
        <w:rPr>
          <w:rFonts w:ascii="仿宋" w:hAnsi="仿宋" w:eastAsia="仿宋" w:cs="仿宋"/>
          <w:sz w:val="30"/>
          <w:szCs w:val="30"/>
        </w:rPr>
        <w:t>[</w:t>
      </w:r>
      <w:r>
        <w:rPr>
          <w:rFonts w:hint="eastAsia" w:ascii="仿宋" w:hAnsi="仿宋" w:eastAsia="仿宋" w:cs="仿宋"/>
          <w:b/>
          <w:bCs/>
          <w:sz w:val="30"/>
          <w:szCs w:val="30"/>
        </w:rPr>
        <w:t>商务服务</w:t>
      </w:r>
      <w:r>
        <w:rPr>
          <w:rFonts w:ascii="仿宋" w:hAnsi="仿宋" w:eastAsia="仿宋" w:cs="仿宋"/>
          <w:sz w:val="30"/>
          <w:szCs w:val="30"/>
        </w:rPr>
        <w:t>]</w:t>
      </w:r>
      <w:r>
        <w:rPr>
          <w:rFonts w:hint="eastAsia" w:ascii="仿宋" w:hAnsi="仿宋" w:eastAsia="仿宋" w:cs="仿宋"/>
          <w:sz w:val="30"/>
          <w:szCs w:val="30"/>
        </w:rPr>
        <w:t>品目，原经济、法律相关专业的专家可</w:t>
      </w:r>
      <w:r>
        <w:rPr>
          <w:rFonts w:hint="eastAsia" w:ascii="仿宋" w:hAnsi="仿宋" w:eastAsia="仿宋"/>
          <w:sz w:val="30"/>
          <w:szCs w:val="30"/>
        </w:rPr>
        <w:t>根据本人职称专业，结合长期从事的工作或专长选择对应的评审品目</w:t>
      </w:r>
      <w:r>
        <w:rPr>
          <w:rFonts w:hint="eastAsia" w:ascii="仿宋" w:hAnsi="仿宋" w:eastAsia="仿宋" w:cs="仿宋"/>
          <w:sz w:val="30"/>
          <w:szCs w:val="30"/>
        </w:rPr>
        <w:t>。</w:t>
      </w:r>
    </w:p>
    <w:p>
      <w:pPr>
        <w:spacing w:line="360" w:lineRule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0" distR="0">
            <wp:extent cx="5727700" cy="3034030"/>
            <wp:effectExtent l="0" t="0" r="0" b="1270"/>
            <wp:docPr id="7471395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13958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03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Theme="minorEastAsia" w:hAnsiTheme="minorEastAsia"/>
          <w:sz w:val="21"/>
          <w:szCs w:val="21"/>
        </w:rPr>
      </w:pPr>
      <w:r>
        <w:rPr>
          <w:rFonts w:hint="eastAsia" w:asciiTheme="minorEastAsia" w:hAnsiTheme="minorEastAsia"/>
          <w:sz w:val="21"/>
          <w:szCs w:val="21"/>
        </w:rPr>
        <w:t>（图3）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专家需上传身份证（正反面）、学历证、职称及执业资格证（职称等级为中高级必须提供）、单位意见材料。培训证书在注册时如果没有，可以点击培训证后面的</w:t>
      </w:r>
      <w:r>
        <w:rPr>
          <w:rFonts w:ascii="仿宋" w:hAnsi="仿宋" w:eastAsia="仿宋"/>
          <w:sz w:val="30"/>
          <w:szCs w:val="30"/>
        </w:rPr>
        <w:t>[</w:t>
      </w:r>
      <w:r>
        <w:rPr>
          <w:rFonts w:hint="eastAsia" w:ascii="仿宋" w:hAnsi="仿宋" w:eastAsia="仿宋"/>
          <w:b/>
          <w:bCs/>
          <w:sz w:val="30"/>
          <w:szCs w:val="30"/>
        </w:rPr>
        <w:t>删除</w:t>
      </w:r>
      <w:r>
        <w:rPr>
          <w:rFonts w:ascii="仿宋" w:hAnsi="仿宋" w:eastAsia="仿宋"/>
          <w:sz w:val="30"/>
          <w:szCs w:val="30"/>
        </w:rPr>
        <w:t>]</w:t>
      </w:r>
      <w:r>
        <w:rPr>
          <w:rFonts w:hint="eastAsia" w:ascii="仿宋" w:hAnsi="仿宋" w:eastAsia="仿宋"/>
          <w:sz w:val="30"/>
          <w:szCs w:val="30"/>
        </w:rPr>
        <w:t>按钮删除此项；除以上证件信息之外需增加其他证件信息，可以通过下方的</w:t>
      </w:r>
      <w:r>
        <w:rPr>
          <w:rFonts w:ascii="仿宋" w:hAnsi="仿宋" w:eastAsia="仿宋"/>
          <w:sz w:val="30"/>
          <w:szCs w:val="30"/>
        </w:rPr>
        <w:t>[</w:t>
      </w:r>
      <w:r>
        <w:rPr>
          <w:rFonts w:hint="eastAsia" w:ascii="仿宋" w:hAnsi="仿宋" w:eastAsia="仿宋"/>
          <w:b/>
          <w:bCs/>
          <w:sz w:val="30"/>
          <w:szCs w:val="30"/>
        </w:rPr>
        <w:t>增加</w:t>
      </w:r>
      <w:r>
        <w:rPr>
          <w:rFonts w:ascii="仿宋" w:hAnsi="仿宋" w:eastAsia="仿宋"/>
          <w:sz w:val="30"/>
          <w:szCs w:val="30"/>
        </w:rPr>
        <w:t>]</w:t>
      </w:r>
      <w:r>
        <w:rPr>
          <w:rFonts w:hint="eastAsia" w:ascii="仿宋" w:hAnsi="仿宋" w:eastAsia="仿宋"/>
          <w:sz w:val="30"/>
          <w:szCs w:val="30"/>
        </w:rPr>
        <w:t>按钮添加证件信息。</w:t>
      </w:r>
    </w:p>
    <w:p>
      <w:pPr>
        <w:spacing w:line="360" w:lineRule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0" distR="0">
            <wp:extent cx="5727700" cy="1475740"/>
            <wp:effectExtent l="0" t="0" r="0" b="0"/>
            <wp:docPr id="14725790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57904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Theme="minorEastAsia" w:hAnsiTheme="minorEastAsia"/>
          <w:sz w:val="21"/>
          <w:szCs w:val="21"/>
        </w:rPr>
      </w:pPr>
      <w:r>
        <w:rPr>
          <w:rFonts w:hint="eastAsia" w:asciiTheme="minorEastAsia" w:hAnsiTheme="minorEastAsia"/>
          <w:sz w:val="21"/>
          <w:szCs w:val="21"/>
        </w:rPr>
        <w:t>（图4）</w:t>
      </w:r>
    </w:p>
    <w:p>
      <w:pPr>
        <w:spacing w:line="360" w:lineRule="auto"/>
        <w:ind w:firstLine="600" w:firstLineChars="200"/>
        <w:rPr>
          <w:rFonts w:ascii="仿宋" w:hAnsi="仿宋" w:eastAsia="仿宋"/>
          <w:b/>
          <w:bCs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设定登录系统的密码，需设置至少8位由数字、字母和特殊字符组成。</w:t>
      </w:r>
      <w:r>
        <w:rPr>
          <w:rFonts w:hint="eastAsia" w:ascii="仿宋" w:hAnsi="仿宋" w:eastAsia="仿宋"/>
          <w:b/>
          <w:bCs/>
          <w:sz w:val="30"/>
          <w:szCs w:val="30"/>
        </w:rPr>
        <w:t>信息提交之后，系统生成专家登录系统的账号，</w:t>
      </w:r>
      <w:r>
        <w:rPr>
          <w:rFonts w:hint="eastAsia" w:ascii="仿宋" w:hAnsi="仿宋" w:eastAsia="仿宋"/>
          <w:b/>
          <w:bCs/>
          <w:color w:val="FF0000"/>
          <w:sz w:val="30"/>
          <w:szCs w:val="30"/>
        </w:rPr>
        <w:t>请牢记此账号信息。</w:t>
      </w:r>
    </w:p>
    <w:p>
      <w:pPr>
        <w:spacing w:line="360" w:lineRule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0" distR="0">
            <wp:extent cx="5727700" cy="3587115"/>
            <wp:effectExtent l="0" t="0" r="0" b="0"/>
            <wp:docPr id="10452120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212065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58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Theme="minorEastAsia" w:hAnsiTheme="minorEastAsia"/>
          <w:sz w:val="21"/>
          <w:szCs w:val="21"/>
        </w:rPr>
      </w:pPr>
      <w:r>
        <w:rPr>
          <w:rFonts w:hint="eastAsia" w:asciiTheme="minorEastAsia" w:hAnsiTheme="minorEastAsia"/>
          <w:sz w:val="21"/>
          <w:szCs w:val="21"/>
        </w:rPr>
        <w:t>（图5）</w:t>
      </w:r>
    </w:p>
    <w:p>
      <w:pPr>
        <w:pStyle w:val="3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专家信息维护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专家入库信息发生变化时，应及时通过</w:t>
      </w:r>
      <w:r>
        <w:rPr>
          <w:rFonts w:ascii="仿宋" w:hAnsi="仿宋" w:eastAsia="仿宋"/>
          <w:sz w:val="30"/>
          <w:szCs w:val="30"/>
        </w:rPr>
        <w:t>[</w:t>
      </w:r>
      <w:r>
        <w:rPr>
          <w:rFonts w:hint="eastAsia" w:ascii="仿宋" w:hAnsi="仿宋" w:eastAsia="仿宋"/>
          <w:b/>
          <w:bCs/>
          <w:sz w:val="30"/>
          <w:szCs w:val="30"/>
        </w:rPr>
        <w:t>专家管理</w:t>
      </w:r>
      <w:r>
        <w:rPr>
          <w:rFonts w:ascii="仿宋" w:hAnsi="仿宋" w:eastAsia="仿宋"/>
          <w:sz w:val="30"/>
          <w:szCs w:val="30"/>
        </w:rPr>
        <w:t>]-[</w:t>
      </w:r>
      <w:r>
        <w:rPr>
          <w:rFonts w:hint="eastAsia" w:ascii="仿宋" w:hAnsi="仿宋" w:eastAsia="仿宋"/>
          <w:b/>
          <w:bCs/>
          <w:sz w:val="30"/>
          <w:szCs w:val="30"/>
        </w:rPr>
        <w:t>专家信息维护</w:t>
      </w:r>
      <w:r>
        <w:rPr>
          <w:rFonts w:hint="eastAsia" w:ascii="仿宋" w:hAnsi="仿宋" w:eastAsia="仿宋"/>
          <w:sz w:val="30"/>
          <w:szCs w:val="30"/>
        </w:rPr>
        <w:t>]功能完善对应信息。如果专家注册完成还没有进行监管审核，这时专家可以通过此功能进行信息的维护，如果注册信息已经处于审核中，将不能再修改信息需要等待审核完成之后才能修改。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如果专家对评审品目、资质信息、主评区域信息做变更需要经过对应的监管单位审核，审核通过之后修改信息方可生效，具体的审核流程参照下图。</w:t>
      </w:r>
    </w:p>
    <w:p>
      <w:pPr>
        <w:spacing w:line="360" w:lineRule="auto"/>
        <w:ind w:firstLine="602" w:firstLineChars="200"/>
        <w:rPr>
          <w:rFonts w:ascii="仿宋" w:hAnsi="仿宋" w:eastAsia="仿宋"/>
          <w:b/>
          <w:bCs/>
          <w:sz w:val="30"/>
          <w:szCs w:val="30"/>
        </w:rPr>
      </w:pPr>
      <w:r>
        <w:rPr>
          <w:rFonts w:hint="eastAsia" w:ascii="仿宋" w:hAnsi="仿宋" w:eastAsia="仿宋"/>
          <w:b/>
          <w:bCs/>
          <w:sz w:val="30"/>
          <w:szCs w:val="30"/>
        </w:rPr>
        <w:t>专家启用之后，证件号码信息将不能再进行修改。</w:t>
      </w:r>
    </w:p>
    <w:p>
      <w:pPr>
        <w:spacing w:line="360" w:lineRule="auto"/>
        <w:ind w:firstLine="602" w:firstLineChars="200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（一）专家修改评审品目、资质信息审核流程：</w:t>
      </w:r>
    </w:p>
    <w:p>
      <w:pPr>
        <w:spacing w:line="360" w:lineRule="auto"/>
        <w:ind w:firstLine="600" w:firstLineChars="200"/>
        <w:rPr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1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①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专家变更（品目、资质）信息-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2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②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监管单位初核-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3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③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监管单位复核</w:t>
      </w:r>
      <w:r>
        <w:rPr>
          <w:rFonts w:ascii="仿宋" w:hAnsi="仿宋" w:eastAsia="仿宋"/>
          <w:sz w:val="30"/>
          <w:szCs w:val="30"/>
        </w:rPr>
        <w:t>--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4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④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变更生效。</w:t>
      </w:r>
    </w:p>
    <w:p>
      <w:pPr>
        <w:spacing w:line="360" w:lineRule="auto"/>
        <w:rPr>
          <w:sz w:val="30"/>
          <w:szCs w:val="30"/>
        </w:rPr>
      </w:pPr>
      <w:r>
        <w:rPr>
          <w:sz w:val="30"/>
          <w:szCs w:val="30"/>
        </w:rPr>
        <w:drawing>
          <wp:inline distT="0" distB="0" distL="0" distR="0">
            <wp:extent cx="5727700" cy="4815840"/>
            <wp:effectExtent l="0" t="0" r="0" b="0"/>
            <wp:docPr id="16317983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79837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81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Theme="minorEastAsia" w:hAnsiTheme="minorEastAsia"/>
          <w:sz w:val="21"/>
          <w:szCs w:val="21"/>
        </w:rPr>
      </w:pPr>
      <w:r>
        <w:rPr>
          <w:rFonts w:hint="eastAsia" w:asciiTheme="minorEastAsia" w:hAnsiTheme="minorEastAsia"/>
          <w:sz w:val="21"/>
          <w:szCs w:val="21"/>
        </w:rPr>
        <w:t>（图6）</w:t>
      </w:r>
    </w:p>
    <w:p>
      <w:pPr>
        <w:spacing w:line="360" w:lineRule="auto"/>
        <w:ind w:firstLine="602" w:firstLineChars="200"/>
        <w:rPr>
          <w:rFonts w:ascii="仿宋" w:hAnsi="仿宋" w:eastAsia="仿宋"/>
          <w:b/>
          <w:bCs/>
          <w:sz w:val="30"/>
          <w:szCs w:val="30"/>
        </w:rPr>
      </w:pPr>
      <w:r>
        <w:rPr>
          <w:rFonts w:hint="eastAsia" w:ascii="仿宋" w:hAnsi="仿宋" w:eastAsia="仿宋"/>
          <w:b/>
          <w:bCs/>
          <w:sz w:val="30"/>
          <w:szCs w:val="30"/>
        </w:rPr>
        <w:t>（二）专家修改主评区域审核流程：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1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①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专家变更主评区域信息-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2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②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变更地监管单位初核-</w:t>
      </w:r>
      <w:r>
        <w:rPr>
          <w:rFonts w:ascii="仿宋" w:hAnsi="仿宋" w:eastAsia="仿宋"/>
          <w:sz w:val="30"/>
          <w:szCs w:val="30"/>
        </w:rPr>
        <w:t>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3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③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变更地监管单位复核</w:t>
      </w:r>
      <w:r>
        <w:rPr>
          <w:rFonts w:ascii="仿宋" w:hAnsi="仿宋" w:eastAsia="仿宋"/>
          <w:sz w:val="30"/>
          <w:szCs w:val="30"/>
        </w:rPr>
        <w:t>--</w:t>
      </w:r>
      <w:r>
        <w:rPr>
          <w:rFonts w:ascii="仿宋" w:hAnsi="仿宋" w:eastAsia="仿宋"/>
          <w:sz w:val="30"/>
          <w:szCs w:val="30"/>
        </w:rPr>
        <w:fldChar w:fldCharType="begin"/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hint="eastAsia" w:ascii="仿宋" w:hAnsi="仿宋" w:eastAsia="仿宋"/>
          <w:sz w:val="30"/>
          <w:szCs w:val="30"/>
        </w:rPr>
        <w:instrText xml:space="preserve">= 4 \* GB3</w:instrText>
      </w:r>
      <w:r>
        <w:rPr>
          <w:rFonts w:ascii="仿宋" w:hAnsi="仿宋" w:eastAsia="仿宋"/>
          <w:sz w:val="30"/>
          <w:szCs w:val="30"/>
        </w:rPr>
        <w:instrText xml:space="preserve"> </w:instrText>
      </w:r>
      <w:r>
        <w:rPr>
          <w:rFonts w:ascii="仿宋" w:hAnsi="仿宋" w:eastAsia="仿宋"/>
          <w:sz w:val="30"/>
          <w:szCs w:val="30"/>
        </w:rPr>
        <w:fldChar w:fldCharType="separate"/>
      </w:r>
      <w:r>
        <w:rPr>
          <w:rFonts w:hint="eastAsia" w:ascii="仿宋" w:hAnsi="仿宋" w:eastAsia="仿宋"/>
          <w:sz w:val="30"/>
          <w:szCs w:val="30"/>
        </w:rPr>
        <w:t>④</w:t>
      </w:r>
      <w:r>
        <w:rPr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</w:rPr>
        <w:t>变更生效。变更主评区域时专家需上传变更的说明文件。</w:t>
      </w:r>
    </w:p>
    <w:p>
      <w:pPr>
        <w:spacing w:line="360" w:lineRule="auto"/>
        <w:rPr>
          <w:sz w:val="30"/>
          <w:szCs w:val="30"/>
        </w:rPr>
      </w:pPr>
      <w:r>
        <w:rPr>
          <w:sz w:val="30"/>
          <w:szCs w:val="30"/>
        </w:rPr>
        <w:drawing>
          <wp:inline distT="0" distB="0" distL="0" distR="0">
            <wp:extent cx="5727700" cy="4815840"/>
            <wp:effectExtent l="0" t="0" r="0" b="0"/>
            <wp:docPr id="19999532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953274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81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Theme="minorEastAsia" w:hAnsiTheme="minorEastAsia"/>
          <w:sz w:val="21"/>
          <w:szCs w:val="21"/>
        </w:rPr>
      </w:pPr>
      <w:r>
        <w:rPr>
          <w:rFonts w:hint="eastAsia" w:asciiTheme="minorEastAsia" w:hAnsiTheme="minorEastAsia"/>
          <w:sz w:val="21"/>
          <w:szCs w:val="21"/>
        </w:rPr>
        <w:t>（图7）</w:t>
      </w:r>
    </w:p>
    <w:p>
      <w:pPr>
        <w:pStyle w:val="3"/>
      </w:pPr>
      <w:r>
        <w:rPr>
          <w:rFonts w:hint="eastAsia"/>
        </w:rPr>
        <w:t>3</w:t>
      </w:r>
      <w:r>
        <w:t>.</w:t>
      </w:r>
      <w:r>
        <w:rPr>
          <w:rFonts w:hint="eastAsia"/>
        </w:rPr>
        <w:t>专家管理</w:t>
      </w:r>
    </w:p>
    <w:p>
      <w:pPr>
        <w:pStyle w:val="4"/>
      </w:pPr>
      <w:r>
        <w:rPr>
          <w:rFonts w:hint="eastAsia"/>
        </w:rPr>
        <w:t>3</w:t>
      </w:r>
      <w:r>
        <w:t>.1</w:t>
      </w:r>
      <w:r>
        <w:rPr>
          <w:rFonts w:hint="eastAsia"/>
        </w:rPr>
        <w:t>专家暂停</w:t>
      </w:r>
    </w:p>
    <w:p>
      <w:pPr>
        <w:pStyle w:val="4"/>
        <w:ind w:firstLine="600" w:firstLineChars="200"/>
        <w:rPr>
          <w:rFonts w:ascii="仿宋" w:hAnsi="仿宋" w:eastAsia="仿宋" w:cs="仿宋"/>
          <w:b w:val="0"/>
          <w:bCs w:val="0"/>
          <w:sz w:val="30"/>
          <w:szCs w:val="30"/>
        </w:rPr>
      </w:pPr>
      <w:r>
        <w:rPr>
          <w:rFonts w:hint="eastAsia" w:ascii="仿宋" w:hAnsi="仿宋" w:eastAsia="仿宋" w:cs="仿宋"/>
          <w:b w:val="0"/>
          <w:bCs w:val="0"/>
          <w:sz w:val="30"/>
          <w:szCs w:val="30"/>
        </w:rPr>
        <w:t>专家因违反《河南省政府采购评审专家管理实施办法》有关规定而被约谈或者其他原因暂停专家使用时，由监管单位审核之后，专家处于暂停状态，不能参加评审活动。</w:t>
      </w:r>
    </w:p>
    <w:p>
      <w:pPr>
        <w:pStyle w:val="4"/>
      </w:pPr>
      <w:r>
        <w:rPr>
          <w:rFonts w:hint="eastAsia"/>
        </w:rPr>
        <w:t>3</w:t>
      </w:r>
      <w:r>
        <w:t>.2</w:t>
      </w:r>
      <w:r>
        <w:rPr>
          <w:rFonts w:hint="eastAsia"/>
        </w:rPr>
        <w:t>专家解聘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Cambria" w:hAnsi="Cambria" w:eastAsia="仿宋" w:cs="Cambria"/>
          <w:sz w:val="30"/>
          <w:szCs w:val="30"/>
        </w:rPr>
        <w:t>专家因违法违规需解聘出库的，由评审专家所在区域或项目所属区域的财政部门进行调查，确认后由省财政厅予以解聘</w:t>
      </w:r>
      <w:r>
        <w:rPr>
          <w:rFonts w:hint="eastAsia" w:ascii="仿宋" w:hAnsi="仿宋" w:eastAsia="仿宋"/>
          <w:sz w:val="30"/>
          <w:szCs w:val="30"/>
        </w:rPr>
        <w:t>，被解聘的专家将不能再入库。</w:t>
      </w:r>
    </w:p>
    <w:p>
      <w:pPr>
        <w:spacing w:line="360" w:lineRule="auto"/>
        <w:jc w:val="center"/>
        <w:rPr>
          <w:rFonts w:ascii="仿宋" w:hAnsi="仿宋" w:eastAsia="仿宋"/>
          <w:sz w:val="30"/>
          <w:szCs w:val="30"/>
        </w:rPr>
      </w:pPr>
    </w:p>
    <w:p>
      <w:pPr>
        <w:pStyle w:val="3"/>
      </w:pPr>
      <w:r>
        <w:rPr>
          <w:rFonts w:hint="eastAsia"/>
        </w:rPr>
        <w:t>4</w:t>
      </w:r>
      <w:r>
        <w:t>.</w:t>
      </w:r>
      <w:r>
        <w:rPr>
          <w:rFonts w:hint="eastAsia"/>
        </w:rPr>
        <w:t>专家抽取</w:t>
      </w:r>
    </w:p>
    <w:p>
      <w:pPr>
        <w:spacing w:line="360" w:lineRule="auto"/>
        <w:ind w:firstLine="602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b/>
          <w:bCs/>
          <w:sz w:val="30"/>
          <w:szCs w:val="30"/>
        </w:rPr>
        <w:t>专家抽取申请将取消专家经济、技术、法律分类，</w:t>
      </w:r>
      <w:r>
        <w:rPr>
          <w:rFonts w:hint="eastAsia" w:ascii="仿宋" w:hAnsi="仿宋" w:eastAsia="仿宋"/>
          <w:sz w:val="30"/>
          <w:szCs w:val="30"/>
        </w:rPr>
        <w:t>增加常住地的抽取选项，由采购人、采购代理机构根据项目评审需要选择相应品目的评审专家。</w:t>
      </w:r>
    </w:p>
    <w:p>
      <w:pPr>
        <w:pStyle w:val="3"/>
      </w:pPr>
      <w:r>
        <w:t>5.</w:t>
      </w:r>
      <w:r>
        <w:rPr>
          <w:rFonts w:hint="eastAsia"/>
        </w:rPr>
        <w:t>专家请假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专家登录采购系统，在</w:t>
      </w:r>
      <w:r>
        <w:rPr>
          <w:rFonts w:ascii="仿宋" w:hAnsi="仿宋" w:eastAsia="仿宋"/>
          <w:sz w:val="30"/>
          <w:szCs w:val="30"/>
        </w:rPr>
        <w:t>[</w:t>
      </w:r>
      <w:r>
        <w:rPr>
          <w:rFonts w:hint="eastAsia" w:ascii="仿宋" w:hAnsi="仿宋" w:eastAsia="仿宋"/>
          <w:b/>
          <w:bCs/>
          <w:sz w:val="30"/>
          <w:szCs w:val="30"/>
        </w:rPr>
        <w:t>专家管理</w:t>
      </w:r>
      <w:r>
        <w:rPr>
          <w:rFonts w:ascii="仿宋" w:hAnsi="仿宋" w:eastAsia="仿宋"/>
          <w:sz w:val="30"/>
          <w:szCs w:val="30"/>
        </w:rPr>
        <w:t>]-[</w:t>
      </w:r>
      <w:r>
        <w:rPr>
          <w:rFonts w:hint="eastAsia" w:ascii="仿宋" w:hAnsi="仿宋" w:eastAsia="仿宋"/>
          <w:sz w:val="30"/>
          <w:szCs w:val="30"/>
        </w:rPr>
        <w:t>专家请假]功能中进行请假申请。请假信息提交之后，在请假时间内专家抽取自动屏蔽。请假时间到期之后系统自动解除屏蔽。</w:t>
      </w:r>
    </w:p>
    <w:p>
      <w:pPr>
        <w:spacing w:line="360" w:lineRule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0" distR="0">
            <wp:extent cx="5727700" cy="2085975"/>
            <wp:effectExtent l="0" t="0" r="0" b="0"/>
            <wp:docPr id="11298341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834138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Theme="minorEastAsia" w:hAnsiTheme="minorEastAsia"/>
          <w:sz w:val="21"/>
          <w:szCs w:val="21"/>
        </w:rPr>
      </w:pPr>
      <w:r>
        <w:rPr>
          <w:rFonts w:hint="eastAsia" w:asciiTheme="minorEastAsia" w:hAnsiTheme="minorEastAsia"/>
          <w:sz w:val="21"/>
          <w:szCs w:val="21"/>
        </w:rPr>
        <w:t>（图8）</w:t>
      </w:r>
    </w:p>
    <w:p>
      <w:pPr>
        <w:pStyle w:val="3"/>
      </w:pPr>
      <w:r>
        <w:t>6.</w:t>
      </w:r>
      <w:r>
        <w:rPr>
          <w:rFonts w:hint="eastAsia"/>
        </w:rPr>
        <w:t>专家约谈</w:t>
      </w:r>
    </w:p>
    <w:p>
      <w:pPr>
        <w:spacing w:line="360" w:lineRule="auto"/>
        <w:ind w:firstLine="600" w:firstLineChars="20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由评审专家所在区域或项目所在区域的财政部门进行约谈。约谈的结果可对专家进行3</w:t>
      </w:r>
      <w:r>
        <w:rPr>
          <w:rFonts w:ascii="仿宋" w:hAnsi="仿宋" w:eastAsia="仿宋"/>
          <w:sz w:val="30"/>
          <w:szCs w:val="30"/>
        </w:rPr>
        <w:t>-6</w:t>
      </w:r>
      <w:r>
        <w:rPr>
          <w:rFonts w:hint="eastAsia" w:ascii="仿宋" w:hAnsi="仿宋" w:eastAsia="仿宋"/>
          <w:sz w:val="30"/>
          <w:szCs w:val="30"/>
        </w:rPr>
        <w:t>个月的暂停。</w:t>
      </w:r>
    </w:p>
    <w:p>
      <w:pPr>
        <w:spacing w:line="360" w:lineRule="auto"/>
        <w:jc w:val="both"/>
        <w:rPr>
          <w:rFonts w:asciiTheme="minorEastAsia" w:hAnsiTheme="minorEastAsia"/>
          <w:sz w:val="21"/>
          <w:szCs w:val="21"/>
        </w:rPr>
      </w:pPr>
    </w:p>
    <w:sectPr>
      <w:footerReference r:id="rId3" w:type="default"/>
      <w:pgSz w:w="11900" w:h="16840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zXDnwqAgAAV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CLNmWdjqneUROirm&#10;7eoYIGCnaxSlV2LQCtPWdWZ4GXGc/9x3UY9/g+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IzXDnw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kzMzlhOTQ1NGE2Zjg3ODE3YTk0ZDFiMWQ5N2YwMWQifQ=="/>
  </w:docVars>
  <w:rsids>
    <w:rsidRoot w:val="007E7562"/>
    <w:rsid w:val="00003BFC"/>
    <w:rsid w:val="0001357A"/>
    <w:rsid w:val="00046DEB"/>
    <w:rsid w:val="00054AE2"/>
    <w:rsid w:val="000610D3"/>
    <w:rsid w:val="0006566C"/>
    <w:rsid w:val="00081AFE"/>
    <w:rsid w:val="000F083E"/>
    <w:rsid w:val="000F6A61"/>
    <w:rsid w:val="00100588"/>
    <w:rsid w:val="00117B60"/>
    <w:rsid w:val="00143BDD"/>
    <w:rsid w:val="0015537C"/>
    <w:rsid w:val="00161A7C"/>
    <w:rsid w:val="00181249"/>
    <w:rsid w:val="00187457"/>
    <w:rsid w:val="0019024C"/>
    <w:rsid w:val="001A4D94"/>
    <w:rsid w:val="001B2217"/>
    <w:rsid w:val="001B4557"/>
    <w:rsid w:val="001B5222"/>
    <w:rsid w:val="001B7F04"/>
    <w:rsid w:val="001C4322"/>
    <w:rsid w:val="001D0630"/>
    <w:rsid w:val="001F5DE5"/>
    <w:rsid w:val="00200F68"/>
    <w:rsid w:val="0020552D"/>
    <w:rsid w:val="002118AD"/>
    <w:rsid w:val="002437BA"/>
    <w:rsid w:val="002520EC"/>
    <w:rsid w:val="00252A5E"/>
    <w:rsid w:val="00256A69"/>
    <w:rsid w:val="002876DC"/>
    <w:rsid w:val="00291B20"/>
    <w:rsid w:val="002923E8"/>
    <w:rsid w:val="00294B8A"/>
    <w:rsid w:val="002A7760"/>
    <w:rsid w:val="002B4DF7"/>
    <w:rsid w:val="002F288B"/>
    <w:rsid w:val="002F29AB"/>
    <w:rsid w:val="00304CBA"/>
    <w:rsid w:val="00311B3E"/>
    <w:rsid w:val="0031435B"/>
    <w:rsid w:val="003172F6"/>
    <w:rsid w:val="0034619C"/>
    <w:rsid w:val="003468CB"/>
    <w:rsid w:val="003554F4"/>
    <w:rsid w:val="00363CB7"/>
    <w:rsid w:val="003759B2"/>
    <w:rsid w:val="003859D5"/>
    <w:rsid w:val="003E704E"/>
    <w:rsid w:val="003F18AC"/>
    <w:rsid w:val="003F6921"/>
    <w:rsid w:val="00407D0B"/>
    <w:rsid w:val="00412102"/>
    <w:rsid w:val="00421762"/>
    <w:rsid w:val="0043421B"/>
    <w:rsid w:val="00454373"/>
    <w:rsid w:val="00463EF1"/>
    <w:rsid w:val="00467AE3"/>
    <w:rsid w:val="00484237"/>
    <w:rsid w:val="004853D1"/>
    <w:rsid w:val="004A4F3C"/>
    <w:rsid w:val="004A764A"/>
    <w:rsid w:val="004B5008"/>
    <w:rsid w:val="004B755A"/>
    <w:rsid w:val="004C3A33"/>
    <w:rsid w:val="004D0F65"/>
    <w:rsid w:val="004D334D"/>
    <w:rsid w:val="004D3E42"/>
    <w:rsid w:val="004E078E"/>
    <w:rsid w:val="00500D7F"/>
    <w:rsid w:val="00515923"/>
    <w:rsid w:val="00525829"/>
    <w:rsid w:val="005312E4"/>
    <w:rsid w:val="00551240"/>
    <w:rsid w:val="005529DA"/>
    <w:rsid w:val="00567F70"/>
    <w:rsid w:val="005814BE"/>
    <w:rsid w:val="005D1413"/>
    <w:rsid w:val="005F753D"/>
    <w:rsid w:val="00601BBC"/>
    <w:rsid w:val="006228A0"/>
    <w:rsid w:val="00671E34"/>
    <w:rsid w:val="0069599A"/>
    <w:rsid w:val="006F03F4"/>
    <w:rsid w:val="006F34BB"/>
    <w:rsid w:val="006F618E"/>
    <w:rsid w:val="0073681A"/>
    <w:rsid w:val="007603BB"/>
    <w:rsid w:val="00765D12"/>
    <w:rsid w:val="00767A7A"/>
    <w:rsid w:val="007A7872"/>
    <w:rsid w:val="007C48FD"/>
    <w:rsid w:val="007E0774"/>
    <w:rsid w:val="007E7562"/>
    <w:rsid w:val="007F003C"/>
    <w:rsid w:val="008069F4"/>
    <w:rsid w:val="00816A19"/>
    <w:rsid w:val="0083343B"/>
    <w:rsid w:val="00852626"/>
    <w:rsid w:val="00873027"/>
    <w:rsid w:val="008D7991"/>
    <w:rsid w:val="008E00A2"/>
    <w:rsid w:val="008E52E6"/>
    <w:rsid w:val="008F7716"/>
    <w:rsid w:val="00934DAC"/>
    <w:rsid w:val="00961273"/>
    <w:rsid w:val="009632C2"/>
    <w:rsid w:val="009712F4"/>
    <w:rsid w:val="00985875"/>
    <w:rsid w:val="009931AA"/>
    <w:rsid w:val="009A05F9"/>
    <w:rsid w:val="009C6382"/>
    <w:rsid w:val="00A24585"/>
    <w:rsid w:val="00A404B7"/>
    <w:rsid w:val="00A53C71"/>
    <w:rsid w:val="00A57F8F"/>
    <w:rsid w:val="00A85307"/>
    <w:rsid w:val="00A944C6"/>
    <w:rsid w:val="00AA6FBC"/>
    <w:rsid w:val="00AB7785"/>
    <w:rsid w:val="00AC3D2C"/>
    <w:rsid w:val="00AC6835"/>
    <w:rsid w:val="00AD3183"/>
    <w:rsid w:val="00AD59A5"/>
    <w:rsid w:val="00B26CCD"/>
    <w:rsid w:val="00B308A5"/>
    <w:rsid w:val="00B91750"/>
    <w:rsid w:val="00BA7CE4"/>
    <w:rsid w:val="00BB0C09"/>
    <w:rsid w:val="00BB768A"/>
    <w:rsid w:val="00BE03E2"/>
    <w:rsid w:val="00BE1AC2"/>
    <w:rsid w:val="00C115D9"/>
    <w:rsid w:val="00C3565B"/>
    <w:rsid w:val="00C44514"/>
    <w:rsid w:val="00C50C24"/>
    <w:rsid w:val="00C61BC3"/>
    <w:rsid w:val="00C753A9"/>
    <w:rsid w:val="00C80291"/>
    <w:rsid w:val="00C82A18"/>
    <w:rsid w:val="00CB3133"/>
    <w:rsid w:val="00CD5C16"/>
    <w:rsid w:val="00D0191A"/>
    <w:rsid w:val="00D201DE"/>
    <w:rsid w:val="00D224A6"/>
    <w:rsid w:val="00D30C66"/>
    <w:rsid w:val="00D379CF"/>
    <w:rsid w:val="00D463CE"/>
    <w:rsid w:val="00D5381A"/>
    <w:rsid w:val="00D62679"/>
    <w:rsid w:val="00D801E7"/>
    <w:rsid w:val="00D869AC"/>
    <w:rsid w:val="00DA4658"/>
    <w:rsid w:val="00DB3EDC"/>
    <w:rsid w:val="00DB5A7B"/>
    <w:rsid w:val="00DC6844"/>
    <w:rsid w:val="00DD1655"/>
    <w:rsid w:val="00DD1E3D"/>
    <w:rsid w:val="00DF5C06"/>
    <w:rsid w:val="00E20ADB"/>
    <w:rsid w:val="00E21084"/>
    <w:rsid w:val="00E534FD"/>
    <w:rsid w:val="00E538E5"/>
    <w:rsid w:val="00E6225A"/>
    <w:rsid w:val="00E85133"/>
    <w:rsid w:val="00EB2FF0"/>
    <w:rsid w:val="00ED0E5F"/>
    <w:rsid w:val="00F00763"/>
    <w:rsid w:val="00F100CA"/>
    <w:rsid w:val="00F11E38"/>
    <w:rsid w:val="00F23171"/>
    <w:rsid w:val="00F40BDD"/>
    <w:rsid w:val="00F73031"/>
    <w:rsid w:val="00F811CA"/>
    <w:rsid w:val="00F94871"/>
    <w:rsid w:val="00FA467E"/>
    <w:rsid w:val="00FC4D6F"/>
    <w:rsid w:val="00FC5325"/>
    <w:rsid w:val="00FC69C9"/>
    <w:rsid w:val="00FD271A"/>
    <w:rsid w:val="00FD41FB"/>
    <w:rsid w:val="00FE265D"/>
    <w:rsid w:val="00FE4492"/>
    <w:rsid w:val="00FF3EA7"/>
    <w:rsid w:val="00FF404E"/>
    <w:rsid w:val="00FF6191"/>
    <w:rsid w:val="00FF6515"/>
    <w:rsid w:val="04353913"/>
    <w:rsid w:val="1DB30741"/>
    <w:rsid w:val="56347629"/>
    <w:rsid w:val="57FD3876"/>
    <w:rsid w:val="5B4919BA"/>
    <w:rsid w:val="7F2A28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9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0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both"/>
    </w:pPr>
    <w:rPr>
      <w:sz w:val="18"/>
    </w:rPr>
  </w:style>
  <w:style w:type="character" w:customStyle="1" w:styleId="9">
    <w:name w:val="标题 1 字符"/>
    <w:basedOn w:val="8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0">
    <w:name w:val="标题 2 字符"/>
    <w:basedOn w:val="8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1">
    <w:name w:val="标题 3 字符"/>
    <w:basedOn w:val="8"/>
    <w:link w:val="4"/>
    <w:qFormat/>
    <w:uiPriority w:val="9"/>
    <w:rPr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354</Words>
  <Characters>2019</Characters>
  <Lines>16</Lines>
  <Paragraphs>4</Paragraphs>
  <TotalTime>18</TotalTime>
  <ScaleCrop>false</ScaleCrop>
  <LinksUpToDate>false</LinksUpToDate>
  <CharactersWithSpaces>2369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2016-11-19T00:45:00Z</dcterms:created>
  <dc:creator>peng liu</dc:creator>
  <cp:lastModifiedBy>浅念</cp:lastModifiedBy>
  <dcterms:modified xsi:type="dcterms:W3CDTF">2023-11-30T03:32:39Z</dcterms:modified>
  <cp:revision>187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CA671F2076DF404CBBEE4FCBCE2D1586_13</vt:lpwstr>
  </property>
</Properties>
</file>