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4108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2" w:beforeLines="100" w:after="312" w:afterLines="100" w:line="36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“民生政府采购贷”业务管理办法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2" w:beforeLines="100" w:after="312" w:afterLines="100" w:line="360" w:lineRule="auto"/>
        <w:ind w:left="0" w:leftChars="0" w:right="0" w:rightChars="0" w:firstLine="3009" w:firstLineChars="1041"/>
        <w:textAlignment w:val="auto"/>
        <w:outlineLvl w:val="9"/>
        <w:rPr>
          <w:rFonts w:hint="eastAsia" w:ascii="宋体" w:hAnsi="宋体" w:eastAsia="宋体" w:cs="宋体"/>
          <w:b/>
          <w:kern w:val="0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第一节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总则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98" w:firstLineChars="200"/>
        <w:jc w:val="both"/>
        <w:textAlignment w:val="auto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b/>
          <w:kern w:val="0"/>
        </w:rPr>
        <w:t>第一条</w:t>
      </w:r>
      <w:r>
        <w:rPr>
          <w:rFonts w:hint="eastAsia" w:ascii="宋体" w:hAnsi="宋体" w:eastAsia="宋体" w:cs="宋体"/>
          <w:b/>
          <w:kern w:val="0"/>
        </w:rPr>
        <w:t xml:space="preserve"> </w:t>
      </w:r>
      <w:r>
        <w:rPr>
          <w:rFonts w:hint="eastAsia" w:ascii="宋体" w:hAnsi="宋体" w:eastAsia="宋体" w:cs="宋体"/>
          <w:bCs/>
        </w:rPr>
        <w:t>为了加强对我行“民生政府采购贷”业务的管理，保证该类业务的顺利开展，有效控制业务风险，提升我行金融产品的体验度，根据国家有关法律法规</w:t>
      </w:r>
      <w:r>
        <w:rPr>
          <w:rFonts w:hint="eastAsia" w:ascii="宋体" w:hAnsi="宋体" w:eastAsia="宋体" w:cs="宋体"/>
          <w:kern w:val="0"/>
        </w:rPr>
        <w:t>及</w:t>
      </w:r>
      <w:r>
        <w:rPr>
          <w:rFonts w:hint="eastAsia" w:ascii="宋体" w:hAnsi="宋体" w:eastAsia="宋体" w:cs="宋体"/>
          <w:bCs/>
        </w:rPr>
        <w:t>我行相关规章制度，制定本办法。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98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/>
          <w:kern w:val="0"/>
        </w:rPr>
        <w:t>第二条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Cs/>
        </w:rPr>
        <w:t>“民生政府采购贷”是指我行向政府采购中标</w:t>
      </w:r>
      <w:r>
        <w:rPr>
          <w:rFonts w:hint="eastAsia" w:ascii="宋体" w:hAnsi="宋体" w:eastAsia="宋体" w:cs="宋体"/>
          <w:bCs/>
          <w:lang w:eastAsia="zh-CN"/>
        </w:rPr>
        <w:t>供应商</w:t>
      </w:r>
      <w:r>
        <w:rPr>
          <w:rFonts w:hint="eastAsia" w:ascii="宋体" w:hAnsi="宋体" w:eastAsia="宋体" w:cs="宋体"/>
          <w:bCs/>
        </w:rPr>
        <w:t>发放融资的授信业务。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98" w:firstLineChars="200"/>
        <w:textAlignment w:val="auto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/>
          <w:kern w:val="0"/>
        </w:rPr>
        <w:t>第三条</w:t>
      </w:r>
      <w:r>
        <w:rPr>
          <w:rFonts w:hint="eastAsia" w:ascii="宋体" w:hAnsi="宋体" w:eastAsia="宋体" w:cs="宋体"/>
          <w:b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Cs/>
        </w:rPr>
        <w:t>本办法适用于中国民生银行股份有限公司郑州分行办理的“民生政府采购贷”业务。本业务由分行</w:t>
      </w:r>
      <w:r>
        <w:rPr>
          <w:rFonts w:hint="eastAsia" w:ascii="宋体" w:hAnsi="宋体" w:eastAsia="宋体" w:cs="宋体"/>
          <w:bCs/>
          <w:lang w:eastAsia="zh-CN"/>
        </w:rPr>
        <w:t>公司业务部</w:t>
      </w:r>
      <w:r>
        <w:rPr>
          <w:rFonts w:hint="eastAsia" w:ascii="宋体" w:hAnsi="宋体" w:eastAsia="宋体" w:cs="宋体"/>
          <w:bCs/>
        </w:rPr>
        <w:t>总体负责。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2" w:beforeLines="100" w:after="312" w:afterLines="100" w:line="360" w:lineRule="auto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第二节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贷款对象和用途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98" w:firstLineChars="200"/>
        <w:textAlignment w:val="auto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/>
          <w:kern w:val="0"/>
        </w:rPr>
        <w:t>第四条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Cs/>
        </w:rPr>
        <w:t>贷款对象。借款人必须是经有权部门批准成立并依法持有法人营业执照、实行独立核算、具有法人资格的客户。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98" w:firstLineChars="200"/>
        <w:textAlignment w:val="auto"/>
        <w:outlineLvl w:val="9"/>
        <w:rPr>
          <w:rFonts w:hint="eastAsia" w:ascii="宋体" w:hAnsi="宋体" w:eastAsia="宋体" w:cs="宋体"/>
          <w:bCs/>
          <w:color w:val="FF0000"/>
        </w:rPr>
      </w:pPr>
      <w:r>
        <w:rPr>
          <w:rFonts w:hint="eastAsia" w:ascii="宋体" w:hAnsi="宋体" w:eastAsia="宋体" w:cs="宋体"/>
          <w:b/>
          <w:kern w:val="0"/>
        </w:rPr>
        <w:t>第五</w:t>
      </w:r>
      <w:r>
        <w:rPr>
          <w:rFonts w:hint="eastAsia" w:ascii="宋体" w:hAnsi="宋体" w:eastAsia="宋体" w:cs="宋体"/>
          <w:b/>
          <w:color w:val="auto"/>
          <w:kern w:val="0"/>
        </w:rPr>
        <w:t>条</w:t>
      </w: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Cs/>
          <w:color w:val="auto"/>
        </w:rPr>
        <w:t>贷款用途。</w:t>
      </w:r>
      <w:r>
        <w:rPr>
          <w:rFonts w:hint="eastAsia" w:ascii="宋体" w:hAnsi="宋体" w:eastAsia="宋体" w:cs="宋体"/>
          <w:bCs/>
          <w:color w:val="auto"/>
          <w:lang w:eastAsia="zh-CN"/>
        </w:rPr>
        <w:t>贷款资金仅限用于</w:t>
      </w:r>
      <w:r>
        <w:rPr>
          <w:rFonts w:hint="eastAsia" w:ascii="宋体" w:hAnsi="宋体" w:eastAsia="宋体" w:cs="宋体"/>
          <w:bCs/>
          <w:color w:val="auto"/>
        </w:rPr>
        <w:t>借款人向上游供应商支付</w:t>
      </w:r>
      <w:r>
        <w:rPr>
          <w:rFonts w:hint="eastAsia" w:ascii="宋体" w:hAnsi="宋体" w:eastAsia="宋体" w:cs="宋体"/>
          <w:bCs/>
          <w:color w:val="auto"/>
          <w:lang w:eastAsia="zh-CN"/>
        </w:rPr>
        <w:t>货款，且采购货物为质押订单项下的交易标的</w:t>
      </w:r>
      <w:r>
        <w:rPr>
          <w:rFonts w:hint="eastAsia" w:ascii="宋体" w:hAnsi="宋体" w:eastAsia="宋体" w:cs="宋体"/>
          <w:bCs/>
          <w:color w:val="auto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2" w:beforeLines="100" w:after="312" w:afterLines="100" w:line="360" w:lineRule="auto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第三节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贷款条件和申请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 w:rightChars="0" w:firstLine="498" w:firstLineChars="200"/>
        <w:textAlignment w:val="auto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/>
          <w:kern w:val="0"/>
        </w:rPr>
        <w:t>第六条</w:t>
      </w:r>
      <w:r>
        <w:rPr>
          <w:rFonts w:hint="eastAsia" w:ascii="宋体" w:hAnsi="宋体" w:eastAsia="宋体" w:cs="宋体"/>
          <w:b/>
          <w:kern w:val="0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bCs/>
        </w:rPr>
        <w:t>贷款条件。借款人须具备下列基本条件：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 w:rightChars="0" w:firstLine="496" w:firstLineChars="200"/>
        <w:textAlignment w:val="auto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（一）具有法人营业执照并已办理年检手续（若需年检）；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 w:rightChars="0" w:firstLine="496" w:firstLineChars="200"/>
        <w:textAlignment w:val="auto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（二）借款人从事政府采购业务</w:t>
      </w:r>
      <w:r>
        <w:rPr>
          <w:rFonts w:hint="eastAsia" w:ascii="宋体" w:hAnsi="宋体" w:eastAsia="宋体" w:cs="宋体"/>
          <w:bCs/>
          <w:lang w:val="en-US" w:eastAsia="zh-CN"/>
        </w:rPr>
        <w:t>一</w:t>
      </w:r>
      <w:r>
        <w:rPr>
          <w:rFonts w:hint="eastAsia" w:ascii="宋体" w:hAnsi="宋体" w:eastAsia="宋体" w:cs="宋体"/>
          <w:bCs/>
        </w:rPr>
        <w:t>年以上，或实际控制人从事政府物品采购业务两年以上</w:t>
      </w:r>
      <w:r>
        <w:rPr>
          <w:rFonts w:hint="eastAsia" w:ascii="宋体" w:hAnsi="宋体" w:eastAsia="宋体" w:cs="宋体"/>
          <w:bCs/>
          <w:lang w:eastAsia="zh-CN"/>
        </w:rPr>
        <w:t>（仅限货物采买类）</w:t>
      </w:r>
      <w:r>
        <w:rPr>
          <w:rFonts w:hint="eastAsia" w:ascii="宋体" w:hAnsi="宋体" w:eastAsia="宋体" w:cs="宋体"/>
          <w:sz w:val="30"/>
          <w:szCs w:val="30"/>
        </w:rPr>
        <w:t>，</w:t>
      </w:r>
      <w:r>
        <w:rPr>
          <w:rFonts w:hint="eastAsia" w:ascii="宋体" w:hAnsi="宋体" w:eastAsia="宋体" w:cs="宋体"/>
          <w:bCs/>
          <w:lang w:eastAsia="zh-CN"/>
        </w:rPr>
        <w:t>信用评级</w:t>
      </w:r>
      <w:r>
        <w:rPr>
          <w:rFonts w:hint="eastAsia" w:ascii="宋体" w:hAnsi="宋体" w:eastAsia="宋体" w:cs="宋体"/>
          <w:bCs/>
          <w:lang w:val="en-US" w:eastAsia="zh-CN"/>
        </w:rPr>
        <w:t>BBB+以上；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 w:rightChars="0" w:firstLine="496" w:firstLineChars="200"/>
        <w:textAlignment w:val="auto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（三）以前年度项目履约及回款情况良好；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 w:rightChars="0" w:firstLine="496" w:firstLineChars="200"/>
        <w:textAlignment w:val="auto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（四）借款人及实际控制人征信无不良记录；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 w:rightChars="0" w:firstLine="496" w:firstLineChars="200"/>
        <w:textAlignment w:val="auto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（五）借款人无政府采购供应商黑名单记录；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 w:rightChars="0" w:firstLine="496" w:firstLineChars="200"/>
        <w:textAlignment w:val="auto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（六）所从事行业需政府部门特别批准的还须具备有权部门的核准文件；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 w:rightChars="0" w:firstLine="496" w:firstLineChars="200"/>
        <w:textAlignment w:val="auto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（七）借款人授信额度项下单笔业务由核心客户承诺债权到期</w:t>
      </w:r>
      <w:r>
        <w:rPr>
          <w:rFonts w:hint="eastAsia" w:ascii="宋体" w:hAnsi="宋体" w:eastAsia="宋体" w:cs="宋体"/>
          <w:bCs/>
          <w:lang w:eastAsia="zh-CN"/>
        </w:rPr>
        <w:t>无条件受让</w:t>
      </w:r>
      <w:r>
        <w:rPr>
          <w:rFonts w:hint="eastAsia" w:ascii="宋体" w:hAnsi="宋体" w:eastAsia="宋体" w:cs="宋体"/>
          <w:bCs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 w:rightChars="0" w:firstLine="496" w:firstLineChars="200"/>
        <w:textAlignment w:val="auto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（八）评审其他要求条件。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476" w:leftChars="192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/>
          <w:kern w:val="0"/>
        </w:rPr>
        <w:t>第七条</w:t>
      </w:r>
      <w:r>
        <w:rPr>
          <w:rFonts w:hint="eastAsia" w:ascii="宋体" w:hAnsi="宋体" w:eastAsia="宋体" w:cs="宋体"/>
          <w:b/>
          <w:kern w:val="0"/>
        </w:rPr>
        <w:t xml:space="preserve">  </w:t>
      </w:r>
      <w:r>
        <w:rPr>
          <w:rFonts w:hint="eastAsia" w:ascii="宋体" w:hAnsi="宋体" w:eastAsia="宋体" w:cs="宋体"/>
          <w:bCs/>
        </w:rPr>
        <w:t>贷款申请需提供以下资料：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rightChars="0" w:firstLine="496" w:firstLineChars="200"/>
        <w:textAlignment w:val="auto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（一）包括不限于一般授信提供的基础资料、近一年政府采购业务证明材料等；</w:t>
      </w:r>
      <w:r>
        <w:rPr>
          <w:rFonts w:hint="eastAsia" w:ascii="宋体" w:hAnsi="宋体" w:eastAsia="宋体" w:cs="宋体"/>
          <w:bCs/>
        </w:rPr>
        <w:br w:type="textWrapping"/>
      </w:r>
      <w:r>
        <w:rPr>
          <w:rFonts w:hint="eastAsia" w:ascii="宋体" w:hAnsi="宋体" w:eastAsia="宋体" w:cs="宋体"/>
          <w:bCs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</w:rPr>
        <w:t>（二）中标通知书</w:t>
      </w:r>
      <w:r>
        <w:rPr>
          <w:rFonts w:hint="eastAsia" w:ascii="宋体" w:hAnsi="宋体" w:eastAsia="宋体" w:cs="宋体"/>
          <w:bCs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476" w:leftChars="192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（三）政府供货合同；</w:t>
      </w:r>
      <w:r>
        <w:rPr>
          <w:rFonts w:hint="eastAsia" w:ascii="宋体" w:hAnsi="宋体" w:eastAsia="宋体" w:cs="宋体"/>
          <w:bCs/>
        </w:rPr>
        <w:br w:type="textWrapping"/>
      </w:r>
      <w:r>
        <w:rPr>
          <w:rFonts w:hint="eastAsia" w:ascii="宋体" w:hAnsi="宋体" w:eastAsia="宋体" w:cs="宋体"/>
          <w:bCs/>
        </w:rPr>
        <w:t>（四）货物采购合同；</w:t>
      </w:r>
      <w:r>
        <w:rPr>
          <w:rFonts w:hint="eastAsia" w:ascii="宋体" w:hAnsi="宋体" w:eastAsia="宋体" w:cs="宋体"/>
          <w:bCs/>
        </w:rPr>
        <w:br w:type="textWrapping"/>
      </w:r>
      <w:r>
        <w:rPr>
          <w:rFonts w:hint="eastAsia" w:ascii="宋体" w:hAnsi="宋体" w:eastAsia="宋体" w:cs="宋体"/>
          <w:bCs/>
        </w:rPr>
        <w:t>（五）我行要求提供的其他资料。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2" w:beforeLines="100" w:after="312" w:afterLines="100" w:line="360" w:lineRule="auto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 xml:space="preserve">  第四节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贷款期限、利率和额度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rightChars="0" w:firstLine="498" w:firstLineChars="200"/>
        <w:textAlignment w:val="auto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/>
          <w:kern w:val="0"/>
        </w:rPr>
        <w:t>第八条　</w:t>
      </w:r>
      <w:r>
        <w:rPr>
          <w:rFonts w:hint="eastAsia" w:ascii="宋体" w:hAnsi="宋体" w:eastAsia="宋体" w:cs="宋体"/>
          <w:bCs/>
        </w:rPr>
        <w:t>贷款期限。批量项下单笔贷款期限原则上不超过</w:t>
      </w:r>
      <w:r>
        <w:rPr>
          <w:rFonts w:hint="eastAsia" w:ascii="宋体" w:hAnsi="宋体" w:eastAsia="宋体" w:cs="宋体"/>
          <w:bCs/>
          <w:lang w:val="en-US" w:eastAsia="zh-CN"/>
        </w:rPr>
        <w:t>12</w:t>
      </w:r>
      <w:r>
        <w:rPr>
          <w:rFonts w:hint="eastAsia" w:ascii="宋体" w:hAnsi="宋体" w:eastAsia="宋体" w:cs="宋体"/>
          <w:bCs/>
        </w:rPr>
        <w:t>个月</w:t>
      </w:r>
      <w:r>
        <w:rPr>
          <w:rFonts w:hint="eastAsia" w:ascii="宋体" w:hAnsi="宋体" w:eastAsia="宋体" w:cs="宋体"/>
          <w:bCs/>
          <w:lang w:eastAsia="zh-CN"/>
        </w:rPr>
        <w:t>；确因业务需要</w:t>
      </w:r>
      <w:r>
        <w:rPr>
          <w:rFonts w:hint="eastAsia" w:ascii="宋体" w:hAnsi="宋体" w:eastAsia="宋体" w:cs="宋体"/>
          <w:bCs/>
        </w:rPr>
        <w:t>，经授信评审部门核准后，贷款期限可适当延长。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498" w:firstLineChars="200"/>
        <w:textAlignment w:val="auto"/>
        <w:outlineLvl w:val="9"/>
        <w:rPr>
          <w:rFonts w:hint="eastAsia" w:ascii="宋体" w:hAnsi="宋体" w:eastAsia="宋体" w:cs="宋体"/>
          <w:bCs/>
          <w:kern w:val="16"/>
        </w:rPr>
      </w:pPr>
      <w:r>
        <w:rPr>
          <w:rFonts w:hint="eastAsia" w:ascii="宋体" w:hAnsi="宋体" w:eastAsia="宋体" w:cs="宋体"/>
          <w:b/>
        </w:rPr>
        <w:t>第九条　</w:t>
      </w:r>
      <w:r>
        <w:rPr>
          <w:rFonts w:hint="eastAsia" w:ascii="宋体" w:hAnsi="宋体" w:eastAsia="宋体" w:cs="宋体"/>
          <w:bCs/>
          <w:kern w:val="16"/>
        </w:rPr>
        <w:t>贷款利率。贷款利率按照我行规定的同期对公贷款利率执行。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498" w:firstLineChars="200"/>
        <w:textAlignment w:val="auto"/>
        <w:outlineLvl w:val="9"/>
        <w:rPr>
          <w:rFonts w:hint="eastAsia" w:ascii="宋体" w:hAnsi="宋体" w:eastAsia="宋体" w:cs="宋体"/>
          <w:bCs/>
          <w:kern w:val="16"/>
        </w:rPr>
      </w:pPr>
      <w:r>
        <w:rPr>
          <w:rFonts w:hint="eastAsia" w:ascii="宋体" w:hAnsi="宋体" w:eastAsia="宋体" w:cs="宋体"/>
          <w:b/>
        </w:rPr>
        <w:t>第十条　</w:t>
      </w:r>
      <w:r>
        <w:rPr>
          <w:rFonts w:hint="eastAsia" w:ascii="宋体" w:hAnsi="宋体" w:eastAsia="宋体" w:cs="宋体"/>
          <w:bCs/>
          <w:kern w:val="16"/>
        </w:rPr>
        <w:t>贷款额度。以授信评审部门审批为准。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2" w:beforeLines="100" w:after="312" w:afterLines="100" w:line="360" w:lineRule="auto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第五节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贷款担保方式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 w:rightChars="0" w:firstLine="458" w:firstLineChars="200"/>
        <w:textAlignment w:val="auto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b/>
          <w:kern w:val="0"/>
          <w:sz w:val="22"/>
          <w:szCs w:val="22"/>
        </w:rPr>
        <w:t>第十一条</w:t>
      </w:r>
      <w:r>
        <w:rPr>
          <w:rFonts w:hint="eastAsia" w:ascii="宋体" w:hAnsi="宋体" w:eastAsia="宋体" w:cs="宋体"/>
          <w:kern w:val="0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kern w:val="0"/>
        </w:rPr>
        <w:t>“民生政府采购贷”业务授信担保方式为：订单质押+未来应收账款质押</w:t>
      </w:r>
      <w:r>
        <w:rPr>
          <w:rFonts w:hint="eastAsia" w:ascii="宋体" w:hAnsi="宋体" w:eastAsia="宋体" w:cs="宋体"/>
          <w:kern w:val="0"/>
          <w:lang w:val="en-US" w:eastAsia="zh-CN"/>
        </w:rPr>
        <w:t>+回款账户锁定+</w:t>
      </w:r>
      <w:r>
        <w:rPr>
          <w:rFonts w:hint="eastAsia" w:ascii="宋体" w:hAnsi="宋体" w:eastAsia="宋体" w:cs="宋体"/>
          <w:kern w:val="0"/>
        </w:rPr>
        <w:t>郑州市联创融久小额贷款有限公司债权</w:t>
      </w:r>
      <w:r>
        <w:rPr>
          <w:rFonts w:hint="eastAsia" w:ascii="宋体" w:hAnsi="宋体" w:eastAsia="宋体" w:cs="宋体"/>
          <w:kern w:val="0"/>
          <w:lang w:eastAsia="zh-CN"/>
        </w:rPr>
        <w:t>受让</w:t>
      </w:r>
      <w:r>
        <w:rPr>
          <w:rFonts w:hint="eastAsia" w:ascii="宋体" w:hAnsi="宋体" w:eastAsia="宋体" w:cs="宋体"/>
          <w:kern w:val="0"/>
          <w:lang w:val="en-US" w:eastAsia="zh-CN"/>
        </w:rPr>
        <w:t>+</w:t>
      </w:r>
      <w:r>
        <w:rPr>
          <w:rFonts w:hint="eastAsia" w:ascii="宋体" w:hAnsi="宋体" w:eastAsia="宋体" w:cs="宋体"/>
          <w:kern w:val="0"/>
        </w:rPr>
        <w:t>实际控制人及配偶（如有）担保。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 w:rightChars="0" w:firstLine="498" w:firstLineChars="200"/>
        <w:textAlignment w:val="auto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/>
          <w:kern w:val="0"/>
        </w:rPr>
        <w:t>第十二条</w:t>
      </w:r>
      <w:r>
        <w:rPr>
          <w:rFonts w:hint="eastAsia" w:ascii="宋体" w:hAnsi="宋体" w:eastAsia="宋体" w:cs="宋体"/>
          <w:b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kern w:val="0"/>
        </w:rPr>
        <w:t>郑州市联创融久小额贷款有限公司</w:t>
      </w:r>
      <w:r>
        <w:rPr>
          <w:rFonts w:hint="eastAsia" w:ascii="宋体" w:hAnsi="宋体" w:eastAsia="宋体" w:cs="宋体"/>
          <w:bCs/>
        </w:rPr>
        <w:t>（以下简称“联创融久”）对借款人授信额度项下单笔业务</w:t>
      </w:r>
      <w:r>
        <w:rPr>
          <w:rFonts w:hint="eastAsia" w:ascii="宋体" w:hAnsi="宋体" w:eastAsia="宋体" w:cs="宋体"/>
          <w:bCs/>
          <w:lang w:eastAsia="zh-CN"/>
        </w:rPr>
        <w:t>债权到期受让，</w:t>
      </w:r>
      <w:r>
        <w:rPr>
          <w:rFonts w:hint="eastAsia" w:ascii="宋体" w:hAnsi="宋体" w:eastAsia="宋体" w:cs="宋体"/>
          <w:bCs/>
        </w:rPr>
        <w:t>签订《债权</w:t>
      </w:r>
      <w:r>
        <w:rPr>
          <w:rFonts w:hint="eastAsia" w:ascii="宋体" w:hAnsi="宋体" w:eastAsia="宋体" w:cs="宋体"/>
          <w:bCs/>
          <w:lang w:eastAsia="zh-CN"/>
        </w:rPr>
        <w:t>转让</w:t>
      </w:r>
      <w:r>
        <w:rPr>
          <w:rFonts w:hint="eastAsia" w:ascii="宋体" w:hAnsi="宋体" w:eastAsia="宋体" w:cs="宋体"/>
          <w:bCs/>
        </w:rPr>
        <w:t>协议》，并协同民生银行做好贷后相关工作。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  <w:spacing w:val="4"/>
          <w:kern w:val="16"/>
          <w:sz w:val="24"/>
          <w:szCs w:val="24"/>
          <w:lang w:val="en-US" w:eastAsia="zh-CN" w:bidi="ar-SA"/>
        </w:rPr>
      </w:pPr>
    </w:p>
    <w:p>
      <w:pPr>
        <w:rPr>
          <w:rFonts w:hint="eastAsia" w:ascii="宋体" w:hAnsi="宋体" w:eastAsia="宋体" w:cs="宋体"/>
          <w:spacing w:val="4"/>
          <w:kern w:val="16"/>
          <w:sz w:val="24"/>
          <w:szCs w:val="24"/>
          <w:lang w:val="en-US" w:eastAsia="zh-CN" w:bidi="ar-SA"/>
        </w:rPr>
      </w:pPr>
    </w:p>
    <w:p>
      <w:pPr>
        <w:rPr>
          <w:rFonts w:hint="eastAsia" w:ascii="宋体" w:hAnsi="宋体" w:eastAsia="宋体" w:cs="宋体"/>
          <w:spacing w:val="4"/>
          <w:kern w:val="16"/>
          <w:sz w:val="24"/>
          <w:szCs w:val="24"/>
          <w:lang w:val="en-US" w:eastAsia="zh-CN" w:bidi="ar-SA"/>
        </w:rPr>
      </w:pPr>
    </w:p>
    <w:p>
      <w:pPr>
        <w:rPr>
          <w:rFonts w:hint="eastAsia" w:ascii="宋体" w:hAnsi="宋体" w:eastAsia="宋体" w:cs="宋体"/>
          <w:spacing w:val="4"/>
          <w:kern w:val="16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249" w:firstLineChars="100"/>
        <w:jc w:val="both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249" w:firstLineChars="100"/>
        <w:jc w:val="both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河南政府采购批量项目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方案：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96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本次申请批量额度20亿元。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批量项下单户综合授信额度不超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1000万元，对采购资金来源为省级财政预算资金的单笔业务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及郑州市级的单笔业务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额度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不超</w:t>
      </w:r>
      <w:r>
        <w:rPr>
          <w:rFonts w:hint="eastAsia" w:ascii="宋体" w:hAnsi="宋体" w:eastAsia="宋体" w:cs="宋体"/>
          <w:sz w:val="24"/>
          <w:szCs w:val="24"/>
        </w:rPr>
        <w:t>2000万元。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提用授信对应的政府采购资金来源限定为省级、市级及郑州市所属区、县级，并由郑州市联创融久小额贷款股份有限公司提供债权到期受让义务。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Style w:val="5"/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sz w:val="24"/>
          <w:szCs w:val="24"/>
        </w:rPr>
        <w:t>一、授信品种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96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流动资金贷款、进口信用证押汇、进口代收押汇、T/T进口押汇、国内信用证、银行承兑汇票、商票贴现和商票兑付，利率及保证金比例按照我行要求执行。单笔业务融资期限不超过1年。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Style w:val="5"/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  <w:t>二</w:t>
      </w:r>
      <w:r>
        <w:rPr>
          <w:rStyle w:val="5"/>
          <w:rFonts w:hint="eastAsia" w:ascii="宋体" w:hAnsi="宋体" w:eastAsia="宋体" w:cs="宋体"/>
          <w:sz w:val="24"/>
          <w:szCs w:val="24"/>
        </w:rPr>
        <w:t>、担保方式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96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、融资订单的未来应收账款质押，质押率不超过70%；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96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、保证金账户质押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96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3、授信供应商实际控制人夫妇提供个人连带责任保证担保；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96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郑州市联创融久小额贷款股份有限公司提供债权到期受让义务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三、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供应商客户分层及额度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96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A类客户（优先介入）：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（1）上年或本年政府采购合同额2000万元以上；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（2）原则上公司或实际控制人从事政府采购业务5年及以上；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（3）原则上总资产在2000万元以上。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96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B类客户（适度介入1类）：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（1）上年或本年政府采购合同额1000万元至2000万元（含）；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（2）原则上公司或实际控制人从事政府采购业务3年及以上；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（3）原则上总资产在1000万元至2000万元（含）。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96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C类客户（适度介入2类）：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（1）上年或本年政府采购合同额500万元至1000万元（含）；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（2）原则上公司或实际控制人从事政府采购业务2年及以上；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（3）原则上总资产在500万元至1000万元（含）。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96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D类客户（谨慎介入）：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（1）上年或本年政府采购合同额300万元至500万元（含）；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（2）原则上公司从事政府采购业务1年，或实际控制人从事政府采购业务2年及以上；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（3）原则上总资产在300万元以上。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四</w:t>
      </w:r>
      <w:r>
        <w:rPr>
          <w:rFonts w:hint="eastAsia" w:ascii="宋体" w:hAnsi="宋体" w:eastAsia="宋体" w:cs="宋体"/>
          <w:b/>
          <w:sz w:val="24"/>
          <w:szCs w:val="24"/>
        </w:rPr>
        <w:t>、额度核定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96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单户综合授信额度不超过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1000万元，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对采购资金来源为省级财政预算资金的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单笔业务及郑州市级的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单笔业务额度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不超</w:t>
      </w:r>
      <w:r>
        <w:rPr>
          <w:rFonts w:hint="eastAsia" w:ascii="宋体" w:hAnsi="宋体" w:eastAsia="宋体" w:cs="宋体"/>
          <w:sz w:val="24"/>
          <w:szCs w:val="24"/>
        </w:rPr>
        <w:t>2000万元。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单</w:t>
      </w:r>
      <w:r>
        <w:rPr>
          <w:rFonts w:hint="eastAsia" w:ascii="宋体" w:hAnsi="宋体" w:eastAsia="宋体" w:cs="宋体"/>
          <w:sz w:val="24"/>
          <w:szCs w:val="24"/>
        </w:rPr>
        <w:t>笔融资出账额度不超过该单笔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中标金额的</w:t>
      </w:r>
      <w:r>
        <w:rPr>
          <w:rFonts w:hint="eastAsia" w:ascii="宋体" w:hAnsi="宋体" w:eastAsia="宋体" w:cs="宋体"/>
          <w:sz w:val="24"/>
          <w:szCs w:val="24"/>
        </w:rPr>
        <w:t>（刨除预付款）的70%。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951A8"/>
    <w:rsid w:val="38E951A8"/>
    <w:rsid w:val="49AC744B"/>
    <w:rsid w:val="7DDC68C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spacing w:val="4"/>
      <w:kern w:val="16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Times New Roman" w:cs="Arial Unicode MS"/>
      <w:kern w:val="0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2020-02-28T07:44:00Z</dcterms:created>
  <dc:creator>lenovo</dc:creator>
  <cp:lastModifiedBy>lenovo</cp:lastModifiedBy>
  <dcterms:modified xsi:type="dcterms:W3CDTF">2020-02-28T08:39:40Z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