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800" w:lineRule="exact"/>
        <w:ind w:right="1677" w:rightChars="599"/>
        <w:jc w:val="distribute"/>
        <w:rPr>
          <w:rFonts w:ascii="方正小标宋_GBK" w:hAnsi="方正小标宋_GBK" w:eastAsia="方正小标宋_GBK" w:cs="方正小标宋_GBK"/>
          <w:color w:val="FF0000"/>
          <w:sz w:val="60"/>
          <w:szCs w:val="60"/>
        </w:rPr>
      </w:pPr>
    </w:p>
    <w:p>
      <w:pPr>
        <w:spacing w:line="800" w:lineRule="exact"/>
        <w:ind w:right="1677" w:rightChars="599"/>
        <w:jc w:val="distribute"/>
        <w:rPr>
          <w:rFonts w:ascii="方正小标宋_GBK" w:hAnsi="方正小标宋_GBK" w:eastAsia="方正小标宋_GBK" w:cs="方正小标宋_GBK"/>
          <w:color w:val="FF0000"/>
          <w:sz w:val="60"/>
          <w:szCs w:val="60"/>
        </w:rPr>
      </w:pPr>
      <w:r>
        <w:rPr>
          <w:rFonts w:ascii="方正小标宋简体" w:hAnsi="方正小标宋简体" w:eastAsia="方正小标宋简体" w:cs="方正小标宋简体"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4380865</wp:posOffset>
                </wp:positionH>
                <wp:positionV relativeFrom="paragraph">
                  <wp:posOffset>389890</wp:posOffset>
                </wp:positionV>
                <wp:extent cx="1333500" cy="98361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876925" y="1884045"/>
                          <a:ext cx="1714500" cy="1111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600" w:lineRule="exact"/>
                              <w:rPr>
                                <w:rFonts w:ascii="方正小标宋_GBK" w:hAnsi="方正小标宋_GBK" w:eastAsia="方正小标宋_GBK" w:cs="方正小标宋_GBK"/>
                                <w:color w:val="FF0000"/>
                                <w:spacing w:val="-74"/>
                                <w:sz w:val="110"/>
                                <w:szCs w:val="110"/>
                              </w:rPr>
                            </w:pPr>
                            <w:r>
                              <w:rPr>
                                <w:rFonts w:hint="eastAsia" w:ascii="方正小标宋简体" w:hAnsi="方正小标宋简体" w:eastAsia="方正小标宋简体" w:cs="方正小标宋简体"/>
                                <w:color w:val="FF0000"/>
                                <w:spacing w:val="-74"/>
                                <w:sz w:val="100"/>
                                <w:szCs w:val="100"/>
                              </w:rPr>
                              <w:t>文件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4.95pt;margin-top:30.7pt;height:77.45pt;width:105pt;z-index:251659264;mso-width-relative:page;mso-height-relative:page;" filled="f" stroked="f" coordsize="21600,21600" o:gfxdata="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GwtDoDaAAAACgEAAA8AAAAA&#10;AAAAAQAgAAAAIgAAAGRycy9kb3ducmV2LnhtbFBLAQIUABQAAAAIAIdO4kASa+DxSwIAAIEEAAAO&#10;AAAAAAAAAAEAIAAAACkBAABkcnMvZTJvRG9jLnhtbFBLBQYAAAAABgAGAFkBAADm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600" w:lineRule="exact"/>
                        <w:rPr>
                          <w:rFonts w:ascii="方正小标宋_GBK" w:hAnsi="方正小标宋_GBK" w:eastAsia="方正小标宋_GBK" w:cs="方正小标宋_GBK"/>
                          <w:color w:val="FF0000"/>
                          <w:spacing w:val="-74"/>
                          <w:sz w:val="110"/>
                          <w:szCs w:val="110"/>
                        </w:rPr>
                      </w:pPr>
                      <w:r>
                        <w:rPr>
                          <w:rFonts w:hint="eastAsia" w:ascii="方正小标宋简体" w:hAnsi="方正小标宋简体" w:eastAsia="方正小标宋简体" w:cs="方正小标宋简体"/>
                          <w:color w:val="FF0000"/>
                          <w:spacing w:val="-74"/>
                          <w:sz w:val="100"/>
                          <w:szCs w:val="100"/>
                        </w:rPr>
                        <w:t>文件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800" w:lineRule="exact"/>
        <w:ind w:right="1677" w:rightChars="599"/>
        <w:jc w:val="distribute"/>
        <w:rPr>
          <w:rFonts w:ascii="方正小标宋简体" w:hAnsi="方正小标宋简体" w:eastAsia="方正小标宋简体" w:cs="方正小标宋简体"/>
          <w:color w:val="FF0000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color w:val="FF0000"/>
          <w:sz w:val="72"/>
          <w:szCs w:val="72"/>
        </w:rPr>
        <w:t>柘城县财政局</w:t>
      </w:r>
    </w:p>
    <w:p>
      <w:pPr>
        <w:spacing w:line="800" w:lineRule="exact"/>
        <w:ind w:right="1677" w:rightChars="599"/>
        <w:jc w:val="distribute"/>
        <w:rPr>
          <w:rFonts w:ascii="方正小标宋_GBK" w:hAnsi="方正小标宋_GBK" w:eastAsia="方正小标宋_GBK" w:cs="方正小标宋_GBK"/>
          <w:color w:val="FF0000"/>
          <w:w w:val="90"/>
          <w:sz w:val="60"/>
          <w:szCs w:val="60"/>
        </w:rPr>
      </w:pPr>
      <w:r>
        <w:rPr>
          <w:rFonts w:hint="eastAsia" w:ascii="方正小标宋简体" w:hAnsi="方正小标宋简体" w:eastAsia="方正小标宋简体" w:cs="方正小标宋简体"/>
          <w:color w:val="FF0000"/>
          <w:w w:val="90"/>
          <w:sz w:val="72"/>
          <w:szCs w:val="72"/>
        </w:rPr>
        <w:t>柘城县市场监督管理局</w:t>
      </w:r>
    </w:p>
    <w:p>
      <w:pPr>
        <w:spacing w:line="574" w:lineRule="exact"/>
      </w:pPr>
    </w:p>
    <w:p>
      <w:pPr>
        <w:spacing w:line="574" w:lineRule="exact"/>
      </w:pPr>
    </w:p>
    <w:p>
      <w:pPr>
        <w:spacing w:line="574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柘财〔2022〕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91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tbl>
      <w:tblPr>
        <w:tblStyle w:val="11"/>
        <w:tblW w:w="8803" w:type="dxa"/>
        <w:tblInd w:w="128" w:type="dxa"/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3"/>
      </w:tblGrid>
      <w:tr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" w:hRule="atLeast"/>
        </w:trPr>
        <w:tc>
          <w:tcPr>
            <w:tcW w:w="8803" w:type="dxa"/>
            <w:tcBorders>
              <w:top w:val="single" w:color="FF0000" w:sz="18" w:space="0"/>
            </w:tcBorders>
          </w:tcPr>
          <w:p>
            <w:pPr>
              <w:tabs>
                <w:tab w:val="left" w:pos="1820"/>
                <w:tab w:val="left" w:pos="4986"/>
                <w:tab w:val="right" w:pos="8306"/>
              </w:tabs>
              <w:spacing w:line="560" w:lineRule="exact"/>
              <w:rPr>
                <w:sz w:val="40"/>
                <w:u w:val="single"/>
              </w:rPr>
            </w:pPr>
          </w:p>
        </w:tc>
      </w:tr>
    </w:tbl>
    <w:p>
      <w:pPr>
        <w:spacing w:line="600" w:lineRule="exact"/>
      </w:pP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柘城县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财政局政府采购代理机构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“双随机、一公开”部门联合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监督检查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实施方案</w:t>
      </w:r>
    </w:p>
    <w:p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根据《柘城县人民政府关于在市场监管领域全面推行部门联合“双随机、一公开”监管实施意见》（柘政[2020]2号）文件精神和《柘城县财政局关于印发</w:t>
      </w:r>
      <w:r>
        <w:rPr>
          <w:rFonts w:ascii="仿宋" w:hAnsi="仿宋" w:eastAsia="仿宋"/>
          <w:sz w:val="32"/>
          <w:szCs w:val="32"/>
        </w:rPr>
        <w:t>&lt;</w:t>
      </w:r>
      <w:r>
        <w:rPr>
          <w:rFonts w:hint="eastAsia" w:ascii="仿宋" w:hAnsi="仿宋" w:eastAsia="仿宋"/>
          <w:sz w:val="32"/>
          <w:szCs w:val="32"/>
        </w:rPr>
        <w:t>柘城县财政局</w:t>
      </w:r>
      <w:r>
        <w:rPr>
          <w:rFonts w:ascii="仿宋" w:hAnsi="仿宋" w:eastAsia="仿宋"/>
          <w:sz w:val="32"/>
          <w:szCs w:val="32"/>
        </w:rPr>
        <w:t>2022年</w:t>
      </w:r>
      <w:r>
        <w:rPr>
          <w:rFonts w:hint="eastAsia" w:ascii="仿宋" w:hAnsi="仿宋" w:eastAsia="仿宋"/>
          <w:sz w:val="32"/>
          <w:szCs w:val="32"/>
        </w:rPr>
        <w:t>双随机一公开抽查计划</w:t>
      </w:r>
      <w:r>
        <w:rPr>
          <w:rFonts w:ascii="仿宋" w:hAnsi="仿宋" w:eastAsia="仿宋"/>
          <w:sz w:val="32"/>
          <w:szCs w:val="32"/>
        </w:rPr>
        <w:t>&gt;</w:t>
      </w:r>
      <w:r>
        <w:rPr>
          <w:rFonts w:hint="eastAsia" w:ascii="仿宋" w:hAnsi="仿宋" w:eastAsia="仿宋"/>
          <w:sz w:val="32"/>
          <w:szCs w:val="32"/>
        </w:rPr>
        <w:t>》（柘财[2022]24号），结合实际，决定对全县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范围内开展过政府采购代理业务的省内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  <w:t>政府采购代理</w:t>
      </w:r>
      <w:r>
        <w:rPr>
          <w:rFonts w:hint="eastAsia" w:ascii="仿宋" w:hAnsi="仿宋" w:eastAsia="仿宋"/>
          <w:sz w:val="32"/>
          <w:szCs w:val="32"/>
          <w:shd w:val="clear" w:color="auto" w:fill="FFFFFF"/>
        </w:rPr>
        <w:t>机构</w:t>
      </w:r>
      <w:r>
        <w:rPr>
          <w:rFonts w:hint="eastAsia" w:ascii="仿宋" w:hAnsi="仿宋" w:eastAsia="仿宋"/>
          <w:sz w:val="32"/>
          <w:szCs w:val="32"/>
        </w:rPr>
        <w:t>开展“双随机、一公开”部门联合抽查工作，为保证本次跨部门联合抽查取得实效，特制定如下方案。</w:t>
      </w:r>
    </w:p>
    <w:p>
      <w:pPr>
        <w:spacing w:line="600" w:lineRule="exact"/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一、抽查时间</w:t>
      </w:r>
    </w:p>
    <w:p>
      <w:pPr>
        <w:spacing w:line="600" w:lineRule="exact"/>
        <w:ind w:firstLine="640" w:firstLineChars="200"/>
        <w:jc w:val="left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2022年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sz w:val="32"/>
          <w:szCs w:val="32"/>
        </w:rPr>
        <w:t>月1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日至2022年1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/>
          <w:sz w:val="32"/>
          <w:szCs w:val="32"/>
        </w:rPr>
        <w:t>日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600" w:lineRule="exact"/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抽查对象及范围</w:t>
      </w:r>
    </w:p>
    <w:p>
      <w:pPr>
        <w:spacing w:line="60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对</w:t>
      </w:r>
      <w:r>
        <w:rPr>
          <w:rFonts w:ascii="仿宋" w:hAnsi="仿宋" w:eastAsia="仿宋" w:cs="宋体"/>
          <w:sz w:val="32"/>
          <w:szCs w:val="32"/>
        </w:rPr>
        <w:t>全县范围内</w:t>
      </w:r>
      <w:r>
        <w:rPr>
          <w:rFonts w:hint="eastAsia" w:ascii="仿宋" w:hAnsi="仿宋" w:eastAsia="仿宋" w:cs="Calibri"/>
          <w:sz w:val="32"/>
          <w:szCs w:val="32"/>
        </w:rPr>
        <w:t>从事</w:t>
      </w:r>
      <w:r>
        <w:rPr>
          <w:rFonts w:hint="eastAsia" w:ascii="仿宋" w:hAnsi="仿宋" w:eastAsia="仿宋" w:cs="Calibri"/>
          <w:sz w:val="32"/>
          <w:szCs w:val="32"/>
          <w:lang w:val="en-US" w:eastAsia="zh-CN"/>
        </w:rPr>
        <w:t>政府采购代理</w:t>
      </w:r>
      <w:r>
        <w:rPr>
          <w:rFonts w:hint="eastAsia" w:ascii="仿宋" w:hAnsi="仿宋" w:eastAsia="仿宋" w:cs="Calibri"/>
          <w:sz w:val="32"/>
          <w:szCs w:val="32"/>
        </w:rPr>
        <w:t>业务的</w:t>
      </w:r>
      <w:r>
        <w:rPr>
          <w:rFonts w:hint="eastAsia" w:ascii="仿宋" w:hAnsi="仿宋" w:eastAsia="仿宋" w:cs="Calibri"/>
          <w:sz w:val="32"/>
          <w:szCs w:val="32"/>
          <w:lang w:val="en-US" w:eastAsia="zh-CN"/>
        </w:rPr>
        <w:t>河南省内政府采购代理</w:t>
      </w:r>
      <w:r>
        <w:rPr>
          <w:rFonts w:hint="eastAsia" w:ascii="仿宋" w:hAnsi="仿宋" w:eastAsia="仿宋" w:cs="Calibri"/>
          <w:sz w:val="32"/>
          <w:szCs w:val="32"/>
        </w:rPr>
        <w:t>机构开展“双随机、一公开”部门联合抽查,</w:t>
      </w:r>
      <w:r>
        <w:rPr>
          <w:rFonts w:hint="eastAsia" w:ascii="仿宋" w:hAnsi="仿宋" w:eastAsia="仿宋"/>
          <w:sz w:val="32"/>
          <w:szCs w:val="32"/>
        </w:rPr>
        <w:t>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/>
          <w:sz w:val="32"/>
          <w:szCs w:val="32"/>
        </w:rPr>
        <w:t>%的比例检查。</w:t>
      </w:r>
    </w:p>
    <w:p>
      <w:pPr>
        <w:numPr>
          <w:ilvl w:val="0"/>
          <w:numId w:val="3"/>
        </w:numPr>
        <w:spacing w:line="600" w:lineRule="exact"/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抽查部门及抽查内容</w:t>
      </w:r>
    </w:p>
    <w:p>
      <w:pPr>
        <w:spacing w:line="600" w:lineRule="exact"/>
        <w:ind w:firstLine="640" w:firstLineChars="200"/>
        <w:rPr>
          <w:rFonts w:hint="default" w:ascii="仿宋" w:hAnsi="仿宋" w:eastAsia="仿宋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财政</w:t>
      </w:r>
      <w:r>
        <w:rPr>
          <w:rFonts w:hint="eastAsia" w:ascii="仿宋" w:hAnsi="仿宋" w:eastAsia="仿宋" w:cs="仿宋_GB2312"/>
          <w:sz w:val="32"/>
          <w:szCs w:val="32"/>
        </w:rPr>
        <w:t>局：1、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政府采购人员的职业素质和专业技能的监督检查。2、政府采购代理执业情况监督检查。</w:t>
      </w:r>
    </w:p>
    <w:p>
      <w:pPr>
        <w:spacing w:line="60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市场监督管理局：</w:t>
      </w:r>
      <w:bookmarkStart w:id="0" w:name="_GoBack"/>
      <w:bookmarkEnd w:id="0"/>
      <w:r>
        <w:rPr>
          <w:rFonts w:hint="eastAsia" w:ascii="仿宋" w:hAnsi="仿宋" w:eastAsia="仿宋" w:cs="仿宋_GB2312"/>
          <w:sz w:val="32"/>
          <w:szCs w:val="32"/>
        </w:rPr>
        <w:t>市场主体营业执照规范使用；名称规范使用情况；经营期限；经营范围中无需审批的经营项目；住所（经营场所）或驻在场所；法定代表人（负责人）任职情况；法定代表人及自然人股东身份真实性的情况。</w:t>
      </w:r>
    </w:p>
    <w:p>
      <w:pPr>
        <w:spacing w:line="600" w:lineRule="exact"/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四、检查人员</w:t>
      </w:r>
    </w:p>
    <w:p>
      <w:pPr>
        <w:spacing w:line="60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由县财政局、市场监督管理局根据检查工作的需要，分别提供相对应的本部门执法检查人员，建立联合执法检查人员库，与抽查对象随机匹配，成立联合检查组。</w:t>
      </w:r>
    </w:p>
    <w:p>
      <w:pPr>
        <w:spacing w:line="600" w:lineRule="exact"/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五、工作要求</w:t>
      </w:r>
    </w:p>
    <w:p>
      <w:pPr>
        <w:spacing w:line="60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华文楷体" w:hAnsi="华文楷体" w:eastAsia="华文楷体" w:cs="华文楷体"/>
          <w:sz w:val="32"/>
          <w:szCs w:val="32"/>
        </w:rPr>
        <w:t>（一）加强联系沟通，密切协调配合。</w:t>
      </w:r>
      <w:r>
        <w:rPr>
          <w:rFonts w:hint="eastAsia" w:ascii="仿宋" w:hAnsi="仿宋" w:eastAsia="仿宋"/>
          <w:sz w:val="32"/>
          <w:szCs w:val="32"/>
        </w:rPr>
        <w:t>各有关成员单位要高度重视“双随机、一公开”跨部门联合抽查工作，按照工作安排，积极筹划，精心组织，加强沟通，密切协作，确保联合抽查有序开展。</w:t>
      </w:r>
    </w:p>
    <w:p>
      <w:pPr>
        <w:spacing w:line="60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华文楷体" w:hAnsi="华文楷体" w:eastAsia="华文楷体" w:cs="华文楷体"/>
          <w:sz w:val="32"/>
          <w:szCs w:val="32"/>
        </w:rPr>
        <w:t>（二）统一监管服务，减轻企业负担。</w:t>
      </w:r>
      <w:r>
        <w:rPr>
          <w:rFonts w:hint="eastAsia" w:ascii="仿宋" w:hAnsi="仿宋" w:eastAsia="仿宋"/>
          <w:sz w:val="32"/>
          <w:szCs w:val="32"/>
        </w:rPr>
        <w:t>在联合抽查工作中，各部门要注重服务与监管相统一，执法人员在监督检查中要廉政执法，依法行政。要增强服务意识，主动接受咨询，为服务对象答疑解惑。</w:t>
      </w:r>
    </w:p>
    <w:p>
      <w:pPr>
        <w:shd w:val="clear" w:color="auto" w:fill="FFFFFF"/>
        <w:spacing w:line="600" w:lineRule="exact"/>
        <w:ind w:firstLine="640"/>
        <w:rPr>
          <w:rFonts w:ascii="华文宋体" w:hAnsi="华文宋体" w:eastAsia="华文宋体" w:cs="Calibri"/>
          <w:sz w:val="32"/>
          <w:szCs w:val="32"/>
        </w:rPr>
      </w:pPr>
      <w:r>
        <w:rPr>
          <w:rFonts w:hint="eastAsia" w:ascii="华文楷体" w:hAnsi="华文楷体" w:eastAsia="华文楷体" w:cs="华文楷体"/>
          <w:sz w:val="32"/>
          <w:szCs w:val="32"/>
        </w:rPr>
        <w:t>（三）做好信息公示，促进信用监管。</w:t>
      </w:r>
      <w:r>
        <w:rPr>
          <w:rFonts w:hint="eastAsia" w:ascii="仿宋" w:hAnsi="仿宋" w:eastAsia="仿宋"/>
          <w:sz w:val="32"/>
          <w:szCs w:val="32"/>
        </w:rPr>
        <w:t>各部门的执法人员要在本次抽查任务完成后20个工作日内，按照“谁检查、谁录入、谁公开”的原则，登录“国家企业信用信息公示系统（河南）”将抽查结果录入并向社会公示，接受社会监督，促进形成企业诚信自律的社会氛围。</w:t>
      </w:r>
      <w:r>
        <w:rPr>
          <w:rFonts w:ascii="仿宋" w:hAnsi="仿宋" w:eastAsia="仿宋" w:cs="宋体"/>
          <w:sz w:val="32"/>
          <w:szCs w:val="32"/>
        </w:rPr>
        <w:t>经检查不符合《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政府采购</w:t>
      </w:r>
      <w:r>
        <w:rPr>
          <w:rFonts w:ascii="仿宋" w:hAnsi="仿宋" w:eastAsia="仿宋" w:cs="宋体"/>
          <w:sz w:val="32"/>
          <w:szCs w:val="32"/>
        </w:rPr>
        <w:t>法》规定的资格条件，需要做出“限期整改”，并下达整改通知，于60个工作日内整改，逾期整改仍达不到规定条件的，县财政局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、</w:t>
      </w:r>
      <w:r>
        <w:rPr>
          <w:rFonts w:ascii="仿宋" w:hAnsi="仿宋" w:eastAsia="仿宋" w:cs="宋体"/>
          <w:sz w:val="32"/>
          <w:szCs w:val="32"/>
        </w:rPr>
        <w:t>县</w:t>
      </w:r>
      <w:r>
        <w:rPr>
          <w:rFonts w:hint="eastAsia" w:ascii="仿宋" w:hAnsi="仿宋" w:eastAsia="仿宋" w:cs="Calibri"/>
          <w:sz w:val="32"/>
          <w:szCs w:val="32"/>
        </w:rPr>
        <w:t>市场监督管理局变更其营业范围或依法吊销营业执照。</w:t>
      </w:r>
    </w:p>
    <w:p>
      <w:pPr>
        <w:spacing w:line="60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</w:p>
    <w:p>
      <w:pPr>
        <w:shd w:val="clear" w:color="auto" w:fill="FFFFFF"/>
        <w:spacing w:line="600" w:lineRule="exact"/>
        <w:ind w:left="1280" w:hanging="1280" w:hangingChars="4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附件：柘城县“双随机、一公开”跨部门联合抽查情况记录表</w:t>
      </w:r>
    </w:p>
    <w:p>
      <w:pPr>
        <w:spacing w:line="600" w:lineRule="exact"/>
        <w:rPr>
          <w:rFonts w:ascii="仿宋" w:hAnsi="仿宋" w:eastAsia="仿宋"/>
        </w:rPr>
      </w:pPr>
    </w:p>
    <w:p>
      <w:pPr>
        <w:spacing w:line="600" w:lineRule="exact"/>
        <w:ind w:firstLine="1280" w:firstLineChars="4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柘城县财政局      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_GB2312"/>
          <w:sz w:val="32"/>
          <w:szCs w:val="32"/>
        </w:rPr>
        <w:t xml:space="preserve"> 柘城县市场监督管理局</w:t>
      </w:r>
    </w:p>
    <w:p>
      <w:pPr>
        <w:spacing w:line="600" w:lineRule="exact"/>
        <w:jc w:val="center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                           </w:t>
      </w:r>
    </w:p>
    <w:p>
      <w:pPr>
        <w:spacing w:line="600" w:lineRule="exact"/>
        <w:jc w:val="center"/>
        <w:rPr>
          <w:rFonts w:hint="eastAsia" w:ascii="仿宋" w:hAnsi="仿宋" w:eastAsia="仿宋" w:cs="仿宋_GB2312"/>
          <w:sz w:val="32"/>
          <w:szCs w:val="32"/>
        </w:rPr>
      </w:pPr>
    </w:p>
    <w:p>
      <w:pPr>
        <w:spacing w:line="600" w:lineRule="exact"/>
        <w:jc w:val="center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 xml:space="preserve">                              </w:t>
      </w:r>
      <w:r>
        <w:rPr>
          <w:rFonts w:hint="eastAsia" w:ascii="仿宋" w:hAnsi="仿宋" w:eastAsia="仿宋" w:cs="仿宋_GB2312"/>
          <w:sz w:val="32"/>
          <w:szCs w:val="32"/>
        </w:rPr>
        <w:t>2022年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ascii="仿宋" w:hAnsi="仿宋" w:eastAsia="仿宋" w:cs="仿宋_GB2312"/>
          <w:sz w:val="32"/>
          <w:szCs w:val="32"/>
        </w:rPr>
        <w:t>1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_GB2312"/>
          <w:sz w:val="32"/>
          <w:szCs w:val="32"/>
        </w:rPr>
        <w:t>日</w:t>
      </w:r>
    </w:p>
    <w:p>
      <w:pPr>
        <w:spacing w:line="560" w:lineRule="exact"/>
        <w:rPr>
          <w:rFonts w:hint="eastAsia" w:ascii="仿宋" w:hAnsi="仿宋" w:eastAsia="仿宋" w:cs="方正小标宋简体"/>
          <w:color w:val="000000"/>
          <w:sz w:val="40"/>
          <w:szCs w:val="40"/>
        </w:rPr>
      </w:pPr>
    </w:p>
    <w:p>
      <w:pPr>
        <w:spacing w:line="560" w:lineRule="exact"/>
        <w:rPr>
          <w:rFonts w:hint="eastAsia" w:ascii="仿宋" w:hAnsi="仿宋" w:eastAsia="仿宋" w:cs="方正小标宋简体"/>
          <w:color w:val="000000"/>
          <w:sz w:val="40"/>
          <w:szCs w:val="40"/>
        </w:rPr>
      </w:pPr>
    </w:p>
    <w:p>
      <w:pPr>
        <w:spacing w:line="560" w:lineRule="exact"/>
        <w:rPr>
          <w:rFonts w:hint="eastAsia" w:ascii="仿宋" w:hAnsi="仿宋" w:eastAsia="仿宋" w:cs="方正小标宋简体"/>
          <w:color w:val="000000"/>
          <w:sz w:val="40"/>
          <w:szCs w:val="40"/>
        </w:rPr>
      </w:pPr>
    </w:p>
    <w:p>
      <w:pPr>
        <w:spacing w:line="560" w:lineRule="exact"/>
        <w:rPr>
          <w:rFonts w:ascii="仿宋" w:hAnsi="仿宋" w:eastAsia="仿宋" w:cs="方正小标宋简体"/>
          <w:color w:val="000000"/>
          <w:sz w:val="40"/>
          <w:szCs w:val="40"/>
        </w:rPr>
      </w:pPr>
      <w:r>
        <w:rPr>
          <w:rFonts w:hint="eastAsia" w:ascii="仿宋" w:hAnsi="仿宋" w:eastAsia="仿宋" w:cs="方正小标宋简体"/>
          <w:color w:val="000000"/>
          <w:sz w:val="40"/>
          <w:szCs w:val="40"/>
        </w:rPr>
        <w:t>附件：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柘城县“双随机、一公开”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  <w:lang w:val="en-US" w:eastAsia="zh-CN"/>
        </w:rPr>
        <w:t>政府采购代理机构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部门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联合抽查记录表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tbl>
      <w:tblPr>
        <w:tblStyle w:val="11"/>
        <w:tblW w:w="983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992"/>
        <w:gridCol w:w="980"/>
        <w:gridCol w:w="2203"/>
        <w:gridCol w:w="446"/>
        <w:gridCol w:w="726"/>
        <w:gridCol w:w="803"/>
        <w:gridCol w:w="1252"/>
        <w:gridCol w:w="12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exact"/>
          <w:jc w:val="center"/>
        </w:trPr>
        <w:tc>
          <w:tcPr>
            <w:tcW w:w="1176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240" w:hanging="240" w:hangingChars="10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单位</w:t>
            </w:r>
          </w:p>
        </w:tc>
        <w:tc>
          <w:tcPr>
            <w:tcW w:w="197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240" w:hanging="240" w:hangingChars="10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执法人员</w:t>
            </w:r>
          </w:p>
        </w:tc>
        <w:tc>
          <w:tcPr>
            <w:tcW w:w="337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240" w:hanging="240" w:hangingChars="10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执法证件名称</w:t>
            </w:r>
          </w:p>
        </w:tc>
        <w:tc>
          <w:tcPr>
            <w:tcW w:w="330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240" w:hanging="240" w:hangingChars="10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执法证件编号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财政局</w:t>
            </w:r>
          </w:p>
        </w:tc>
        <w:tc>
          <w:tcPr>
            <w:tcW w:w="197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240" w:hanging="240" w:hangingChars="10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37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240" w:hanging="240" w:hangingChars="10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30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240" w:hanging="240" w:hangingChars="10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7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240" w:hanging="240" w:hangingChars="10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37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240" w:hanging="240" w:hangingChars="10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30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240" w:hanging="240" w:hangingChars="10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1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市场管理局</w:t>
            </w:r>
          </w:p>
        </w:tc>
        <w:tc>
          <w:tcPr>
            <w:tcW w:w="197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240" w:hanging="240" w:hangingChars="10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37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240" w:hanging="240" w:hangingChars="10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30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240" w:hanging="240" w:hangingChars="10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1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7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240" w:hanging="240" w:hangingChars="10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37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240" w:hanging="240" w:hangingChars="10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30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240" w:hanging="240" w:hangingChars="10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1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240" w:hanging="240" w:hangingChars="10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被查单位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180" w:hanging="180" w:hangingChars="10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单位名称</w:t>
            </w:r>
          </w:p>
        </w:tc>
        <w:tc>
          <w:tcPr>
            <w:tcW w:w="318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240" w:hanging="240" w:hangingChars="10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7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240" w:hanging="240" w:hangingChars="10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注册号</w:t>
            </w:r>
          </w:p>
        </w:tc>
        <w:tc>
          <w:tcPr>
            <w:tcW w:w="250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240" w:hanging="240" w:hangingChars="10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240" w:hanging="240" w:hangingChars="10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180" w:hanging="180" w:hangingChars="10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单位地址</w:t>
            </w:r>
          </w:p>
        </w:tc>
        <w:tc>
          <w:tcPr>
            <w:tcW w:w="318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240" w:hanging="240" w:hangingChars="10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7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240" w:hanging="240" w:hangingChars="10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负责人及电话</w:t>
            </w:r>
          </w:p>
        </w:tc>
        <w:tc>
          <w:tcPr>
            <w:tcW w:w="250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240" w:hanging="240" w:hangingChars="10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176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240" w:hanging="240" w:hangingChars="10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检查单位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240" w:hanging="240" w:hangingChars="10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检查</w:t>
            </w:r>
          </w:p>
          <w:p>
            <w:pPr>
              <w:spacing w:line="320" w:lineRule="exact"/>
              <w:ind w:left="240" w:hanging="240" w:hangingChars="10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</w:t>
            </w:r>
          </w:p>
        </w:tc>
        <w:tc>
          <w:tcPr>
            <w:tcW w:w="362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240" w:hanging="240" w:hangingChars="10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检查子项</w:t>
            </w:r>
          </w:p>
        </w:tc>
        <w:tc>
          <w:tcPr>
            <w:tcW w:w="278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240" w:hanging="240" w:hangingChars="10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检查</w:t>
            </w:r>
          </w:p>
          <w:p>
            <w:pPr>
              <w:spacing w:line="320" w:lineRule="exact"/>
              <w:ind w:left="240" w:hanging="240" w:hangingChars="10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结果</w:t>
            </w:r>
          </w:p>
        </w:tc>
        <w:tc>
          <w:tcPr>
            <w:tcW w:w="1253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执法人员签字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3" w:hRule="exact"/>
          <w:jc w:val="center"/>
        </w:trPr>
        <w:tc>
          <w:tcPr>
            <w:tcW w:w="1176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财政局</w:t>
            </w:r>
          </w:p>
        </w:tc>
        <w:tc>
          <w:tcPr>
            <w:tcW w:w="462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ascii="仿宋" w:hAnsi="仿宋" w:eastAsia="仿宋"/>
                <w:color w:val="121212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color w:val="121212"/>
                <w:sz w:val="24"/>
                <w:szCs w:val="24"/>
                <w:shd w:val="clear" w:color="auto" w:fill="FFFFFF"/>
                <w:lang w:val="en-US" w:eastAsia="zh-CN"/>
              </w:rPr>
              <w:t>1、</w:t>
            </w:r>
            <w:r>
              <w:rPr>
                <w:rFonts w:hint="eastAsia" w:ascii="仿宋" w:hAnsi="仿宋" w:eastAsia="仿宋" w:cs="仿宋_GB2312"/>
                <w:sz w:val="24"/>
                <w:szCs w:val="24"/>
                <w:lang w:val="en-US" w:eastAsia="zh-CN"/>
              </w:rPr>
              <w:t>政府采购人员的职业素质和专业技能的监督检查</w:t>
            </w:r>
            <w:r>
              <w:rPr>
                <w:rFonts w:hint="eastAsia" w:ascii="仿宋" w:hAnsi="仿宋" w:eastAsia="仿宋"/>
                <w:color w:val="121212"/>
                <w:sz w:val="24"/>
                <w:szCs w:val="24"/>
                <w:shd w:val="clear" w:color="auto" w:fill="FFFFFF"/>
              </w:rPr>
              <w:t xml:space="preserve">。         </w:t>
            </w:r>
            <w:r>
              <w:rPr>
                <w:rFonts w:hint="eastAsia" w:ascii="仿宋" w:hAnsi="仿宋" w:eastAsia="仿宋"/>
                <w:color w:val="121212"/>
                <w:sz w:val="24"/>
                <w:szCs w:val="24"/>
                <w:shd w:val="clear" w:color="auto" w:fill="FFFFFF"/>
                <w:lang w:val="en-US" w:eastAsia="zh-CN"/>
              </w:rPr>
              <w:t xml:space="preserve">              </w:t>
            </w:r>
            <w:r>
              <w:rPr>
                <w:rFonts w:hint="eastAsia" w:ascii="仿宋" w:hAnsi="仿宋" w:eastAsia="仿宋"/>
                <w:color w:val="121212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□</w:t>
            </w:r>
          </w:p>
          <w:p>
            <w:pPr>
              <w:spacing w:line="32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121212"/>
                <w:sz w:val="24"/>
                <w:szCs w:val="24"/>
                <w:shd w:val="clear" w:color="auto" w:fill="FFFFFF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color w:val="121212"/>
                <w:sz w:val="24"/>
                <w:szCs w:val="24"/>
                <w:shd w:val="clear" w:color="auto" w:fill="FFFFFF"/>
              </w:rPr>
              <w:t>、</w:t>
            </w:r>
            <w:r>
              <w:rPr>
                <w:rFonts w:hint="eastAsia" w:ascii="仿宋" w:hAnsi="仿宋" w:eastAsia="仿宋" w:cs="仿宋_GB2312"/>
                <w:sz w:val="24"/>
                <w:szCs w:val="24"/>
                <w:lang w:val="en-US" w:eastAsia="zh-CN"/>
              </w:rPr>
              <w:t>政府采购代理执业情况监督检查</w:t>
            </w:r>
            <w:r>
              <w:rPr>
                <w:rFonts w:hint="eastAsia" w:ascii="仿宋" w:hAnsi="仿宋" w:eastAsia="仿宋"/>
                <w:color w:val="121212"/>
                <w:sz w:val="24"/>
                <w:szCs w:val="24"/>
                <w:shd w:val="clear" w:color="auto" w:fill="FFFFFF"/>
              </w:rPr>
              <w:t>。</w:t>
            </w:r>
            <w:r>
              <w:rPr>
                <w:rFonts w:hint="eastAsia" w:ascii="仿宋" w:hAnsi="仿宋" w:eastAsia="仿宋"/>
                <w:color w:val="121212"/>
                <w:sz w:val="24"/>
                <w:szCs w:val="24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□</w:t>
            </w:r>
          </w:p>
        </w:tc>
        <w:tc>
          <w:tcPr>
            <w:tcW w:w="278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1.未发现问题 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sym w:font="Wingdings 2" w:char="00A3"/>
            </w:r>
          </w:p>
          <w:p>
            <w:pPr>
              <w:spacing w:line="32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2.未按规定公示应当公示的信息           □</w:t>
            </w:r>
          </w:p>
          <w:p>
            <w:pPr>
              <w:spacing w:line="32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3.公示信息隐瞒真实情况、弄虚作假       □</w:t>
            </w:r>
          </w:p>
          <w:p>
            <w:pPr>
              <w:spacing w:line="32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4.通过登记的住（经营场所）无法联系       □     </w:t>
            </w:r>
          </w:p>
          <w:p>
            <w:pPr>
              <w:spacing w:line="32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5.发现问题已责令改正</w:t>
            </w:r>
          </w:p>
          <w:p>
            <w:pPr>
              <w:spacing w:line="320" w:lineRule="exact"/>
              <w:ind w:firstLine="2400" w:firstLineChars="100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sym w:font="Wingdings 2" w:char="00A3"/>
            </w:r>
          </w:p>
          <w:p>
            <w:pPr>
              <w:spacing w:line="32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6.不配合检查情节严重</w:t>
            </w:r>
          </w:p>
          <w:p>
            <w:pPr>
              <w:spacing w:line="320" w:lineRule="exact"/>
              <w:ind w:firstLine="2400" w:firstLineChars="100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□</w:t>
            </w: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7.未发现本次抽查涉及的经营活动         □</w:t>
            </w:r>
          </w:p>
          <w:p>
            <w:pPr>
              <w:ind w:left="2400" w:hanging="2400" w:hangingChars="10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8.发现问题待后续处理</w:t>
            </w:r>
            <w:r>
              <w:rPr>
                <w:rFonts w:hint="eastAsia" w:ascii="仿宋" w:hAnsi="仿宋" w:eastAsia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</w:p>
        </w:tc>
        <w:tc>
          <w:tcPr>
            <w:tcW w:w="1253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240" w:hanging="240" w:hangingChars="10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　</w:t>
            </w:r>
          </w:p>
          <w:p>
            <w:pPr>
              <w:spacing w:line="320" w:lineRule="exact"/>
              <w:ind w:left="240" w:hanging="240" w:hangingChars="10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　</w:t>
            </w:r>
          </w:p>
          <w:p>
            <w:pPr>
              <w:spacing w:line="320" w:lineRule="exact"/>
              <w:ind w:left="240" w:hanging="240" w:hangingChars="10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　</w:t>
            </w:r>
          </w:p>
          <w:p>
            <w:pPr>
              <w:spacing w:line="320" w:lineRule="exact"/>
              <w:ind w:left="240" w:hanging="240" w:hangingChars="10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0" w:hRule="atLeast"/>
          <w:jc w:val="center"/>
        </w:trPr>
        <w:tc>
          <w:tcPr>
            <w:tcW w:w="1176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市场监管局</w:t>
            </w:r>
          </w:p>
        </w:tc>
        <w:tc>
          <w:tcPr>
            <w:tcW w:w="462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4200" w:right="-67" w:rightChars="-24" w:hanging="4200" w:hangingChars="1750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1.营业执照（登记证）规范使用情况       </w:t>
            </w:r>
            <w:r>
              <w:rPr>
                <w:rFonts w:hint="eastAsia" w:ascii="仿宋" w:hAnsi="仿宋" w:eastAsia="仿宋" w:cs="仿宋_GB2312"/>
                <w:sz w:val="24"/>
                <w:szCs w:val="24"/>
              </w:rPr>
              <w:sym w:font="Wingdings 2" w:char="00A3"/>
            </w:r>
          </w:p>
          <w:p>
            <w:pPr>
              <w:spacing w:line="320" w:lineRule="exact"/>
              <w:ind w:left="4200" w:right="-67" w:rightChars="-24" w:hanging="4200" w:hangingChars="1750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2.名称规范使用情况的检查               □</w:t>
            </w:r>
          </w:p>
          <w:p>
            <w:pPr>
              <w:spacing w:line="320" w:lineRule="exact"/>
              <w:ind w:left="4200" w:right="-67" w:rightChars="-24" w:hanging="4200" w:hangingChars="1750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3.经营期限的检查                       □</w:t>
            </w:r>
          </w:p>
          <w:p>
            <w:pPr>
              <w:spacing w:line="320" w:lineRule="exact"/>
              <w:ind w:left="4200" w:right="-67" w:rightChars="-24" w:hanging="4200" w:hangingChars="1750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 xml:space="preserve">4.经营范围中无需审批的经营项目的检查   </w:t>
            </w:r>
            <w:r>
              <w:rPr>
                <w:rFonts w:hint="eastAsia" w:ascii="仿宋" w:hAnsi="仿宋" w:eastAsia="仿宋" w:cs="仿宋_GB2312"/>
                <w:sz w:val="24"/>
                <w:szCs w:val="24"/>
              </w:rPr>
              <w:sym w:font="Wingdings 2" w:char="00A3"/>
            </w:r>
          </w:p>
          <w:p>
            <w:pPr>
              <w:spacing w:line="320" w:lineRule="exact"/>
              <w:ind w:left="4200" w:right="-67" w:rightChars="-24" w:hanging="4200" w:hangingChars="1750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 xml:space="preserve">5.住所（经营场所）或驻地场所的检查     </w:t>
            </w:r>
            <w:r>
              <w:rPr>
                <w:rFonts w:hint="eastAsia" w:ascii="仿宋" w:hAnsi="仿宋" w:eastAsia="仿宋" w:cs="仿宋_GB2312"/>
                <w:sz w:val="24"/>
                <w:szCs w:val="24"/>
              </w:rPr>
              <w:sym w:font="Wingdings 2" w:char="00A3"/>
            </w:r>
          </w:p>
          <w:p>
            <w:pPr>
              <w:spacing w:line="320" w:lineRule="exact"/>
              <w:ind w:left="4200" w:right="-67" w:rightChars="-24" w:hanging="4200" w:hangingChars="1750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6.法定代表人（负责人）任职情况         □</w:t>
            </w:r>
          </w:p>
          <w:p>
            <w:pPr>
              <w:spacing w:line="320" w:lineRule="exact"/>
              <w:ind w:left="4200" w:right="-67" w:rightChars="-24" w:hanging="4200" w:hangingChars="1750"/>
              <w:jc w:val="left"/>
              <w:rPr>
                <w:rFonts w:hint="default" w:ascii="仿宋" w:hAnsi="仿宋" w:eastAsia="仿宋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7.法定代表人、自然人股东身份真实性的</w:t>
            </w:r>
            <w:r>
              <w:rPr>
                <w:rFonts w:hint="eastAsia" w:ascii="仿宋" w:hAnsi="仿宋" w:eastAsia="仿宋" w:cs="仿宋_GB2312"/>
                <w:sz w:val="24"/>
                <w:szCs w:val="24"/>
                <w:lang w:val="en-US" w:eastAsia="zh-CN"/>
              </w:rPr>
              <w:t xml:space="preserve">检查  </w:t>
            </w:r>
          </w:p>
          <w:p>
            <w:pPr>
              <w:spacing w:line="320" w:lineRule="exact"/>
              <w:ind w:right="-67" w:rightChars="-24"/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sym w:font="Wingdings 2" w:char="00A3"/>
            </w:r>
          </w:p>
          <w:p>
            <w:pPr>
              <w:spacing w:line="560" w:lineRule="exact"/>
              <w:ind w:left="4320" w:hanging="4320" w:hangingChars="180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8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1440" w:hanging="1440" w:hangingChars="60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1.未发现问题  □  </w:t>
            </w:r>
          </w:p>
          <w:p>
            <w:pPr>
              <w:spacing w:line="32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2.未按规定公示应当公示的信息  □     </w:t>
            </w:r>
          </w:p>
          <w:p>
            <w:pPr>
              <w:spacing w:line="32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3.公示信息隐瞒真实情况弄虚作假□                                                                 </w:t>
            </w:r>
          </w:p>
          <w:p>
            <w:pPr>
              <w:spacing w:line="32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4.通过登记的住所（经营场所）无法联系          □                  </w:t>
            </w:r>
          </w:p>
          <w:p>
            <w:pPr>
              <w:spacing w:line="32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5.发现问题已责令改正          □         </w:t>
            </w:r>
          </w:p>
          <w:p>
            <w:pPr>
              <w:spacing w:line="32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6.不配合检查情节严重          □    </w:t>
            </w:r>
          </w:p>
          <w:p>
            <w:pPr>
              <w:tabs>
                <w:tab w:val="left" w:pos="2808"/>
              </w:tabs>
              <w:spacing w:line="32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7.未发现开展本次抽查涉及的经营活动    □</w:t>
            </w:r>
          </w:p>
          <w:p>
            <w:pPr>
              <w:spacing w:line="32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8.发现问题待后续处理          □   </w:t>
            </w:r>
          </w:p>
          <w:p>
            <w:pPr>
              <w:spacing w:line="320" w:lineRule="exact"/>
              <w:ind w:left="240" w:hanging="240" w:hangingChars="1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53" w:type="dxa"/>
            <w:tcBorders>
              <w:tl2br w:val="nil"/>
              <w:tr2bl w:val="nil"/>
            </w:tcBorders>
          </w:tcPr>
          <w:p>
            <w:pPr>
              <w:spacing w:line="320" w:lineRule="exact"/>
              <w:ind w:left="240" w:hanging="240" w:hangingChars="1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0" w:hRule="exact"/>
          <w:jc w:val="center"/>
        </w:trPr>
        <w:tc>
          <w:tcPr>
            <w:tcW w:w="1176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其它问题</w:t>
            </w:r>
          </w:p>
        </w:tc>
        <w:tc>
          <w:tcPr>
            <w:tcW w:w="8655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240" w:hanging="240" w:hangingChars="10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　</w:t>
            </w:r>
          </w:p>
          <w:p>
            <w:pPr>
              <w:spacing w:line="320" w:lineRule="exact"/>
              <w:ind w:left="240" w:hanging="240" w:hangingChars="1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20" w:lineRule="exact"/>
              <w:ind w:left="240" w:hanging="240" w:hangingChars="1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20" w:lineRule="exact"/>
              <w:ind w:left="240" w:hanging="240" w:hangingChars="1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20" w:lineRule="exact"/>
              <w:ind w:left="240" w:hanging="240" w:hangingChars="1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20" w:lineRule="exact"/>
              <w:ind w:left="240" w:hanging="240" w:hangingChars="1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5" w:hRule="exact"/>
          <w:jc w:val="center"/>
        </w:trPr>
        <w:tc>
          <w:tcPr>
            <w:tcW w:w="1176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240" w:hanging="240" w:hangingChars="10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处理意见</w:t>
            </w:r>
          </w:p>
        </w:tc>
        <w:tc>
          <w:tcPr>
            <w:tcW w:w="8655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240" w:hanging="240" w:hangingChars="10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       </w:t>
            </w:r>
          </w:p>
          <w:p>
            <w:pPr>
              <w:spacing w:line="320" w:lineRule="exact"/>
              <w:ind w:left="240" w:hanging="240" w:hangingChars="1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20" w:lineRule="exact"/>
              <w:ind w:left="240" w:hanging="240" w:hangingChars="1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20" w:lineRule="exact"/>
              <w:ind w:left="240" w:hanging="240" w:hangingChars="1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20" w:lineRule="exact"/>
              <w:ind w:left="240" w:hanging="240" w:hangingChars="1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20" w:lineRule="exact"/>
              <w:ind w:left="240" w:hanging="240" w:hangingChars="1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20" w:lineRule="exact"/>
              <w:ind w:left="240" w:hanging="240" w:hangingChars="1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20" w:lineRule="exact"/>
              <w:ind w:left="240" w:hanging="240" w:hangingChars="10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</w:t>
            </w:r>
          </w:p>
        </w:tc>
      </w:tr>
    </w:tbl>
    <w:p>
      <w:pPr>
        <w:spacing w:line="400" w:lineRule="exact"/>
        <w:rPr>
          <w:rFonts w:hint="eastAsia" w:ascii="仿宋" w:hAnsi="仿宋" w:eastAsia="仿宋"/>
          <w:sz w:val="24"/>
          <w:szCs w:val="24"/>
        </w:rPr>
      </w:pPr>
    </w:p>
    <w:p>
      <w:pPr>
        <w:spacing w:line="40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单位（盖章）                          </w:t>
      </w:r>
    </w:p>
    <w:p>
      <w:pPr>
        <w:pStyle w:val="1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或法定代表人（负责人）签字：                    见证人签字：                                 核查时间：</w:t>
      </w:r>
    </w:p>
    <w:p>
      <w:pPr>
        <w:pStyle w:val="10"/>
        <w:rPr>
          <w:rFonts w:ascii="仿宋" w:hAnsi="仿宋" w:eastAsia="仿宋" w:cs="仿宋_GB2312"/>
          <w:sz w:val="48"/>
          <w:szCs w:val="48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检查人员签字：</w:t>
      </w:r>
    </w:p>
    <w:sectPr>
      <w:footerReference r:id="rId3" w:type="default"/>
      <w:pgSz w:w="11906" w:h="16838"/>
      <w:pgMar w:top="1440" w:right="1800" w:bottom="1440" w:left="1800" w:header="851" w:footer="1134" w:gutter="0"/>
      <w:pgNumType w:fmt="numberInDash"/>
      <w:cols w:space="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SJGuwyAgAAY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jB5loWN&#10;3loeoaM83i4PAXImlaMonRLoTjxg9lKfLnsSh/vPc4p6+m9YPA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NIka7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/>
                </w:txbxContent>
              </v:textbox>
            </v:shape>
          </w:pict>
        </mc:Fallback>
      </mc:AlternateContent>
    </w:r>
  </w:p>
  <w:p>
    <w:pPr>
      <w:pStyle w:val="9"/>
      <w:ind w:left="420" w:leftChars="150" w:right="420" w:rightChars="150" w:firstLine="2800" w:firstLineChars="1000"/>
    </w:pPr>
    <w:r>
      <w:rPr>
        <w:rFonts w:hint="eastAsia" w:asciiTheme="majorEastAsia" w:hAnsiTheme="majorEastAsia" w:eastAsiaTheme="majorEastAsia" w:cstheme="majorEastAsia"/>
        <w:sz w:val="28"/>
      </w:rPr>
      <w:fldChar w:fldCharType="begin"/>
    </w:r>
    <w:r>
      <w:rPr>
        <w:rFonts w:hint="eastAsia" w:asciiTheme="majorEastAsia" w:hAnsiTheme="majorEastAsia" w:eastAsiaTheme="majorEastAsia" w:cstheme="majorEastAsia"/>
        <w:sz w:val="28"/>
      </w:rPr>
      <w:instrText xml:space="preserve"> PAGE  \* MERGEFORMAT </w:instrText>
    </w:r>
    <w:r>
      <w:rPr>
        <w:rFonts w:hint="eastAsia" w:asciiTheme="majorEastAsia" w:hAnsiTheme="majorEastAsia" w:eastAsiaTheme="majorEastAsia" w:cstheme="majorEastAsia"/>
        <w:sz w:val="28"/>
      </w:rPr>
      <w:fldChar w:fldCharType="separate"/>
    </w:r>
    <w:r>
      <w:rPr>
        <w:rFonts w:asciiTheme="majorEastAsia" w:hAnsiTheme="majorEastAsia" w:eastAsiaTheme="majorEastAsia" w:cstheme="majorEastAsia"/>
        <w:sz w:val="28"/>
      </w:rPr>
      <w:t>- 1 -</w:t>
    </w:r>
    <w:r>
      <w:rPr>
        <w:rFonts w:hint="eastAsia" w:asciiTheme="majorEastAsia" w:hAnsiTheme="majorEastAsia" w:eastAsiaTheme="majorEastAsia" w:cstheme="majorEastAsia"/>
        <w:sz w:val="28"/>
      </w:rPr>
      <w:fldChar w:fldCharType="end"/>
    </w:r>
  </w:p>
  <w:p/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CE20"/>
    <w:multiLevelType w:val="multilevel"/>
    <w:tmpl w:val="A146CE20"/>
    <w:lvl w:ilvl="0" w:tentative="0">
      <w:start w:val="1"/>
      <w:numFmt w:val="chineseCountingThousand"/>
      <w:pStyle w:val="2"/>
      <w:suff w:val="space"/>
      <w:lvlText w:val="第%1章"/>
      <w:lvlJc w:val="center"/>
      <w:pPr>
        <w:ind w:left="2977" w:hanging="425"/>
      </w:pPr>
      <w:rPr>
        <w:rFonts w:hint="eastAsia" w:ascii="宋体" w:hAnsi="宋体" w:eastAsia="宋体" w:cs="宋体"/>
        <w:b/>
        <w:bCs/>
        <w:sz w:val="32"/>
        <w:szCs w:val="32"/>
      </w:rPr>
    </w:lvl>
    <w:lvl w:ilvl="1" w:tentative="0">
      <w:start w:val="1"/>
      <w:numFmt w:val="decimal"/>
      <w:pStyle w:val="3"/>
      <w:suff w:val="space"/>
      <w:lvlText w:val="%2."/>
      <w:lvlJc w:val="left"/>
      <w:pPr>
        <w:ind w:left="1276" w:hanging="567"/>
      </w:pPr>
      <w:rPr>
        <w:rFonts w:hint="eastAsia" w:ascii="宋体" w:hAnsi="宋体" w:eastAsia="宋体" w:cs="宋体"/>
        <w:b/>
        <w:sz w:val="24"/>
        <w:szCs w:val="30"/>
      </w:rPr>
    </w:lvl>
    <w:lvl w:ilvl="2" w:tentative="0">
      <w:start w:val="1"/>
      <w:numFmt w:val="decimal"/>
      <w:pStyle w:val="4"/>
      <w:suff w:val="space"/>
      <w:lvlText w:val="%2.%3"/>
      <w:lvlJc w:val="left"/>
      <w:pPr>
        <w:ind w:left="709" w:hanging="255"/>
      </w:pPr>
      <w:rPr>
        <w:rFonts w:hint="eastAsia" w:ascii="宋体" w:hAnsi="宋体" w:eastAsia="宋体" w:cs="宋体"/>
        <w:b/>
        <w:color w:val="auto"/>
        <w:sz w:val="24"/>
        <w:szCs w:val="28"/>
      </w:rPr>
    </w:lvl>
    <w:lvl w:ilvl="3" w:tentative="0">
      <w:start w:val="1"/>
      <w:numFmt w:val="decimal"/>
      <w:pStyle w:val="5"/>
      <w:suff w:val="space"/>
      <w:lvlText w:val="%2.%3.%4"/>
      <w:lvlJc w:val="left"/>
      <w:pPr>
        <w:ind w:left="1814" w:hanging="396"/>
      </w:pPr>
      <w:rPr>
        <w:rFonts w:hint="eastAsia" w:ascii="宋体" w:hAnsi="宋体" w:eastAsia="宋体" w:cs="宋体"/>
      </w:rPr>
    </w:lvl>
    <w:lvl w:ilvl="4" w:tentative="0">
      <w:start w:val="1"/>
      <w:numFmt w:val="decimal"/>
      <w:pStyle w:val="6"/>
      <w:suff w:val="space"/>
      <w:lvlText w:val="%2.%3.%4.%5"/>
      <w:lvlJc w:val="left"/>
      <w:pPr>
        <w:ind w:left="851" w:hanging="397"/>
      </w:pPr>
      <w:rPr>
        <w:rFonts w:hint="eastAsia" w:ascii="宋体" w:eastAsia="宋体"/>
        <w:sz w:val="24"/>
      </w:rPr>
    </w:lvl>
    <w:lvl w:ilvl="5" w:tentative="0">
      <w:start w:val="1"/>
      <w:numFmt w:val="decimal"/>
      <w:pStyle w:val="7"/>
      <w:suff w:val="space"/>
      <w:lvlText w:val="%2.%3.%4.%5.%6"/>
      <w:lvlJc w:val="left"/>
      <w:pPr>
        <w:ind w:left="851" w:hanging="397"/>
      </w:pPr>
      <w:rPr>
        <w:rFonts w:hint="eastAsia" w:ascii="宋体" w:eastAsia="宋体"/>
        <w:sz w:val="24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eastAsia"/>
      </w:rPr>
    </w:lvl>
  </w:abstractNum>
  <w:abstractNum w:abstractNumId="1">
    <w:nsid w:val="339A60A0"/>
    <w:multiLevelType w:val="singleLevel"/>
    <w:tmpl w:val="339A60A0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A9A8329"/>
    <w:multiLevelType w:val="singleLevel"/>
    <w:tmpl w:val="4A9A832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1MTMyNGMwNTAzZGQwNzdjOWVmOTlhMGY5Y2YxYzcifQ=="/>
  </w:docVars>
  <w:rsids>
    <w:rsidRoot w:val="1C9B3882"/>
    <w:rsid w:val="00011644"/>
    <w:rsid w:val="000160BD"/>
    <w:rsid w:val="00017ACD"/>
    <w:rsid w:val="00024226"/>
    <w:rsid w:val="000356A2"/>
    <w:rsid w:val="00040412"/>
    <w:rsid w:val="000579DF"/>
    <w:rsid w:val="00081023"/>
    <w:rsid w:val="00083307"/>
    <w:rsid w:val="00093029"/>
    <w:rsid w:val="000D3C08"/>
    <w:rsid w:val="000E4B67"/>
    <w:rsid w:val="00103DCA"/>
    <w:rsid w:val="00110413"/>
    <w:rsid w:val="001414ED"/>
    <w:rsid w:val="0016514D"/>
    <w:rsid w:val="001954B5"/>
    <w:rsid w:val="00195E3B"/>
    <w:rsid w:val="001B09CD"/>
    <w:rsid w:val="001D0745"/>
    <w:rsid w:val="001D5338"/>
    <w:rsid w:val="001D58E4"/>
    <w:rsid w:val="001F2919"/>
    <w:rsid w:val="001F76C5"/>
    <w:rsid w:val="00210E86"/>
    <w:rsid w:val="00211F33"/>
    <w:rsid w:val="002801C3"/>
    <w:rsid w:val="00292882"/>
    <w:rsid w:val="00297EA3"/>
    <w:rsid w:val="002A0EF9"/>
    <w:rsid w:val="002A18C3"/>
    <w:rsid w:val="002A2AD7"/>
    <w:rsid w:val="002D13F8"/>
    <w:rsid w:val="002F6FB4"/>
    <w:rsid w:val="003009CA"/>
    <w:rsid w:val="003179A1"/>
    <w:rsid w:val="00327024"/>
    <w:rsid w:val="003307BF"/>
    <w:rsid w:val="003308EF"/>
    <w:rsid w:val="00366435"/>
    <w:rsid w:val="00382970"/>
    <w:rsid w:val="003865BE"/>
    <w:rsid w:val="003A4DB8"/>
    <w:rsid w:val="003B0CC1"/>
    <w:rsid w:val="003C6530"/>
    <w:rsid w:val="003D3D22"/>
    <w:rsid w:val="003D60FA"/>
    <w:rsid w:val="003E5DB7"/>
    <w:rsid w:val="003E6CE3"/>
    <w:rsid w:val="00466D9B"/>
    <w:rsid w:val="0049738F"/>
    <w:rsid w:val="004B7B25"/>
    <w:rsid w:val="004C280C"/>
    <w:rsid w:val="004E2F4D"/>
    <w:rsid w:val="004F40A2"/>
    <w:rsid w:val="00510CC7"/>
    <w:rsid w:val="0051142C"/>
    <w:rsid w:val="0054259E"/>
    <w:rsid w:val="00542A0C"/>
    <w:rsid w:val="00543D6F"/>
    <w:rsid w:val="00544DAA"/>
    <w:rsid w:val="00576CF6"/>
    <w:rsid w:val="005941C6"/>
    <w:rsid w:val="005945D9"/>
    <w:rsid w:val="005978CA"/>
    <w:rsid w:val="005C0461"/>
    <w:rsid w:val="005C4216"/>
    <w:rsid w:val="005D61CD"/>
    <w:rsid w:val="005F401A"/>
    <w:rsid w:val="005F716D"/>
    <w:rsid w:val="006144D0"/>
    <w:rsid w:val="00641E36"/>
    <w:rsid w:val="00661754"/>
    <w:rsid w:val="00663D48"/>
    <w:rsid w:val="00677EA7"/>
    <w:rsid w:val="00694907"/>
    <w:rsid w:val="006A5E83"/>
    <w:rsid w:val="006D6225"/>
    <w:rsid w:val="006E2F18"/>
    <w:rsid w:val="006E43FC"/>
    <w:rsid w:val="006E5949"/>
    <w:rsid w:val="006F43AE"/>
    <w:rsid w:val="00716900"/>
    <w:rsid w:val="00717C0F"/>
    <w:rsid w:val="00721D4C"/>
    <w:rsid w:val="00732AA0"/>
    <w:rsid w:val="00770C29"/>
    <w:rsid w:val="00777752"/>
    <w:rsid w:val="00780968"/>
    <w:rsid w:val="007844BC"/>
    <w:rsid w:val="007B1B33"/>
    <w:rsid w:val="007B37D2"/>
    <w:rsid w:val="007B3FE3"/>
    <w:rsid w:val="007E7709"/>
    <w:rsid w:val="007F4E4D"/>
    <w:rsid w:val="007F517A"/>
    <w:rsid w:val="008579ED"/>
    <w:rsid w:val="008618D0"/>
    <w:rsid w:val="008802FE"/>
    <w:rsid w:val="00885DCC"/>
    <w:rsid w:val="008B68E7"/>
    <w:rsid w:val="008B720B"/>
    <w:rsid w:val="008C2BA1"/>
    <w:rsid w:val="008C7AAA"/>
    <w:rsid w:val="008D36DC"/>
    <w:rsid w:val="008D3CAF"/>
    <w:rsid w:val="008E1A9E"/>
    <w:rsid w:val="008E4B1C"/>
    <w:rsid w:val="008F56C5"/>
    <w:rsid w:val="009231B0"/>
    <w:rsid w:val="00935FA7"/>
    <w:rsid w:val="0095625A"/>
    <w:rsid w:val="00994A9D"/>
    <w:rsid w:val="00996441"/>
    <w:rsid w:val="009A6266"/>
    <w:rsid w:val="009B0280"/>
    <w:rsid w:val="00A2320D"/>
    <w:rsid w:val="00A30B6A"/>
    <w:rsid w:val="00A400A8"/>
    <w:rsid w:val="00A47A8D"/>
    <w:rsid w:val="00A72464"/>
    <w:rsid w:val="00A75802"/>
    <w:rsid w:val="00A75E96"/>
    <w:rsid w:val="00A76225"/>
    <w:rsid w:val="00A81C7B"/>
    <w:rsid w:val="00A95201"/>
    <w:rsid w:val="00AA6A03"/>
    <w:rsid w:val="00AE3EEE"/>
    <w:rsid w:val="00AF105A"/>
    <w:rsid w:val="00B3522F"/>
    <w:rsid w:val="00B4529E"/>
    <w:rsid w:val="00B5249B"/>
    <w:rsid w:val="00B5333A"/>
    <w:rsid w:val="00B75BCA"/>
    <w:rsid w:val="00B807D0"/>
    <w:rsid w:val="00B849C4"/>
    <w:rsid w:val="00BD5A99"/>
    <w:rsid w:val="00BD702A"/>
    <w:rsid w:val="00BF2422"/>
    <w:rsid w:val="00BF63C7"/>
    <w:rsid w:val="00C116DA"/>
    <w:rsid w:val="00C126EF"/>
    <w:rsid w:val="00C403D0"/>
    <w:rsid w:val="00C53D55"/>
    <w:rsid w:val="00C56AB0"/>
    <w:rsid w:val="00C573FB"/>
    <w:rsid w:val="00C63616"/>
    <w:rsid w:val="00C643FC"/>
    <w:rsid w:val="00C9754E"/>
    <w:rsid w:val="00CA5E87"/>
    <w:rsid w:val="00CA7081"/>
    <w:rsid w:val="00CB1F1A"/>
    <w:rsid w:val="00CC1E2F"/>
    <w:rsid w:val="00CE0BAD"/>
    <w:rsid w:val="00D0666B"/>
    <w:rsid w:val="00D4527F"/>
    <w:rsid w:val="00D51416"/>
    <w:rsid w:val="00D62AF3"/>
    <w:rsid w:val="00D82F41"/>
    <w:rsid w:val="00D919EB"/>
    <w:rsid w:val="00DB0ACB"/>
    <w:rsid w:val="00DB4A71"/>
    <w:rsid w:val="00DC324F"/>
    <w:rsid w:val="00DE4817"/>
    <w:rsid w:val="00E10451"/>
    <w:rsid w:val="00E477B8"/>
    <w:rsid w:val="00E51987"/>
    <w:rsid w:val="00E540E1"/>
    <w:rsid w:val="00E5450F"/>
    <w:rsid w:val="00E5776A"/>
    <w:rsid w:val="00EA0303"/>
    <w:rsid w:val="00ED6222"/>
    <w:rsid w:val="00EF33C3"/>
    <w:rsid w:val="00F23C67"/>
    <w:rsid w:val="00F45266"/>
    <w:rsid w:val="00F66B6B"/>
    <w:rsid w:val="00F72F87"/>
    <w:rsid w:val="00F74744"/>
    <w:rsid w:val="00F80F61"/>
    <w:rsid w:val="00FC2B00"/>
    <w:rsid w:val="00FC5C1D"/>
    <w:rsid w:val="02E9202C"/>
    <w:rsid w:val="07D03440"/>
    <w:rsid w:val="0FB61659"/>
    <w:rsid w:val="15A65368"/>
    <w:rsid w:val="16A16F94"/>
    <w:rsid w:val="19303853"/>
    <w:rsid w:val="1C9B3882"/>
    <w:rsid w:val="1E0369B8"/>
    <w:rsid w:val="1EE91C8D"/>
    <w:rsid w:val="20346C86"/>
    <w:rsid w:val="22724FCF"/>
    <w:rsid w:val="251E113F"/>
    <w:rsid w:val="27F32641"/>
    <w:rsid w:val="2A863068"/>
    <w:rsid w:val="2BF91A32"/>
    <w:rsid w:val="2DA54175"/>
    <w:rsid w:val="2F6345D2"/>
    <w:rsid w:val="32FF2FBF"/>
    <w:rsid w:val="33A01FC2"/>
    <w:rsid w:val="346D535B"/>
    <w:rsid w:val="3E300B00"/>
    <w:rsid w:val="420455C2"/>
    <w:rsid w:val="46E13AA2"/>
    <w:rsid w:val="477C4473"/>
    <w:rsid w:val="4BF6402C"/>
    <w:rsid w:val="4CFD022E"/>
    <w:rsid w:val="51D80524"/>
    <w:rsid w:val="56DF73FA"/>
    <w:rsid w:val="5BA11457"/>
    <w:rsid w:val="60C045D3"/>
    <w:rsid w:val="62760211"/>
    <w:rsid w:val="665A21B7"/>
    <w:rsid w:val="6B0C2C86"/>
    <w:rsid w:val="6ED437A2"/>
    <w:rsid w:val="722E3521"/>
    <w:rsid w:val="75C77122"/>
    <w:rsid w:val="75CC77C9"/>
    <w:rsid w:val="76220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仿宋" w:asciiTheme="minorHAnsi" w:hAnsiTheme="minorHAnsi" w:eastAsiaTheme="minorEastAsia"/>
      <w:kern w:val="2"/>
      <w:sz w:val="28"/>
      <w:szCs w:val="28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15"/>
    <w:semiHidden/>
    <w:unhideWhenUsed/>
    <w:qFormat/>
    <w:uiPriority w:val="0"/>
    <w:pPr>
      <w:keepNext/>
      <w:keepLines/>
      <w:widowControl/>
      <w:numPr>
        <w:ilvl w:val="2"/>
        <w:numId w:val="1"/>
      </w:numPr>
      <w:tabs>
        <w:tab w:val="left" w:pos="0"/>
        <w:tab w:val="left" w:pos="420"/>
        <w:tab w:val="left" w:pos="720"/>
      </w:tabs>
      <w:spacing w:line="360" w:lineRule="auto"/>
      <w:ind w:firstLine="0"/>
      <w:jc w:val="left"/>
      <w:outlineLvl w:val="2"/>
    </w:pPr>
    <w:rPr>
      <w:rFonts w:ascii="宋体" w:hAnsi="宋体" w:eastAsia="黑体"/>
      <w:bCs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hAnsi="Arial" w:eastAsia="黑体"/>
      <w:b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alloon Text"/>
    <w:basedOn w:val="1"/>
    <w:link w:val="17"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Hyperlink"/>
    <w:basedOn w:val="13"/>
    <w:qFormat/>
    <w:uiPriority w:val="0"/>
    <w:rPr>
      <w:color w:val="0000FF"/>
      <w:u w:val="single"/>
    </w:rPr>
  </w:style>
  <w:style w:type="character" w:customStyle="1" w:styleId="15">
    <w:name w:val="标题 3 Char"/>
    <w:link w:val="4"/>
    <w:qFormat/>
    <w:uiPriority w:val="0"/>
    <w:rPr>
      <w:rFonts w:ascii="宋体" w:hAnsi="宋体" w:eastAsia="黑体" w:cstheme="minorBidi"/>
      <w:bCs/>
      <w:kern w:val="2"/>
      <w:sz w:val="28"/>
      <w:szCs w:val="24"/>
    </w:rPr>
  </w:style>
  <w:style w:type="paragraph" w:customStyle="1" w:styleId="16">
    <w:name w:val="1"/>
    <w:basedOn w:val="1"/>
    <w:qFormat/>
    <w:uiPriority w:val="0"/>
    <w:rPr>
      <w:rFonts w:eastAsia="黑体"/>
      <w:sz w:val="44"/>
      <w:szCs w:val="22"/>
    </w:rPr>
  </w:style>
  <w:style w:type="character" w:customStyle="1" w:styleId="17">
    <w:name w:val="批注框文本 Char"/>
    <w:basedOn w:val="13"/>
    <w:link w:val="8"/>
    <w:qFormat/>
    <w:uiPriority w:val="0"/>
    <w:rPr>
      <w:rFonts w:cs="仿宋"/>
      <w:kern w:val="2"/>
      <w:sz w:val="18"/>
      <w:szCs w:val="18"/>
    </w:rPr>
  </w:style>
  <w:style w:type="paragraph" w:styleId="1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083A05-1032-4620-A172-C36BC7B87D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1511</Words>
  <Characters>1573</Characters>
  <Lines>31</Lines>
  <Paragraphs>8</Paragraphs>
  <TotalTime>55</TotalTime>
  <ScaleCrop>false</ScaleCrop>
  <LinksUpToDate>false</LinksUpToDate>
  <CharactersWithSpaces>2057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2020-10-10T01:47:00Z</dcterms:created>
  <dc:creator>经典图文快印〜客服18037759858</dc:creator>
  <cp:lastModifiedBy>我的山楂树จุ๊บ</cp:lastModifiedBy>
  <cp:lastPrinted>2021-12-07T08:21:00Z</cp:lastPrinted>
  <dcterms:modified xsi:type="dcterms:W3CDTF">2022-12-28T08:14:31Z</dcterms:modified>
  <cp:revision>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F5987C1A85174F6A954D3E9733B9D025</vt:lpwstr>
  </property>
</Properties>
</file>